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3C797DCD-C6A7-4100-98AE-3393FEB85C83" style="width:450.45pt;height:416.4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jc w:val="center"/>
        <w:rPr>
          <w:b/>
          <w:noProof/>
        </w:rPr>
      </w:pPr>
      <w:bookmarkStart w:id="0" w:name="_GoBack"/>
      <w:bookmarkEnd w:id="0"/>
      <w:r>
        <w:rPr>
          <w:b/>
          <w:noProof/>
        </w:rPr>
        <w:lastRenderedPageBreak/>
        <w:t>TEACHTAIREACHT ÓN gCOIMISIÚN CHUIG PARLAIMINT NA hEORPA</w:t>
      </w:r>
    </w:p>
    <w:p>
      <w:pPr>
        <w:jc w:val="center"/>
        <w:rPr>
          <w:b/>
          <w:noProof/>
        </w:rPr>
      </w:pPr>
      <w:r>
        <w:rPr>
          <w:b/>
          <w:noProof/>
        </w:rPr>
        <w:t>De bhun Airteagal 294(6) den Chonradh ar Fheidhmiú an Aontais Eorpaigh</w:t>
      </w:r>
    </w:p>
    <w:p>
      <w:pPr>
        <w:jc w:val="center"/>
        <w:rPr>
          <w:b/>
          <w:noProof/>
        </w:rPr>
      </w:pPr>
      <w:r>
        <w:rPr>
          <w:b/>
          <w:noProof/>
        </w:rPr>
        <w:t>maidir leis an</w:t>
      </w:r>
    </w:p>
    <w:p>
      <w:pPr>
        <w:jc w:val="center"/>
        <w:rPr>
          <w:b/>
          <w:noProof/>
        </w:rPr>
      </w:pPr>
      <w:r>
        <w:rPr>
          <w:b/>
          <w:noProof/>
        </w:rPr>
        <w:t>seasamh ón gComhairle i dtaca le glacadh Rialacháin ó Pharlaimint na hEorpa agus ón gComhairle chun aghaidh a thabhairt ar scaipeadh ábhair sceimhlitheoireachta ar líne</w:t>
      </w:r>
    </w:p>
    <w:p>
      <w:pPr>
        <w:pStyle w:val="ManualHeading1"/>
        <w:rPr>
          <w:noProof/>
          <w:sz w:val="22"/>
        </w:rPr>
      </w:pPr>
      <w:r>
        <w:rPr>
          <w:noProof/>
        </w:rPr>
        <w:t>1.</w:t>
      </w:r>
      <w:r>
        <w:rPr>
          <w:noProof/>
        </w:rPr>
        <w:tab/>
        <w:t xml:space="preserve">Cúlra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4"/>
        <w:gridCol w:w="2483"/>
      </w:tblGrid>
      <w:tr>
        <w:tc>
          <w:tcPr>
            <w:tcW w:w="680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An dáta a tíolacadh an togra chuig Parlaimint na hEorpa agus chuig an gComhairle (doiciméad COM/2018/640 final – 2018/0331(COD)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12 Meán Fómhair 2018</w:t>
            </w:r>
          </w:p>
        </w:tc>
      </w:tr>
      <w:tr>
        <w:tc>
          <w:tcPr>
            <w:tcW w:w="680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Dáta chomhaontú na Comhairle maidir le sainordú caibidlíochta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6 Nollaig 2018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Dáta an tseasaimh ó Pharlaimint na hEorpa, an chéad léamh 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17 Aibreán 2019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Dáta an chéad chruinnithe thríthaobhaigh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17 Deireadh Fómhair 2019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Dáta an dara cruinniú tríthaobhach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 Samhain 2019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Dáta an tríú cruinniú tríthaobhach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12 Nollaig 2019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Dáta an cheathrú cruinniú tríthaobhach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24 Meán Fómhair 2020 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Dáta an chúigiú cruinniú tríthaobhach 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29 Deireadh Fómhair 2020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Dáta an séú cruinniú tríthaobhach (an cruinniú deiridh)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10 Nollaig 2020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Dáta an chomhaontaithe pholaitiúil i gCoiste na mBuanionadaithe 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16 Nollaig 2020 </w:t>
            </w:r>
          </w:p>
        </w:tc>
      </w:tr>
      <w:tr>
        <w:tc>
          <w:tcPr>
            <w:tcW w:w="6804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An dáta a vótáil Coiste um Shaoirsí Sibhialta, um Cheartas agus um Ghnóthaí Baile Pharlaimint na hEorpa leis an gcomhaontú comhréitigh a fhormhuiniú </w:t>
            </w:r>
          </w:p>
        </w:tc>
        <w:tc>
          <w:tcPr>
            <w:tcW w:w="2483" w:type="dxa"/>
            <w:shd w:val="clear" w:color="auto" w:fill="auto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11 Eanáir 2021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An dáta a glacadh an seasamh ón gComhairle, an chéad léamh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16 Márta 2021 </w:t>
            </w:r>
          </w:p>
        </w:tc>
      </w:tr>
    </w:tbl>
    <w:p>
      <w:pPr>
        <w:pStyle w:val="ManualHeading1"/>
        <w:rPr>
          <w:noProof/>
          <w:szCs w:val="24"/>
        </w:rPr>
      </w:pPr>
      <w:r>
        <w:rPr>
          <w:noProof/>
        </w:rPr>
        <w:t>2.</w:t>
      </w:r>
      <w:r>
        <w:rPr>
          <w:noProof/>
        </w:rPr>
        <w:tab/>
        <w:t>Cuspóir an togra ón gCoimisiún</w:t>
      </w:r>
    </w:p>
    <w:p>
      <w:pPr>
        <w:spacing w:before="100" w:after="150"/>
        <w:rPr>
          <w:noProof/>
          <w:color w:val="000000"/>
          <w:szCs w:val="24"/>
        </w:rPr>
      </w:pPr>
      <w:r>
        <w:rPr>
          <w:noProof/>
          <w:color w:val="000000"/>
          <w:szCs w:val="24"/>
        </w:rPr>
        <w:t>Léiríodh sna hionsaithe sceimhlitheoireachta a rinneadh san Eoraip an chaoi a mbaineann sceimhlitheoirí mí</w:t>
      </w:r>
      <w:r>
        <w:rPr>
          <w:noProof/>
          <w:color w:val="000000"/>
          <w:szCs w:val="24"/>
        </w:rPr>
        <w:noBreakHyphen/>
        <w:t>úsáid as an idirlíon chun lucht tacaíochta a mhealladh agus a earcú, chun gníomhaíocht sceimhlitheoireachta a ullmhú agus a éascú, chun a gcuid ainghníomhartha a mhóradh agus tathant ar dhaoine eile déanamh amhlaidh agus chun scéin a chur sa phobal i gcoitinne.</w:t>
      </w:r>
    </w:p>
    <w:p>
      <w:pPr>
        <w:spacing w:before="100" w:after="150"/>
        <w:rPr>
          <w:noProof/>
          <w:color w:val="000000"/>
          <w:szCs w:val="24"/>
        </w:rPr>
      </w:pPr>
      <w:r>
        <w:rPr>
          <w:noProof/>
          <w:color w:val="000000"/>
          <w:szCs w:val="24"/>
        </w:rPr>
        <w:t>An t</w:t>
      </w:r>
      <w:r>
        <w:rPr>
          <w:noProof/>
          <w:color w:val="000000"/>
          <w:szCs w:val="24"/>
        </w:rPr>
        <w:noBreakHyphen/>
        <w:t>ábhar sceimhlitheoireachta a chomhroinntear ar líne chun na gcríoch sin, is trí sholáthraithe seirbhísí óstála a scaiptear é, ar soláthraithe iad trína bhféadtar ábhar tríú páirtí a uaslódáil. Ní hamháin go bhfuil mí</w:t>
      </w:r>
      <w:r>
        <w:rPr>
          <w:noProof/>
          <w:color w:val="000000"/>
          <w:szCs w:val="24"/>
        </w:rPr>
        <w:noBreakHyphen/>
        <w:t>úsáid bainte as ardáin mhóra de chuid na meán sóisialta ag sceimhlitheoirí agus ag a lucht tacaíochta, ach feictear anois go mbíonn siad ag dul i muinín soláthraithe níos lú freisin a chuireann seirbhísí óstála de chineálacha éagsúla ar fáil, seirbhísí a bhfuil rochtain orthu san Aontas Eorpach, agus tá an treocht sin ag dul i méid. An mhí</w:t>
      </w:r>
      <w:r>
        <w:rPr>
          <w:noProof/>
          <w:color w:val="000000"/>
          <w:szCs w:val="24"/>
        </w:rPr>
        <w:noBreakHyphen/>
        <w:t xml:space="preserve">úsáid </w:t>
      </w:r>
      <w:r>
        <w:rPr>
          <w:noProof/>
          <w:color w:val="000000"/>
          <w:szCs w:val="24"/>
        </w:rPr>
        <w:lastRenderedPageBreak/>
        <w:t>sin a bhaintear as seirbhísí áirithe ar líne, cuireann sí i dtábhacht an fhreagracht shochaíoch ar leith atá ar sholáthraithe seirbhísí óstála maidir le lucht a n</w:t>
      </w:r>
      <w:r>
        <w:rPr>
          <w:noProof/>
          <w:color w:val="000000"/>
          <w:szCs w:val="24"/>
        </w:rPr>
        <w:noBreakHyphen/>
        <w:t>úsáidte a chosaint ar ábhar sceimhlitheoireachta agus ar na rioscaí tromchúiseacha slándála a bhaineann leis an ábhar sin don tsochaí i gcoitinne.</w:t>
      </w:r>
    </w:p>
    <w:p>
      <w:pPr>
        <w:spacing w:before="100" w:after="150"/>
        <w:rPr>
          <w:noProof/>
          <w:color w:val="000000"/>
          <w:szCs w:val="24"/>
        </w:rPr>
      </w:pPr>
      <w:r>
        <w:rPr>
          <w:noProof/>
          <w:color w:val="000000"/>
          <w:szCs w:val="24"/>
        </w:rPr>
        <w:t>Is éard a bhí i gceist leis an togra ón gCoimisiún creat dlíthiúil comhchuibhithe a bhunú ar mhaithe le cosc a chur ar mhí</w:t>
      </w:r>
      <w:r>
        <w:rPr>
          <w:noProof/>
          <w:color w:val="000000"/>
          <w:szCs w:val="24"/>
        </w:rPr>
        <w:noBreakHyphen/>
        <w:t>úsáid seirbhísí óstála chun ábhar sceimhlitheoireachta a scaipeadh ar líne, ionas go ráthófaí feidhmiú rianúil an mhargaidh aonair dhigitigh, agus an tslándáil phoiblí agus cearta bunúsacha a chosaint ag an am céanna.</w:t>
      </w:r>
    </w:p>
    <w:p>
      <w:pPr>
        <w:spacing w:before="100" w:after="150"/>
        <w:rPr>
          <w:noProof/>
          <w:color w:val="000000"/>
          <w:szCs w:val="24"/>
        </w:rPr>
      </w:pPr>
      <w:r>
        <w:rPr>
          <w:noProof/>
          <w:color w:val="000000"/>
          <w:szCs w:val="24"/>
        </w:rPr>
        <w:t>Is é is aidhm</w:t>
      </w:r>
      <w:r>
        <w:rPr>
          <w:noProof/>
          <w:color w:val="000000"/>
        </w:rPr>
        <w:t xml:space="preserve"> </w:t>
      </w:r>
      <w:r>
        <w:rPr>
          <w:noProof/>
          <w:color w:val="000000"/>
          <w:szCs w:val="24"/>
        </w:rPr>
        <w:t>don Rialachán atá beartaithe, soiléireacht a thabhairt i ndáil leis an bhfreagracht atá ar na soláthraithe seirbhísí óstála gach beart iomchuí réasúnach comhréireach is gá a dhéanamh chun sábháilteacht a gcuid seirbhísí a áirithiú agus chun ábhar sceimhlitheoireachta a bhrath agus a bhaint anuas go pras agus go héifeachtach. Cuimsítear sna bearta sin ábhar a bhaint anuas laistigh d’aon uair an chloig ó ordú baint anuas a fháil agus bearta sonracha a bheidh le déanamh ag na soláthraithe seirbhísí óstála ar bhealach réamhghníomhach chun a gcuid seirbhísí a chosaint.</w:t>
      </w:r>
    </w:p>
    <w:p>
      <w:pPr>
        <w:spacing w:before="100" w:after="150"/>
        <w:rPr>
          <w:noProof/>
          <w:color w:val="000000"/>
          <w:szCs w:val="24"/>
        </w:rPr>
      </w:pPr>
      <w:r>
        <w:rPr>
          <w:noProof/>
          <w:color w:val="000000"/>
          <w:szCs w:val="24"/>
        </w:rPr>
        <w:t>An tráth céanna, sa Rialachán atá beartaithe tá roinnt coimircí arb é is aidhm dóibh a áirithiú go dtabharfar urraim iomlán do chearta bunúsacha, amhail an tsaoirse chun tuairimí a nochtadh agus faisnéis a fháil i sochaí dhaonlathach. Áirítear ar na coimircí sin oibleagáidí trédhearcachta chomh maith le sásraí gearáin chun a áirithiú go bhféadfaidh soláthraithe ábhair agóid a dhéanamh maidir lena n</w:t>
      </w:r>
      <w:r>
        <w:rPr>
          <w:noProof/>
          <w:color w:val="000000"/>
          <w:szCs w:val="24"/>
        </w:rPr>
        <w:noBreakHyphen/>
        <w:t>ábhar a bheith bainte anuas nó rochtain ar an ábhar sin a bheith díchumasaithe, agus áirítear orthu freisin sásamh breithiúnach i gcomhréir le</w:t>
      </w:r>
      <w:r>
        <w:rPr>
          <w:noProof/>
        </w:rPr>
        <w:t xml:space="preserve"> hAirteagal 19 CAE agus le hAirteagal 47 de Chairt um Chearta Bunúsacha an Aontais Eorpaigh.</w:t>
      </w:r>
    </w:p>
    <w:p>
      <w:pPr>
        <w:spacing w:before="100" w:after="150"/>
        <w:rPr>
          <w:noProof/>
          <w:color w:val="000000"/>
          <w:szCs w:val="24"/>
        </w:rPr>
      </w:pPr>
      <w:r>
        <w:rPr>
          <w:noProof/>
          <w:color w:val="000000"/>
          <w:szCs w:val="24"/>
        </w:rPr>
        <w:t>Na hoibleagáidí ar na Ballstáit a leagtar amach sa Rialachán atá beartaithe, beidh siad ina gcuidiú leis na cuspóirí sin a bhaint amach trí údaráis inniúla a chumhachtú, tríd an tuarthacht agus an trédhearcacht a mhéadú, trí choimircí leormhaithe a ráthú agus trína áirithiú gur féidir smachtbhanna a fhorchur ar sholáthraithe seirbhísí óstála i gcás neamh</w:t>
      </w:r>
      <w:r>
        <w:rPr>
          <w:noProof/>
          <w:color w:val="000000"/>
          <w:szCs w:val="24"/>
        </w:rPr>
        <w:noBreakHyphen/>
        <w:t>chomhlíontachta trí bhíthin pionóis éifeachtacha chomhréireacha athchomhairleacha.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Tráchtanna maidir leis an seasamh ón gComhairle</w:t>
      </w:r>
    </w:p>
    <w:p>
      <w:pPr>
        <w:pStyle w:val="ManualHeading1"/>
        <w:rPr>
          <w:b w:val="0"/>
          <w:smallCaps w:val="0"/>
          <w:noProof/>
        </w:rPr>
      </w:pPr>
      <w:r>
        <w:rPr>
          <w:b w:val="0"/>
          <w:smallCaps w:val="0"/>
          <w:noProof/>
        </w:rPr>
        <w:t>Léirítear leis an seasamh ón gComhairle an comhaontú polaitiúil ar tháinig Parlaimint na hEorpa, an Chomhairle agus an Coimisiún air an 10 Nollaig 2020. Is iad seo a leanas na difríochtaí is tábhachtaí idir an togra ón gCoimisiún agus an téacs atá sa chomhaontú polaitiúil:</w:t>
      </w:r>
    </w:p>
    <w:p>
      <w:pPr>
        <w:pStyle w:val="Tiret0"/>
        <w:numPr>
          <w:ilvl w:val="0"/>
          <w:numId w:val="10"/>
        </w:numPr>
        <w:rPr>
          <w:i/>
          <w:noProof/>
          <w:u w:val="single"/>
        </w:rPr>
      </w:pPr>
      <w:r>
        <w:rPr>
          <w:i/>
          <w:noProof/>
        </w:rPr>
        <w:t>Raon feidhme:</w:t>
      </w:r>
      <w:r>
        <w:rPr>
          <w:noProof/>
        </w:rPr>
        <w:t xml:space="preserve"> Soiléirítear nach measfar gur ábhar sceimhlitheoireachta ábhar a scaiptear chun críoch oideachais, iriseoireachta, ealaíne nó taighde nó a scaiptear chun an sceimhlitheoireacht a chosc nó a chomhrac, agus go gcinnfear an fíorchuspóir atá leis an ábhar a scaipeadh trí bhíthin measúnaithe.</w:t>
      </w:r>
    </w:p>
    <w:p>
      <w:pPr>
        <w:pStyle w:val="Tiret0"/>
        <w:numPr>
          <w:ilvl w:val="0"/>
          <w:numId w:val="10"/>
        </w:numPr>
        <w:rPr>
          <w:i/>
          <w:noProof/>
          <w:u w:val="single"/>
        </w:rPr>
      </w:pPr>
      <w:r>
        <w:rPr>
          <w:noProof/>
        </w:rPr>
        <w:t>Soiléirítear go bhfuil an Rialachán gan dochar don Treoir maidir le Ríomhthráchtáil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agus don Treoir maidir le Seirbhísí Meán Closamhairc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, agus go mbeidh forlámhas </w:t>
      </w:r>
      <w:r>
        <w:rPr>
          <w:noProof/>
        </w:rPr>
        <w:lastRenderedPageBreak/>
        <w:t>ag an Treoir dheireanach sin i leith sheirbhísí na meán closamhairc i gcásanna coinbhleachta. Soiléirítear in aithris nach ndéanfar difear do na hoibleagáidí atá ar sholáthraithe ardán comhroinnte físeán faoin Rialachán.</w:t>
      </w:r>
    </w:p>
    <w:p>
      <w:pPr>
        <w:pStyle w:val="Tiret0"/>
        <w:numPr>
          <w:ilvl w:val="0"/>
          <w:numId w:val="10"/>
        </w:numPr>
        <w:rPr>
          <w:i/>
          <w:noProof/>
        </w:rPr>
      </w:pPr>
      <w:r>
        <w:rPr>
          <w:noProof/>
        </w:rPr>
        <w:t>Sonraítear go bhfuil feidhm ag an Rialachán maidir le soláthraithe seirbhísí óstála a scaipeann faisnéis ar an bpobal, i.e. ar líon daoine a d’fhéadfadh a bheith neamhtheoranta, agus maidir leis na soláthraithe sin amháin.</w:t>
      </w:r>
    </w:p>
    <w:p>
      <w:pPr>
        <w:pStyle w:val="Tiret0"/>
        <w:numPr>
          <w:ilvl w:val="0"/>
          <w:numId w:val="10"/>
        </w:numPr>
        <w:rPr>
          <w:noProof/>
          <w:u w:val="single"/>
        </w:rPr>
      </w:pPr>
      <w:r>
        <w:rPr>
          <w:i/>
          <w:noProof/>
          <w:u w:val="single"/>
        </w:rPr>
        <w:t>Sainmhínithe</w:t>
      </w:r>
      <w:r>
        <w:rPr>
          <w:i/>
          <w:noProof/>
        </w:rPr>
        <w:t xml:space="preserve">: </w:t>
      </w:r>
      <w:r>
        <w:rPr>
          <w:noProof/>
        </w:rPr>
        <w:t>Ní fholaíonn an sainmhíniú ar ‘ábhar sceimhlitheoireachta’ ábhar a dhéanann gníomhaíochtaí grúpaí sceimhlitheoireachta ‘a chur chun cinn’, agus tá an sainmhínithe sin ailínithe níos dlúithe leis na cionta ábhartha sa Treoir maidir leis an sceimhlitheoireacht a chomhrac</w:t>
      </w:r>
      <w:r>
        <w:rPr>
          <w:rStyle w:val="FootnoteReference"/>
          <w:noProof/>
          <w:szCs w:val="24"/>
        </w:rPr>
        <w:footnoteReference w:id="4"/>
      </w:r>
      <w:r>
        <w:rPr>
          <w:noProof/>
        </w:rPr>
        <w:t>.</w:t>
      </w:r>
    </w:p>
    <w:p>
      <w:pPr>
        <w:pStyle w:val="Tiret0"/>
        <w:rPr>
          <w:noProof/>
          <w:szCs w:val="24"/>
        </w:rPr>
      </w:pPr>
      <w:r>
        <w:rPr>
          <w:i/>
          <w:iCs/>
          <w:noProof/>
          <w:u w:val="single"/>
        </w:rPr>
        <w:t>Orduithe baint anuas</w:t>
      </w:r>
      <w:r>
        <w:rPr>
          <w:i/>
          <w:iCs/>
          <w:noProof/>
        </w:rPr>
        <w:t xml:space="preserve">: </w:t>
      </w:r>
      <w:r>
        <w:rPr>
          <w:noProof/>
        </w:rPr>
        <w:t>An sprioc</w:t>
      </w:r>
      <w:r>
        <w:rPr>
          <w:noProof/>
        </w:rPr>
        <w:noBreakHyphen/>
        <w:t>am d’aon uair an chloig ar a mhéad atá ag soláthraithe seirbhísí óstála chun ábhar sceimhlitheoireachta a bhaint anuas nó a dhíchumasú, coinnítear an sprioc</w:t>
      </w:r>
      <w:r>
        <w:rPr>
          <w:noProof/>
        </w:rPr>
        <w:noBreakHyphen/>
        <w:t>am sin ar bun, ach ní mór don údarás inniúil an soláthraí seirbhísí óstála a chur ar an eolas 12 uair an chloig roimh an gcéad ordú baint anuas, ach amháin i gcásanna práinne. Ina theannta sin, i gcás ina mbeidh cúiseanna teicniúla nó oibríochtúla ann a mbeidh údar oibiachtúil leo agus a fhágann nach féidir an t</w:t>
      </w:r>
      <w:r>
        <w:rPr>
          <w:noProof/>
        </w:rPr>
        <w:noBreakHyphen/>
        <w:t>ordú baint anuas a chomhlíonadh, cuirfear an sprioc</w:t>
      </w:r>
      <w:r>
        <w:rPr>
          <w:noProof/>
        </w:rPr>
        <w:noBreakHyphen/>
        <w:t>am ar fionraí.</w:t>
      </w:r>
    </w:p>
    <w:p>
      <w:pPr>
        <w:pStyle w:val="Tiret0"/>
        <w:rPr>
          <w:i/>
          <w:iCs/>
          <w:noProof/>
        </w:rPr>
      </w:pPr>
      <w:r>
        <w:rPr>
          <w:i/>
          <w:noProof/>
          <w:szCs w:val="24"/>
          <w:u w:val="single"/>
        </w:rPr>
        <w:t>An ceart grinnscrúdaithe/nós imeachta um orduithe baint anuas trasteorann</w:t>
      </w:r>
      <w:r>
        <w:rPr>
          <w:noProof/>
        </w:rPr>
        <w:t>: Cé go bhfuil na Ballstáit uile i dteideal orduithe baint anuas a eisiúint chuig aon soláthraí seirbhísí óstála, beag beann ar áit a bhunaithe, in airteagal nua maidir le nósanna imeachta um orduithe baint anuas trasteorann (Airteagal 4), cuirtear ar a chumas d’údarás inniúil an Bhallstáit ‘óstaigh’ (eadhon, an Ballstát ina bhfuil an soláthraí seirbhísí óstála bunaithe nó ina bhfuil a ionadaí dlíthiúil aige) grinnscrúdú a dhéanamh ar ordú baint anuas lena chinneadh an bhfuil sáruithe follasacha nó tromchúiseacha ar chearta bunúsacha nó ar an Rialachán i gceist leis an ordú nó nach bhfuil. Tá sé de cheart ag soláthraithe seirbhísí óstála agus ag soláthraithe ábhair a iarraidh go ndéanfaí an t</w:t>
      </w:r>
      <w:r>
        <w:rPr>
          <w:noProof/>
        </w:rPr>
        <w:noBreakHyphen/>
        <w:t>údarás inniúil sin athbhreithniú ar an ordú baint anuas, agus sa chás sin tá sé d’oibleagáid ar an údarás an grinnscrúdú a dhéanamh agus na torthaí a leagan amach i gcinneadh. I gcás ina mbeidh sáruithe follasacha nó tromchúiseacha i dtorthaí an ghrinnscrúdaithe, ní bheidh éifeacht dhlíthiúil ag an ordú baint anuas a thuilleadh agus ní bheidh oibleagáid ar an soláthraí seirbhísí óstála a thuilleadh an t</w:t>
      </w:r>
      <w:r>
        <w:rPr>
          <w:noProof/>
        </w:rPr>
        <w:noBreakHyphen/>
        <w:t>ábhar a bhaint agus, i bprionsabal, ba cheart dó é a aischur.</w:t>
      </w:r>
    </w:p>
    <w:p>
      <w:pPr>
        <w:pStyle w:val="Tiret0"/>
        <w:rPr>
          <w:i/>
          <w:iCs/>
          <w:noProof/>
        </w:rPr>
      </w:pPr>
      <w:r>
        <w:rPr>
          <w:i/>
          <w:iCs/>
          <w:noProof/>
          <w:u w:val="single"/>
        </w:rPr>
        <w:t>Bearta sonracha</w:t>
      </w:r>
      <w:r>
        <w:rPr>
          <w:i/>
          <w:iCs/>
          <w:noProof/>
        </w:rPr>
        <w:t xml:space="preserve">: </w:t>
      </w:r>
      <w:r>
        <w:rPr>
          <w:noProof/>
        </w:rPr>
        <w:t>Rinneadh an méid a bhí in Airteagail 3, 6 agus 9 den togra a choigeartú agus a chumasc in aon airteagal amháin ina leagtar amach na hoibleagáidí atá ar soláthraithe seirbhísí óstála bearta sonracha a chur i bhfeidhm chun aghaidh a thabhairt ar scaipeadh ábhair sceimhlitheoireachta. Tá feidhm ag na hoibleagáidí sin maidir leis na soláthraithe seirbhísí óstála sin ar chinn an t</w:t>
      </w:r>
      <w:r>
        <w:rPr>
          <w:noProof/>
        </w:rPr>
        <w:noBreakHyphen/>
        <w:t xml:space="preserve">údarás inniúil go raibh siad neamhchosanta ar ábhar sceimhlitheoireachta, agus maidir leis na soláthraithe sin amháin. Cé gur féidir leis na húdaráis inniúla a chur de cheangal ar soláthraithe seirbhísí óstála bearta breise a dhéanamh, is ag na soláthraithe seirbhísí óstála atá an rogha i leith na mbeart sonrach chun aghaidh a thabhairt ar ábhar </w:t>
      </w:r>
      <w:r>
        <w:rPr>
          <w:noProof/>
        </w:rPr>
        <w:lastRenderedPageBreak/>
        <w:t>sceimhlitheoireachta, agus ní féidir iallach a chur ar na soláthraithe sin uirlisí uathoibrithe a úsáid.</w:t>
      </w:r>
    </w:p>
    <w:p>
      <w:pPr>
        <w:pStyle w:val="Tiret0"/>
        <w:rPr>
          <w:i/>
          <w:iCs/>
          <w:noProof/>
        </w:rPr>
      </w:pPr>
      <w:r>
        <w:rPr>
          <w:i/>
          <w:iCs/>
          <w:noProof/>
          <w:u w:val="single"/>
        </w:rPr>
        <w:t>Tarchuir</w:t>
      </w:r>
      <w:r>
        <w:rPr>
          <w:i/>
          <w:iCs/>
          <w:noProof/>
        </w:rPr>
        <w:t xml:space="preserve">: </w:t>
      </w:r>
      <w:r>
        <w:rPr>
          <w:noProof/>
        </w:rPr>
        <w:t>Scriosadh an t</w:t>
      </w:r>
      <w:r>
        <w:rPr>
          <w:noProof/>
        </w:rPr>
        <w:noBreakHyphen/>
        <w:t>airteagal maidir le tarchuir a bhí sa togra ón gCoimisiún (eadhon, sásra le haghaidh fógraí a chur isteach lena dtugtar foláireamh do sholáthraithe seirbhísí óstála maidir le hábhar sceimhlitheoireachta, ábhar a d’fhéadfadh na soláthraithe a bhreithniú, go deonach, i leith a gcuid téarmaí agus coinníollacha féin). Soiléirítear in aithris, áfach, go bhfuil ionstraim na dtarchur fós ar fáil do na Ballstáit agus do Europol.</w:t>
      </w:r>
    </w:p>
    <w:p>
      <w:pPr>
        <w:pStyle w:val="Tiret0"/>
        <w:rPr>
          <w:i/>
          <w:iCs/>
          <w:noProof/>
        </w:rPr>
      </w:pPr>
      <w:r>
        <w:rPr>
          <w:i/>
          <w:iCs/>
          <w:noProof/>
          <w:u w:val="single"/>
        </w:rPr>
        <w:t>Údaráis inniúla</w:t>
      </w:r>
      <w:r>
        <w:rPr>
          <w:i/>
          <w:iCs/>
          <w:noProof/>
        </w:rPr>
        <w:t xml:space="preserve">: </w:t>
      </w:r>
      <w:r>
        <w:rPr>
          <w:noProof/>
        </w:rPr>
        <w:t>Ainmneoidh na Ballstáit údaráis inniúla i gcomhréir le ceanglais an Rialacháin agus cinnteoidh na Ballstáit nach lorgóidh ná nach nglacfaidh na húdaráis sin treoracha, agus cinnteoidh na Ballstáit go ngníomhóidh na húdaráis ar bhealach oibiachtúil neamh</w:t>
      </w:r>
      <w:r>
        <w:rPr>
          <w:noProof/>
        </w:rPr>
        <w:noBreakHyphen/>
        <w:t>idirdhealaitheach, lena áirithiú go dtabharfar lánurraim do chearta bunúsacha.</w:t>
      </w:r>
    </w:p>
    <w:p>
      <w:pPr>
        <w:pStyle w:val="Tiret0"/>
        <w:rPr>
          <w:iCs/>
          <w:noProof/>
        </w:rPr>
      </w:pPr>
      <w:r>
        <w:rPr>
          <w:i/>
          <w:iCs/>
          <w:noProof/>
          <w:u w:val="single"/>
        </w:rPr>
        <w:t>Pionóis</w:t>
      </w:r>
      <w:r>
        <w:rPr>
          <w:i/>
          <w:iCs/>
          <w:noProof/>
        </w:rPr>
        <w:t>:</w:t>
      </w:r>
      <w:r>
        <w:rPr>
          <w:noProof/>
        </w:rPr>
        <w:t xml:space="preserve"> San Airteagal maidir le pionóis, áirítear an fhéidearthacht shainráite atá ag na Ballstáit a chinneadh cibé acu ar cheart nó nár cheart pionóis a fhorchur i gcásanna aonair, agus na himthosca á gcur san áireamh acu amhail cineál agus méid an tsoláthraí seirbhísí óstála lena mbaineann, a mhéid a bhfuil an locht air as an sárú, agus na bearta teicniúla agus eagraíochtúla a bhí déanta aige chun comhlíonadh cheanglas an Rialacháin a áirithiú.</w:t>
      </w:r>
    </w:p>
    <w:p>
      <w:pPr>
        <w:pStyle w:val="Tiret0"/>
        <w:rPr>
          <w:iCs/>
          <w:noProof/>
        </w:rPr>
      </w:pPr>
      <w:r>
        <w:rPr>
          <w:i/>
          <w:iCs/>
          <w:noProof/>
          <w:u w:val="single"/>
        </w:rPr>
        <w:t>Forálacha críochnaitheacha</w:t>
      </w:r>
      <w:r>
        <w:rPr>
          <w:i/>
          <w:iCs/>
          <w:noProof/>
        </w:rPr>
        <w:t>:</w:t>
      </w:r>
      <w:r>
        <w:rPr>
          <w:noProof/>
        </w:rPr>
        <w:t xml:space="preserve"> An tréimhse ama chun an Rialacháin a chur i bhfeidhm, fadaítear í go 12 mhí tar éis a theacht i bhfeidhm, agus an tréimhse ama chun meastóireacht a dhéanamh ar an Rialachán, giorraítear í go dhá bhliain tar éis a theacht i bhfeidhm.</w:t>
      </w:r>
    </w:p>
    <w:p>
      <w:pPr>
        <w:pStyle w:val="Text1"/>
        <w:spacing w:before="100" w:beforeAutospacing="1" w:after="0"/>
        <w:rPr>
          <w:noProof/>
        </w:rPr>
      </w:pPr>
      <w:r>
        <w:rPr>
          <w:noProof/>
        </w:rPr>
        <w:t>Measann an Coimisiún go gcaomhnaítear príomhchuspóirí an togra thuasluaite ón gCoimisiún ar an iomlán sa chomhaontú polaitiúil ar thángthas air, mar a léirítear sa seasamh ón gComhairle. Go háirithe, is éard atá sa téacs comhaontaithe cur chuige cothrom lena n</w:t>
      </w:r>
      <w:r>
        <w:rPr>
          <w:noProof/>
        </w:rPr>
        <w:noBreakHyphen/>
        <w:t>áirithítear go rachfar i ngleic le hábhar sceimhlitheoireachta ar líne go héifeachtach, go ndéantar foráil maidir le tacar cuimsitheach coimircí chun cearta bunúsacha a chosaint agus go mbeidh na soláthraithe seirbhísí óstála atá gníomhach sa mhargadh inmheánach faoi réir rialacha aonfhoirmeacha comhréireacha.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Conclúid</w:t>
      </w:r>
    </w:p>
    <w:p>
      <w:pPr>
        <w:keepNext/>
        <w:rPr>
          <w:noProof/>
        </w:rPr>
      </w:pPr>
      <w:r>
        <w:rPr>
          <w:noProof/>
        </w:rPr>
        <w:t>Glacann an Coimisiún leis an seasamh ón gComhairle.</w:t>
      </w:r>
    </w:p>
    <w:p>
      <w:pPr>
        <w:keepNext/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GA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GA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GA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GA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Treoir 2000/31/CE ó Pharlaimint na hEorpa agus ón gComhairle an 8 Meitheamh 2000 maidir le gnéithe áirithe dlí de sheirbhísí na sochaí faisnéise, go háirithe an ríomhthráchtáil, sa Mhargadh Inmheánach (IO L 178, 17.7.2000, lgh. 1</w:t>
      </w:r>
      <w:r>
        <w:noBreakHyphen/>
        <w:t>16).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Treoir (AE) 2018/1808 ó Pharlaimint na hEorpa agus ón gComhairle an 14 Samhain 2018 lena leasaítear Treoir 2010/13/AE maidir le comhordú forálacha áirithe arna leagan síos le dlí, rialachán nó gníomh riaracháin i mBallstáit i dtaobh seirbhísí meán closamhairc a sholáthar (IO L 303, 28.11.2018, lgh. 69</w:t>
      </w:r>
      <w:r>
        <w:noBreakHyphen/>
        <w:t>92).</w:t>
      </w:r>
    </w:p>
  </w:footnote>
  <w:footnote w:id="4">
    <w:p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ab/>
        <w:t>Treoir (AE) 2017/541 ó Pharlaimint na hEorpa agus ón gComhairle an 15 Márta 2017 maidir leis an sceimhlitheoireacht a chomhrac, agus lena n</w:t>
      </w:r>
      <w:r>
        <w:noBreakHyphen/>
        <w:t>ionadaítear Cinneadh Réime 2002/475/CGB ón gComhairle agus lena leasaítear Cinneadh 2005/671/CGB ón gComhairle (IO L 88, 31.3.2017, lgh. 6</w:t>
      </w:r>
      <w:r>
        <w:noBreakHyphen/>
        <w:t>21).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E6017E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85C2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BEE8C7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B92F2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A90917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B2054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E9832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A745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3FD5B1E"/>
    <w:multiLevelType w:val="hybridMultilevel"/>
    <w:tmpl w:val="C3D8B91E"/>
    <w:styleLink w:val="ImportedStyle18"/>
    <w:lvl w:ilvl="0" w:tplc="51B066D4">
      <w:start w:val="1"/>
      <w:numFmt w:val="bullet"/>
      <w:lvlText w:val="·"/>
      <w:lvlJc w:val="left"/>
      <w:pPr>
        <w:ind w:left="39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83D8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E09AE0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C2601E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441102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F2FDD0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E6A6DA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26C46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244FCC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01935E7"/>
    <w:multiLevelType w:val="hybridMultilevel"/>
    <w:tmpl w:val="30905E9C"/>
    <w:styleLink w:val="ImportedStyle4"/>
    <w:lvl w:ilvl="0" w:tplc="E8E06C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E6A5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C434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F6D8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1EBA6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AE01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08A6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CA501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225C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</w:num>
  <w:num w:numId="11">
    <w:abstractNumId w:val="22"/>
  </w:num>
  <w:num w:numId="12">
    <w:abstractNumId w:val="10"/>
  </w:num>
  <w:num w:numId="13">
    <w:abstractNumId w:val="19"/>
  </w:num>
  <w:num w:numId="14">
    <w:abstractNumId w:val="13"/>
  </w:num>
  <w:num w:numId="15">
    <w:abstractNumId w:val="21"/>
  </w:num>
  <w:num w:numId="16">
    <w:abstractNumId w:val="12"/>
  </w:num>
  <w:num w:numId="17">
    <w:abstractNumId w:val="14"/>
  </w:num>
  <w:num w:numId="18">
    <w:abstractNumId w:val="9"/>
  </w:num>
  <w:num w:numId="19">
    <w:abstractNumId w:val="20"/>
  </w:num>
  <w:num w:numId="20">
    <w:abstractNumId w:val="8"/>
  </w:num>
  <w:num w:numId="21">
    <w:abstractNumId w:val="15"/>
  </w:num>
  <w:num w:numId="22">
    <w:abstractNumId w:val="17"/>
  </w:num>
  <w:num w:numId="23">
    <w:abstractNumId w:val="18"/>
  </w:num>
  <w:num w:numId="24">
    <w:abstractNumId w:val="11"/>
  </w:num>
  <w:num w:numId="25">
    <w:abstractNumId w:val="16"/>
  </w:num>
  <w:num w:numId="26">
    <w:abstractNumId w:val="23"/>
  </w:num>
  <w:num w:numId="27">
    <w:abstractNumId w:val="19"/>
  </w:num>
  <w:num w:numId="28">
    <w:abstractNumId w:val="13"/>
  </w:num>
  <w:num w:numId="29">
    <w:abstractNumId w:val="21"/>
  </w:num>
  <w:num w:numId="30">
    <w:abstractNumId w:val="12"/>
  </w:num>
  <w:num w:numId="31">
    <w:abstractNumId w:val="14"/>
  </w:num>
  <w:num w:numId="32">
    <w:abstractNumId w:val="9"/>
  </w:num>
  <w:num w:numId="33">
    <w:abstractNumId w:val="20"/>
  </w:num>
  <w:num w:numId="34">
    <w:abstractNumId w:val="8"/>
  </w:num>
  <w:num w:numId="35">
    <w:abstractNumId w:val="15"/>
  </w:num>
  <w:num w:numId="36">
    <w:abstractNumId w:val="17"/>
  </w:num>
  <w:num w:numId="37">
    <w:abstractNumId w:val="18"/>
  </w:num>
  <w:num w:numId="38">
    <w:abstractNumId w:val="11"/>
  </w:num>
  <w:num w:numId="39">
    <w:abstractNumId w:val="16"/>
  </w:num>
  <w:num w:numId="40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1-03-15 10:07:4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3C797DCD-C6A7-4100-98AE-3393FEB85C83"/>
    <w:docVar w:name="LW_COVERPAGE_TYPE" w:val="1"/>
    <w:docVar w:name="LW_CROSSREFERENCE" w:val="&lt;UNUSED&gt;"/>
    <w:docVar w:name="LW_DocType" w:val="COM"/>
    <w:docVar w:name="LW_EMISSION" w:val="17.3.2021"/>
    <w:docVar w:name="LW_EMISSION_ISODATE" w:val="2021-03-17"/>
    <w:docVar w:name="LW_EMISSION_LOCATION" w:val="BRX"/>
    <w:docVar w:name="LW_EMISSION_PREFIX" w:val="An Bhruiséil,"/>
    <w:docVar w:name="LW_EMISSION_SUFFIX" w:val=" "/>
    <w:docVar w:name="LW_ID_DOCMODEL" w:val="SJ-028"/>
    <w:docVar w:name="LW_ID_DOCSTRUCTURE" w:val="COM/PL/CODEC"/>
    <w:docVar w:name="LW_ID_DOCTYPE" w:val="SJ-028"/>
    <w:docVar w:name="LW_INTERETEEE.CP" w:val="&lt;UNUSED&gt;"/>
    <w:docVar w:name="LW_LANGUE" w:val="GA"/>
    <w:docVar w:name="LW_LEVEL_OF_SENSITIVITY" w:val="Standard treatment"/>
    <w:docVar w:name="LW_NOM.INST" w:val="AN COIMISIÚN EORPACH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331"/>
    <w:docVar w:name="LW_REF.II.NEW.CP_YEAR" w:val="2018"/>
    <w:docVar w:name="LW_REF.INST.NEW" w:val="COM"/>
    <w:docVar w:name="LW_REF.INST.NEW_ADOPTED" w:val="final"/>
    <w:docVar w:name="LW_REF.INST.NEW_TEXT" w:val="(2021) 12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" w:val="&lt;FMT:Bold&gt;an seasamh ón gComhairle i dtaca le glacadh Rialacháin ó Pharlaimint na hEorpa agus ón gComhairle chun aghaidh a thabhairt ar scaipeadh ábhair sceimhlitheoireachta ar líne&lt;/FMT&gt;_x000d__x000b_"/>
    <w:docVar w:name="LW_TITRE.OBJ.CP" w:val="&lt;FMT:Bold&gt;an seasamh ón gComhairle i dtaca le glacadh Rialacháin ó Pharlaimint na hEorpa agus ón gComhairle chun aghaidh a thabhairt ar scaipeadh ábhair sceimhlitheoireachta ar líne&lt;/FMT&gt;_x000d__x000b_"/>
    <w:docVar w:name="LW_TYPE.DOC" w:val="TEACHTAIREACHT ÓN gCOIMISIÚN _x000b_CHUIG PARLAIMINT NA hEORPA_x000b__x000b_de bhun Airteagal 294(6) den Chonradh ar Fheidhmiú an Aontais Eorpaigh_x000b__x000b_maidir leis"/>
    <w:docVar w:name="LW_TYPE.DOC.CP" w:val="TEACHTAIREACHT ÓN gCOIMISIÚN _x000b_CHUIG PARLAIMINT NA hEORPA_x000b__x000b_de bhun Airteagal 294(6) den Chonradh ar Fheidhmiú an Aontais Eorpaigh_x000b__x000b_maidir leis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ga-I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ga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ga-I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ga-IE"/>
    </w:rPr>
  </w:style>
  <w:style w:type="numbering" w:customStyle="1" w:styleId="ImportedStyle4">
    <w:name w:val="Imported Style 4"/>
    <w:pPr>
      <w:numPr>
        <w:numId w:val="11"/>
      </w:numPr>
    </w:pPr>
  </w:style>
  <w:style w:type="paragraph" w:styleId="ListParagraph">
    <w:name w:val="List Paragraph"/>
    <w:aliases w:val="Fiche List Paragraph,Task Body,Viñetas (Inicio Parrafo),3 Txt tabla,Zerrenda-paragrafoa,Lista multicolor - Énfasis 11,Paragrafo elenco,Nad,Odstavec_muj,Dot pt,F5 List Paragraph,List Paragraph1,No Spacing1,List Paragraph Char Char Char,L"/>
    <w:link w:val="ListParagraphChar"/>
    <w:uiPriority w:val="1"/>
    <w:qFormat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ListParagraphChar">
    <w:name w:val="List Paragraph Char"/>
    <w:aliases w:val="Fiche List Paragraph Char,Task Body Char,Viñetas (Inicio Parrafo) Char,3 Txt tabla Char,Zerrenda-paragrafoa Char,Lista multicolor - Énfasis 11 Char,Paragrafo elenco Char,Nad Char,Odstavec_muj Char,Dot pt Char,F5 List Paragraph Char"/>
    <w:link w:val="ListParagraph"/>
    <w:uiPriority w:val="34"/>
    <w:qFormat/>
    <w:locked/>
    <w:rPr>
      <w:rFonts w:ascii="Calibri" w:eastAsia="Calibri" w:hAnsi="Calibri" w:cs="Calibri"/>
      <w:color w:val="000000"/>
      <w:u w:color="000000"/>
      <w:bdr w:val="nil"/>
      <w:lang w:val="ga-IE" w:eastAsia="en-GB"/>
    </w:rPr>
  </w:style>
  <w:style w:type="character" w:customStyle="1" w:styleId="Text1Char">
    <w:name w:val="Text 1 Char"/>
    <w:rPr>
      <w:rFonts w:ascii="Times New Roman" w:hAnsi="Times New Roman" w:cs="Times New Roman"/>
      <w:sz w:val="24"/>
      <w:lang w:val="ga-IE"/>
    </w:rPr>
  </w:style>
  <w:style w:type="numbering" w:customStyle="1" w:styleId="ImportedStyle18">
    <w:name w:val="Imported Style 18"/>
    <w:pPr>
      <w:numPr>
        <w:numId w:val="12"/>
      </w:numPr>
    </w:pPr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ga-I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ga-I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7"/>
      </w:numPr>
    </w:pPr>
  </w:style>
  <w:style w:type="paragraph" w:customStyle="1" w:styleId="Tiret1">
    <w:name w:val="Tiret 1"/>
    <w:basedOn w:val="Point1"/>
    <w:pPr>
      <w:numPr>
        <w:numId w:val="28"/>
      </w:numPr>
    </w:pPr>
  </w:style>
  <w:style w:type="paragraph" w:customStyle="1" w:styleId="Tiret2">
    <w:name w:val="Tiret 2"/>
    <w:basedOn w:val="Point2"/>
    <w:pPr>
      <w:numPr>
        <w:numId w:val="29"/>
      </w:numPr>
    </w:pPr>
  </w:style>
  <w:style w:type="paragraph" w:customStyle="1" w:styleId="Tiret3">
    <w:name w:val="Tiret 3"/>
    <w:basedOn w:val="Point3"/>
    <w:pPr>
      <w:numPr>
        <w:numId w:val="30"/>
      </w:numPr>
    </w:pPr>
  </w:style>
  <w:style w:type="paragraph" w:customStyle="1" w:styleId="Tiret4">
    <w:name w:val="Tiret 4"/>
    <w:basedOn w:val="Point4"/>
    <w:pPr>
      <w:numPr>
        <w:numId w:val="3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4"/>
      </w:numPr>
    </w:pPr>
  </w:style>
  <w:style w:type="paragraph" w:customStyle="1" w:styleId="Point1number">
    <w:name w:val="Point 1 (number)"/>
    <w:basedOn w:val="Normal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pPr>
      <w:numPr>
        <w:ilvl w:val="8"/>
        <w:numId w:val="34"/>
      </w:numPr>
    </w:pPr>
  </w:style>
  <w:style w:type="paragraph" w:customStyle="1" w:styleId="Bullet0">
    <w:name w:val="Bullet 0"/>
    <w:basedOn w:val="Normal"/>
    <w:pPr>
      <w:numPr>
        <w:numId w:val="35"/>
      </w:numPr>
    </w:pPr>
  </w:style>
  <w:style w:type="paragraph" w:customStyle="1" w:styleId="Bullet1">
    <w:name w:val="Bullet 1"/>
    <w:basedOn w:val="Normal"/>
    <w:pPr>
      <w:numPr>
        <w:numId w:val="36"/>
      </w:numPr>
    </w:pPr>
  </w:style>
  <w:style w:type="paragraph" w:customStyle="1" w:styleId="Bullet2">
    <w:name w:val="Bullet 2"/>
    <w:basedOn w:val="Normal"/>
    <w:pPr>
      <w:numPr>
        <w:numId w:val="37"/>
      </w:numPr>
    </w:pPr>
  </w:style>
  <w:style w:type="paragraph" w:customStyle="1" w:styleId="Bullet3">
    <w:name w:val="Bullet 3"/>
    <w:basedOn w:val="Normal"/>
    <w:pPr>
      <w:numPr>
        <w:numId w:val="38"/>
      </w:numPr>
    </w:pPr>
  </w:style>
  <w:style w:type="paragraph" w:customStyle="1" w:styleId="Bullet4">
    <w:name w:val="Bullet 4"/>
    <w:basedOn w:val="Normal"/>
    <w:pPr>
      <w:numPr>
        <w:numId w:val="3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ga-I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ga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ga-I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ga-IE"/>
    </w:rPr>
  </w:style>
  <w:style w:type="numbering" w:customStyle="1" w:styleId="ImportedStyle4">
    <w:name w:val="Imported Style 4"/>
    <w:pPr>
      <w:numPr>
        <w:numId w:val="11"/>
      </w:numPr>
    </w:pPr>
  </w:style>
  <w:style w:type="paragraph" w:styleId="ListParagraph">
    <w:name w:val="List Paragraph"/>
    <w:aliases w:val="Fiche List Paragraph,Task Body,Viñetas (Inicio Parrafo),3 Txt tabla,Zerrenda-paragrafoa,Lista multicolor - Énfasis 11,Paragrafo elenco,Nad,Odstavec_muj,Dot pt,F5 List Paragraph,List Paragraph1,No Spacing1,List Paragraph Char Char Char,L"/>
    <w:link w:val="ListParagraphChar"/>
    <w:uiPriority w:val="1"/>
    <w:qFormat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ListParagraphChar">
    <w:name w:val="List Paragraph Char"/>
    <w:aliases w:val="Fiche List Paragraph Char,Task Body Char,Viñetas (Inicio Parrafo) Char,3 Txt tabla Char,Zerrenda-paragrafoa Char,Lista multicolor - Énfasis 11 Char,Paragrafo elenco Char,Nad Char,Odstavec_muj Char,Dot pt Char,F5 List Paragraph Char"/>
    <w:link w:val="ListParagraph"/>
    <w:uiPriority w:val="34"/>
    <w:qFormat/>
    <w:locked/>
    <w:rPr>
      <w:rFonts w:ascii="Calibri" w:eastAsia="Calibri" w:hAnsi="Calibri" w:cs="Calibri"/>
      <w:color w:val="000000"/>
      <w:u w:color="000000"/>
      <w:bdr w:val="nil"/>
      <w:lang w:val="ga-IE" w:eastAsia="en-GB"/>
    </w:rPr>
  </w:style>
  <w:style w:type="character" w:customStyle="1" w:styleId="Text1Char">
    <w:name w:val="Text 1 Char"/>
    <w:rPr>
      <w:rFonts w:ascii="Times New Roman" w:hAnsi="Times New Roman" w:cs="Times New Roman"/>
      <w:sz w:val="24"/>
      <w:lang w:val="ga-IE"/>
    </w:rPr>
  </w:style>
  <w:style w:type="numbering" w:customStyle="1" w:styleId="ImportedStyle18">
    <w:name w:val="Imported Style 18"/>
    <w:pPr>
      <w:numPr>
        <w:numId w:val="12"/>
      </w:numPr>
    </w:pPr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ga-I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ga-I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7"/>
      </w:numPr>
    </w:pPr>
  </w:style>
  <w:style w:type="paragraph" w:customStyle="1" w:styleId="Tiret1">
    <w:name w:val="Tiret 1"/>
    <w:basedOn w:val="Point1"/>
    <w:pPr>
      <w:numPr>
        <w:numId w:val="28"/>
      </w:numPr>
    </w:pPr>
  </w:style>
  <w:style w:type="paragraph" w:customStyle="1" w:styleId="Tiret2">
    <w:name w:val="Tiret 2"/>
    <w:basedOn w:val="Point2"/>
    <w:pPr>
      <w:numPr>
        <w:numId w:val="29"/>
      </w:numPr>
    </w:pPr>
  </w:style>
  <w:style w:type="paragraph" w:customStyle="1" w:styleId="Tiret3">
    <w:name w:val="Tiret 3"/>
    <w:basedOn w:val="Point3"/>
    <w:pPr>
      <w:numPr>
        <w:numId w:val="30"/>
      </w:numPr>
    </w:pPr>
  </w:style>
  <w:style w:type="paragraph" w:customStyle="1" w:styleId="Tiret4">
    <w:name w:val="Tiret 4"/>
    <w:basedOn w:val="Point4"/>
    <w:pPr>
      <w:numPr>
        <w:numId w:val="3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4"/>
      </w:numPr>
    </w:pPr>
  </w:style>
  <w:style w:type="paragraph" w:customStyle="1" w:styleId="Point1number">
    <w:name w:val="Point 1 (number)"/>
    <w:basedOn w:val="Normal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pPr>
      <w:numPr>
        <w:ilvl w:val="8"/>
        <w:numId w:val="34"/>
      </w:numPr>
    </w:pPr>
  </w:style>
  <w:style w:type="paragraph" w:customStyle="1" w:styleId="Bullet0">
    <w:name w:val="Bullet 0"/>
    <w:basedOn w:val="Normal"/>
    <w:pPr>
      <w:numPr>
        <w:numId w:val="35"/>
      </w:numPr>
    </w:pPr>
  </w:style>
  <w:style w:type="paragraph" w:customStyle="1" w:styleId="Bullet1">
    <w:name w:val="Bullet 1"/>
    <w:basedOn w:val="Normal"/>
    <w:pPr>
      <w:numPr>
        <w:numId w:val="36"/>
      </w:numPr>
    </w:pPr>
  </w:style>
  <w:style w:type="paragraph" w:customStyle="1" w:styleId="Bullet2">
    <w:name w:val="Bullet 2"/>
    <w:basedOn w:val="Normal"/>
    <w:pPr>
      <w:numPr>
        <w:numId w:val="37"/>
      </w:numPr>
    </w:pPr>
  </w:style>
  <w:style w:type="paragraph" w:customStyle="1" w:styleId="Bullet3">
    <w:name w:val="Bullet 3"/>
    <w:basedOn w:val="Normal"/>
    <w:pPr>
      <w:numPr>
        <w:numId w:val="38"/>
      </w:numPr>
    </w:pPr>
  </w:style>
  <w:style w:type="paragraph" w:customStyle="1" w:styleId="Bullet4">
    <w:name w:val="Bullet 4"/>
    <w:basedOn w:val="Normal"/>
    <w:pPr>
      <w:numPr>
        <w:numId w:val="3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974D4FD-4EE7-4FD1-A892-710B1C7D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0</TotalTime>
  <Pages>5</Pages>
  <Words>1689</Words>
  <Characters>9257</Characters>
  <Application>Microsoft Office Word</Application>
  <DocSecurity>0</DocSecurity>
  <Lines>162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DIGIT/C6</cp:lastModifiedBy>
  <cp:revision>17</cp:revision>
  <dcterms:created xsi:type="dcterms:W3CDTF">2021-03-12T16:17:00Z</dcterms:created>
  <dcterms:modified xsi:type="dcterms:W3CDTF">2021-03-15T09:07:00Z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COM/PL/CODEC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SJ-028</vt:lpwstr>
  </property>
  <property fmtid="{D5CDD505-2E9C-101B-9397-08002B2CF9AE}" pid="10" name="DQCStatus">
    <vt:lpwstr>Green (DQC version 03)</vt:lpwstr>
  </property>
</Properties>
</file>