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12BA3A6-AAC6-4459-8940-CD0E5E344872" style="width:450.75pt;height:418.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2018/0227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inför antagandet av Europaparlamentets och rådets förordning om programmet för ett digitalt Europa för perioden 2021–2027</w:t>
      </w:r>
    </w:p>
    <w:p>
      <w:pPr>
        <w:pStyle w:val="IntrtEEE"/>
        <w:rPr>
          <w:noProof/>
        </w:rPr>
      </w:pPr>
      <w:r>
        <w:rPr>
          <w:noProof/>
        </w:rPr>
        <w:t>(Text av betydelse för EES)</w:t>
      </w:r>
    </w:p>
    <w:p>
      <w:pPr>
        <w:pStyle w:val="ManualHeading1"/>
        <w:rPr>
          <w:noProof/>
          <w:sz w:val="22"/>
        </w:rPr>
      </w:pPr>
      <w:r>
        <w:rPr>
          <w:noProof/>
        </w:rPr>
        <w:t>1.</w:t>
      </w:r>
      <w:r>
        <w:rPr>
          <w:noProof/>
        </w:rPr>
        <w:tab/>
        <w:t xml:space="preserve">Bakgrund </w:t>
      </w:r>
    </w:p>
    <w:tbl>
      <w:tblPr>
        <w:tblW w:w="0" w:type="auto"/>
        <w:tblLayout w:type="fixed"/>
        <w:tblLook w:val="0000" w:firstRow="0" w:lastRow="0" w:firstColumn="0" w:lastColumn="0" w:noHBand="0" w:noVBand="0"/>
      </w:tblPr>
      <w:tblGrid>
        <w:gridCol w:w="6804"/>
        <w:gridCol w:w="2043"/>
        <w:gridCol w:w="440"/>
      </w:tblGrid>
      <w:tr>
        <w:tc>
          <w:tcPr>
            <w:tcW w:w="6804" w:type="dxa"/>
          </w:tcPr>
          <w:p>
            <w:pPr>
              <w:jc w:val="left"/>
              <w:rPr>
                <w:noProof/>
              </w:rPr>
            </w:pPr>
            <w:r>
              <w:rPr>
                <w:noProof/>
              </w:rPr>
              <w:t>Överlämnande av förslaget till Europaparlamentet och rådet (dokument COM(2018) 434 final – 2018/0227 COD):</w:t>
            </w:r>
          </w:p>
        </w:tc>
        <w:tc>
          <w:tcPr>
            <w:tcW w:w="2483" w:type="dxa"/>
            <w:gridSpan w:val="2"/>
          </w:tcPr>
          <w:p>
            <w:pPr>
              <w:jc w:val="left"/>
              <w:rPr>
                <w:noProof/>
              </w:rPr>
            </w:pPr>
            <w:r>
              <w:rPr>
                <w:noProof/>
              </w:rPr>
              <w:t>den 6 juni 2018</w:t>
            </w:r>
          </w:p>
        </w:tc>
      </w:tr>
      <w:tr>
        <w:tc>
          <w:tcPr>
            <w:tcW w:w="6804" w:type="dxa"/>
          </w:tcPr>
          <w:p>
            <w:pPr>
              <w:jc w:val="left"/>
              <w:rPr>
                <w:noProof/>
              </w:rPr>
            </w:pPr>
            <w:r>
              <w:rPr>
                <w:noProof/>
              </w:rPr>
              <w:t>Rådets överenskommelse om en partiell allmän riktlinje:</w:t>
            </w:r>
          </w:p>
        </w:tc>
        <w:tc>
          <w:tcPr>
            <w:tcW w:w="2483" w:type="dxa"/>
            <w:gridSpan w:val="2"/>
          </w:tcPr>
          <w:p>
            <w:pPr>
              <w:jc w:val="left"/>
              <w:rPr>
                <w:noProof/>
              </w:rPr>
            </w:pPr>
            <w:r>
              <w:rPr>
                <w:noProof/>
              </w:rPr>
              <w:t>den 29 november 2018</w:t>
            </w:r>
          </w:p>
        </w:tc>
      </w:tr>
      <w:tr>
        <w:trPr>
          <w:gridAfter w:val="1"/>
          <w:wAfter w:w="440" w:type="dxa"/>
        </w:trPr>
        <w:tc>
          <w:tcPr>
            <w:tcW w:w="6804" w:type="dxa"/>
          </w:tcPr>
          <w:p>
            <w:pPr>
              <w:rPr>
                <w:noProof/>
              </w:rPr>
            </w:pPr>
            <w:r>
              <w:rPr>
                <w:noProof/>
              </w:rPr>
              <w:t>Trepartsmöte 1</w:t>
            </w:r>
          </w:p>
        </w:tc>
        <w:tc>
          <w:tcPr>
            <w:tcW w:w="2043" w:type="dxa"/>
          </w:tcPr>
          <w:p>
            <w:pPr>
              <w:jc w:val="left"/>
              <w:rPr>
                <w:noProof/>
              </w:rPr>
            </w:pPr>
            <w:r>
              <w:rPr>
                <w:noProof/>
              </w:rPr>
              <w:t>den 13 februari 2019</w:t>
            </w:r>
          </w:p>
        </w:tc>
      </w:tr>
      <w:tr>
        <w:tc>
          <w:tcPr>
            <w:tcW w:w="6804" w:type="dxa"/>
          </w:tcPr>
          <w:p>
            <w:pPr>
              <w:rPr>
                <w:noProof/>
              </w:rPr>
            </w:pPr>
            <w:r>
              <w:rPr>
                <w:noProof/>
              </w:rPr>
              <w:t>Partiell preliminär kompromissöverenskommelse (gemensam överenskommelse) godkänd av Coreper</w:t>
            </w:r>
          </w:p>
        </w:tc>
        <w:tc>
          <w:tcPr>
            <w:tcW w:w="2483" w:type="dxa"/>
            <w:gridSpan w:val="2"/>
          </w:tcPr>
          <w:p>
            <w:pPr>
              <w:jc w:val="left"/>
              <w:rPr>
                <w:noProof/>
              </w:rPr>
            </w:pPr>
            <w:r>
              <w:rPr>
                <w:noProof/>
              </w:rPr>
              <w:t>den 13 mars 2019</w:t>
            </w:r>
          </w:p>
        </w:tc>
      </w:tr>
      <w:tr>
        <w:tc>
          <w:tcPr>
            <w:tcW w:w="6804" w:type="dxa"/>
          </w:tcPr>
          <w:p>
            <w:pPr>
              <w:rPr>
                <w:noProof/>
              </w:rPr>
            </w:pPr>
            <w:r>
              <w:rPr>
                <w:noProof/>
              </w:rPr>
              <w:t>Europaparlamentets ståndpunkt vid första behandlingen (som innefattar den gemensamma överenskommelsen):</w:t>
            </w:r>
          </w:p>
        </w:tc>
        <w:tc>
          <w:tcPr>
            <w:tcW w:w="2483" w:type="dxa"/>
            <w:gridSpan w:val="2"/>
          </w:tcPr>
          <w:p>
            <w:pPr>
              <w:jc w:val="left"/>
              <w:rPr>
                <w:noProof/>
              </w:rPr>
            </w:pPr>
            <w:r>
              <w:rPr>
                <w:noProof/>
              </w:rPr>
              <w:t>den 17 april 2019</w:t>
            </w:r>
          </w:p>
        </w:tc>
      </w:tr>
      <w:tr>
        <w:tc>
          <w:tcPr>
            <w:tcW w:w="6804" w:type="dxa"/>
          </w:tcPr>
          <w:p>
            <w:pPr>
              <w:rPr>
                <w:noProof/>
              </w:rPr>
            </w:pPr>
            <w:r>
              <w:rPr>
                <w:noProof/>
              </w:rPr>
              <w:t>Trepartsmöte 2 (slutligt)</w:t>
            </w:r>
          </w:p>
        </w:tc>
        <w:tc>
          <w:tcPr>
            <w:tcW w:w="2483" w:type="dxa"/>
            <w:gridSpan w:val="2"/>
          </w:tcPr>
          <w:p>
            <w:pPr>
              <w:jc w:val="left"/>
              <w:rPr>
                <w:noProof/>
              </w:rPr>
            </w:pPr>
            <w:r>
              <w:rPr>
                <w:noProof/>
              </w:rPr>
              <w:t>den 14 december 2020</w:t>
            </w:r>
          </w:p>
        </w:tc>
      </w:tr>
      <w:tr>
        <w:tc>
          <w:tcPr>
            <w:tcW w:w="6804" w:type="dxa"/>
          </w:tcPr>
          <w:p>
            <w:pPr>
              <w:rPr>
                <w:noProof/>
              </w:rPr>
            </w:pPr>
            <w:r>
              <w:rPr>
                <w:noProof/>
              </w:rPr>
              <w:t xml:space="preserve">Politisk överenskommelse i ständiga representanternas kommitté </w:t>
            </w:r>
          </w:p>
        </w:tc>
        <w:tc>
          <w:tcPr>
            <w:tcW w:w="2483" w:type="dxa"/>
            <w:gridSpan w:val="2"/>
          </w:tcPr>
          <w:p>
            <w:pPr>
              <w:jc w:val="left"/>
              <w:rPr>
                <w:noProof/>
              </w:rPr>
            </w:pPr>
            <w:r>
              <w:rPr>
                <w:noProof/>
              </w:rPr>
              <w:t xml:space="preserve">den 18 december 2020 </w:t>
            </w:r>
          </w:p>
        </w:tc>
      </w:tr>
      <w:tr>
        <w:tc>
          <w:tcPr>
            <w:tcW w:w="6804" w:type="dxa"/>
          </w:tcPr>
          <w:p>
            <w:pPr>
              <w:rPr>
                <w:noProof/>
              </w:rPr>
            </w:pPr>
            <w:r>
              <w:rPr>
                <w:noProof/>
              </w:rPr>
              <w:t xml:space="preserve">Omröstning i Europaparlamentets utskott för kultur och utbildning om att stödja kompromissöverenskommelsen: </w:t>
            </w:r>
          </w:p>
        </w:tc>
        <w:tc>
          <w:tcPr>
            <w:tcW w:w="2483" w:type="dxa"/>
            <w:gridSpan w:val="2"/>
          </w:tcPr>
          <w:p>
            <w:pPr>
              <w:jc w:val="left"/>
              <w:rPr>
                <w:noProof/>
              </w:rPr>
            </w:pPr>
            <w:r>
              <w:rPr>
                <w:noProof/>
              </w:rPr>
              <w:t>den 14 januari 2021</w:t>
            </w:r>
          </w:p>
        </w:tc>
      </w:tr>
      <w:tr>
        <w:tc>
          <w:tcPr>
            <w:tcW w:w="6804" w:type="dxa"/>
          </w:tcPr>
          <w:p>
            <w:pPr>
              <w:rPr>
                <w:noProof/>
              </w:rPr>
            </w:pPr>
            <w:r>
              <w:rPr>
                <w:noProof/>
              </w:rPr>
              <w:t>Rådets ståndpunkt vid första behandlingen:</w:t>
            </w:r>
          </w:p>
        </w:tc>
        <w:tc>
          <w:tcPr>
            <w:tcW w:w="2483" w:type="dxa"/>
            <w:gridSpan w:val="2"/>
          </w:tcPr>
          <w:p>
            <w:pPr>
              <w:jc w:val="left"/>
              <w:rPr>
                <w:noProof/>
              </w:rPr>
            </w:pPr>
            <w:r>
              <w:rPr>
                <w:noProof/>
              </w:rPr>
              <w:t>den 16 mars 2021</w:t>
            </w:r>
          </w:p>
        </w:tc>
      </w:tr>
    </w:tbl>
    <w:p>
      <w:pPr>
        <w:pStyle w:val="ManualHeading1"/>
        <w:rPr>
          <w:noProof/>
          <w:szCs w:val="24"/>
        </w:rPr>
      </w:pPr>
      <w:r>
        <w:rPr>
          <w:noProof/>
        </w:rPr>
        <w:t>2.</w:t>
      </w:r>
      <w:r>
        <w:rPr>
          <w:noProof/>
        </w:rPr>
        <w:tab/>
        <w:t>Syfte med kommissionens förslag</w:t>
      </w:r>
    </w:p>
    <w:p>
      <w:pPr>
        <w:rPr>
          <w:noProof/>
          <w:szCs w:val="24"/>
        </w:rPr>
      </w:pPr>
      <w:r>
        <w:rPr>
          <w:noProof/>
        </w:rPr>
        <w:t xml:space="preserve">Programmet för ett digitalt Europa är en central del av kommissionens övergripande arbete för att klara den digitala omvandlingen och ingår i förslaget till flerårig budgetram (MFF) för 2021–2027. </w:t>
      </w:r>
    </w:p>
    <w:p>
      <w:pPr>
        <w:rPr>
          <w:noProof/>
          <w:szCs w:val="24"/>
        </w:rPr>
      </w:pPr>
      <w:r>
        <w:rPr>
          <w:noProof/>
        </w:rPr>
        <w:t xml:space="preserve">Syftet med förslaget är att inrätta ett finansieringsinstrument för att maximera den digitala omvandlingens vinster för Europas medborgare, företag och offentliga förvaltningar genom att förstärka EU:s digitala kapacitet på fem centrala områden (så kallade särskilda mål): högpresterande datorsystem, artificiell intelligens, cybersäkerhet, avancerade digitala färdigheter samt utbyggnad, bästa användning av digital kapacitet och interoperabilitet. </w:t>
      </w:r>
    </w:p>
    <w:p>
      <w:pPr>
        <w:rPr>
          <w:noProof/>
        </w:rPr>
      </w:pPr>
      <w:r>
        <w:rPr>
          <w:noProof/>
        </w:rPr>
        <w:lastRenderedPageBreak/>
        <w:t>Programmet för ett digitalt Europa är ett investeringsprogram som är inriktat på uppbyggnad av strategisk digital kapacitet i EU och på att främja en omfattande spridning av digital teknik som kan användas av människor och företag i Europa. Det tar upp unionens viktigaste prioriteringar, särskilt den gröna och digitala omställningen och motståndskraften hos den inre marknaden.  Det kommer att koncentrera sig på områden där ingen enskild medlemsstat kan säkerställa den nivå som krävs för digital framgång. Fokus kommer också att läggas på de områden där offentliga medel får störst effekt. Den överenskomna totala finansieringsramen är på 7,59 miljarder euro (i löpande priser).</w:t>
      </w:r>
    </w:p>
    <w:p>
      <w:pPr>
        <w:pStyle w:val="ManualHeading1"/>
        <w:rPr>
          <w:noProof/>
        </w:rPr>
      </w:pPr>
      <w:r>
        <w:rPr>
          <w:noProof/>
        </w:rPr>
        <w:t>3.</w:t>
      </w:r>
      <w:r>
        <w:rPr>
          <w:noProof/>
        </w:rPr>
        <w:tab/>
        <w:t>Kommentarer till rådets ståndpunkt</w:t>
      </w:r>
    </w:p>
    <w:p>
      <w:pPr>
        <w:pStyle w:val="ManualHeading1"/>
        <w:tabs>
          <w:tab w:val="clear" w:pos="850"/>
        </w:tabs>
        <w:ind w:left="0" w:firstLine="0"/>
        <w:rPr>
          <w:b w:val="0"/>
          <w:smallCaps w:val="0"/>
          <w:noProof/>
        </w:rPr>
      </w:pPr>
      <w:r>
        <w:rPr>
          <w:b w:val="0"/>
          <w:smallCaps w:val="0"/>
          <w:noProof/>
        </w:rPr>
        <w:t xml:space="preserve">Rådets ståndpunkt återspeglar till fullo den överenskommelse som nåddes i trepartsmötena. De viktigaste ändringar som infördes jämfört med kommissionens förslag är följande: </w:t>
      </w:r>
    </w:p>
    <w:p>
      <w:pPr>
        <w:pStyle w:val="Tiret0"/>
        <w:numPr>
          <w:ilvl w:val="0"/>
          <w:numId w:val="1"/>
        </w:numPr>
        <w:spacing w:before="240"/>
        <w:ind w:left="851" w:hanging="851"/>
        <w:rPr>
          <w:noProof/>
        </w:rPr>
      </w:pPr>
      <w:r>
        <w:rPr>
          <w:i/>
          <w:iCs/>
          <w:noProof/>
        </w:rPr>
        <w:t xml:space="preserve">Skydd av unionens ekonomiska intressen. </w:t>
      </w:r>
      <w:r>
        <w:rPr>
          <w:noProof/>
        </w:rPr>
        <w:t xml:space="preserve">Ett skäl med en hänvisning till den generella villkorlighetsordningen för skydd av unionsbudgeten mot sådana överträdelser av rättsstatens principer som påverkar dess sunda ekonomiska förvaltning eller skyddet av unionens ekonomiska intressen anpassades till mekanismens överenskomna lydelse. Kommissionen stödde en sådan anpassning.  </w:t>
      </w:r>
    </w:p>
    <w:p>
      <w:pPr>
        <w:pStyle w:val="Tiret0"/>
        <w:numPr>
          <w:ilvl w:val="0"/>
          <w:numId w:val="1"/>
        </w:numPr>
        <w:tabs>
          <w:tab w:val="clear" w:pos="850"/>
        </w:tabs>
        <w:spacing w:before="240"/>
        <w:ind w:left="851" w:hanging="851"/>
        <w:rPr>
          <w:noProof/>
        </w:rPr>
      </w:pPr>
      <w:r>
        <w:rPr>
          <w:i/>
          <w:iCs/>
          <w:noProof/>
        </w:rPr>
        <w:t>Anpassning av programmet för ett digitalt Europa till löptiden för den fleråriga budgetramen 2021–2027</w:t>
      </w:r>
      <w:r>
        <w:rPr>
          <w:noProof/>
        </w:rPr>
        <w:t xml:space="preserve">. Kommissionen stödde målet att säkerställa en kontinuitet i händelse av förseningar i övergången till nästa fleråriga budgetram </w:t>
      </w:r>
      <w:r>
        <w:rPr>
          <w:noProof/>
          <w:color w:val="000000" w:themeColor="text1"/>
        </w:rPr>
        <w:t xml:space="preserve">utan att </w:t>
      </w:r>
      <w:r>
        <w:rPr>
          <w:bCs/>
          <w:noProof/>
          <w:color w:val="000000" w:themeColor="text1"/>
        </w:rPr>
        <w:t>tolka de överenskomna bestämmelserna som</w:t>
      </w:r>
      <w:r>
        <w:rPr>
          <w:noProof/>
          <w:color w:val="000000" w:themeColor="text1"/>
        </w:rPr>
        <w:t xml:space="preserve"> en automatisk förlängning av programmet</w:t>
      </w:r>
      <w:r>
        <w:rPr>
          <w:noProof/>
        </w:rPr>
        <w:t>.</w:t>
      </w:r>
    </w:p>
    <w:p>
      <w:pPr>
        <w:pStyle w:val="Tiret0"/>
        <w:numPr>
          <w:ilvl w:val="0"/>
          <w:numId w:val="1"/>
        </w:numPr>
        <w:tabs>
          <w:tab w:val="clear" w:pos="850"/>
        </w:tabs>
        <w:spacing w:before="240"/>
        <w:ind w:left="851" w:hanging="851"/>
        <w:rPr>
          <w:noProof/>
        </w:rPr>
      </w:pPr>
      <w:r>
        <w:rPr>
          <w:i/>
          <w:iCs/>
          <w:noProof/>
        </w:rPr>
        <w:t xml:space="preserve">Klausul om retroaktivitet. </w:t>
      </w:r>
      <w:r>
        <w:rPr>
          <w:noProof/>
        </w:rPr>
        <w:t xml:space="preserve">Retroaktivitetsbestämmelser lades till för att säkerställa kontinuitet i tillhandahållandet av stöd till befintliga åtgärder som för närvarande stöds av Fonden för ett sammanlänkat Europa och program avseende lösningar för att uppnå interoperabilitet mellan offentliga förvaltningar, företag och medborgare (ISA2) och för att möjliggöra ett genomförande från och med inledningen av den fleråriga budgetramen 2021–2027. Kommissionen stödde detta tillägg. </w:t>
      </w:r>
    </w:p>
    <w:p>
      <w:pPr>
        <w:pStyle w:val="Tiret0"/>
        <w:numPr>
          <w:ilvl w:val="0"/>
          <w:numId w:val="2"/>
        </w:numPr>
        <w:tabs>
          <w:tab w:val="clear" w:pos="850"/>
        </w:tabs>
        <w:spacing w:before="240" w:beforeAutospacing="1" w:after="0"/>
        <w:rPr>
          <w:noProof/>
        </w:rPr>
      </w:pPr>
      <w:r>
        <w:rPr>
          <w:i/>
          <w:iCs/>
          <w:noProof/>
        </w:rPr>
        <w:t>Klimatet.</w:t>
      </w:r>
      <w:r>
        <w:rPr>
          <w:noProof/>
        </w:rPr>
        <w:t xml:space="preserve"> Hänvisningen till det övergripande klimatutgiftsmålet för hela den fleråriga budgetramen (ursprungligen 25 %) uppdaterades till 30 %. </w:t>
      </w:r>
      <w:r>
        <w:rPr>
          <w:i/>
          <w:noProof/>
        </w:rPr>
        <w:t xml:space="preserve">Mål för biologisk mångfald. </w:t>
      </w:r>
      <w:r>
        <w:rPr>
          <w:noProof/>
        </w:rPr>
        <w:t>Innehållet i standardskälet om biologisk mångfald, nämligen bidraget till målet för utgifter för biologisk mångfald, lades till i skälet om ett klimatmål. Kommissionen godkände uppdateringen av klimatmålet och tillägget av målet för biologisk mångfald.</w:t>
      </w:r>
      <w:r>
        <w:rPr>
          <w:i/>
          <w:noProof/>
        </w:rPr>
        <w:t xml:space="preserve"> </w:t>
      </w:r>
    </w:p>
    <w:p>
      <w:pPr>
        <w:pStyle w:val="Tiret0"/>
        <w:numPr>
          <w:ilvl w:val="0"/>
          <w:numId w:val="2"/>
        </w:numPr>
        <w:tabs>
          <w:tab w:val="clear" w:pos="850"/>
        </w:tabs>
        <w:spacing w:before="240" w:beforeAutospacing="1" w:after="0"/>
        <w:rPr>
          <w:noProof/>
        </w:rPr>
      </w:pPr>
      <w:r>
        <w:rPr>
          <w:i/>
          <w:iCs/>
          <w:noProof/>
        </w:rPr>
        <w:t xml:space="preserve">Budgetfördelning över de särskilda målen och finansieringsramen för ”Interoperabilitet”. </w:t>
      </w:r>
      <w:r>
        <w:rPr>
          <w:noProof/>
        </w:rPr>
        <w:t xml:space="preserve">De belopp som anslogs till särskilda mål minskades proportionellt, vilket återspeglade viktningen och balansen i det ursprungliga förslaget (linjärt/proportionellt sett över de särskilda målen), samtidigt som finansieringsramen för interoperabilitet skyddades. Kommissionen stödde bibehållandet av viktningen och balansen i det ursprungliga förslaget. </w:t>
      </w:r>
    </w:p>
    <w:p>
      <w:pPr>
        <w:pStyle w:val="Tiret0"/>
        <w:numPr>
          <w:ilvl w:val="0"/>
          <w:numId w:val="2"/>
        </w:numPr>
        <w:spacing w:before="240" w:beforeAutospacing="1" w:after="0"/>
        <w:rPr>
          <w:noProof/>
        </w:rPr>
      </w:pPr>
      <w:r>
        <w:rPr>
          <w:i/>
          <w:iCs/>
          <w:noProof/>
        </w:rPr>
        <w:t xml:space="preserve">Övergripande anpassning av bestämmelserna om återföring av outnyttjade medel som överförts till programmet för ett digitalt Europa från medel under delad förvaltning. </w:t>
      </w:r>
      <w:r>
        <w:rPr>
          <w:noProof/>
        </w:rPr>
        <w:t xml:space="preserve">Bestämmelser om återföring av outnyttjade medel som överförts till programmet för ett digitalt Europa från medel under delad förvaltning infördes, vilket återspeglar den strategi som antagits i Horisont Europa.  Den 8 mars 2019 gjorde kommissionen ett uttalande där den uttryckte sina invändningar mot avtalet </w:t>
      </w:r>
      <w:r>
        <w:rPr>
          <w:noProof/>
        </w:rPr>
        <w:lastRenderedPageBreak/>
        <w:t xml:space="preserve">med avseende på bestämmelserna om överföring av medel (artikel 9.5) och samfinansiering. </w:t>
      </w:r>
    </w:p>
    <w:p>
      <w:pPr>
        <w:pStyle w:val="Tiret0"/>
        <w:numPr>
          <w:ilvl w:val="0"/>
          <w:numId w:val="3"/>
        </w:numPr>
        <w:spacing w:before="0" w:beforeAutospacing="1" w:after="200" w:line="276" w:lineRule="auto"/>
        <w:ind w:left="426"/>
        <w:rPr>
          <w:noProof/>
        </w:rPr>
      </w:pPr>
      <w:r>
        <w:rPr>
          <w:i/>
          <w:iCs/>
          <w:noProof/>
        </w:rPr>
        <w:t>Antagande av arbetsprogram</w:t>
      </w:r>
      <w:r>
        <w:rPr>
          <w:noProof/>
        </w:rPr>
        <w:t xml:space="preserve">. Alla parter enades om att arbetsprogram skulle antas i form av genomförandeakter med tillämpning av granskningsförfarandet (kommittéförfarandet). Man enades också om användningen av delegerade akter för att ändra bilaga 1. </w:t>
      </w:r>
    </w:p>
    <w:p>
      <w:pPr>
        <w:pStyle w:val="Tiret0"/>
        <w:numPr>
          <w:ilvl w:val="0"/>
          <w:numId w:val="3"/>
        </w:numPr>
        <w:spacing w:before="0" w:beforeAutospacing="1" w:after="200" w:line="276" w:lineRule="auto"/>
        <w:ind w:left="426"/>
        <w:rPr>
          <w:noProof/>
        </w:rPr>
      </w:pPr>
      <w:r>
        <w:rPr>
          <w:i/>
          <w:iCs/>
          <w:noProof/>
        </w:rPr>
        <w:t xml:space="preserve">Cybersäkerhet. </w:t>
      </w:r>
      <w:r>
        <w:rPr>
          <w:noProof/>
        </w:rPr>
        <w:t xml:space="preserve">Ytterligare förtydliganden gjordes om genomförandet av åtgärder inom Särskilt mål 3, cybersäkerhet och förtroende, där detta särskilda mål huvudsakligen kommer att genomföras genom det föreslagna europeiska kompetenscentrumet för cybersäkerhet inom näringsliv, teknik och forskning och kompetensnätverket för cybersäkerhet (CCCN). </w:t>
      </w:r>
    </w:p>
    <w:p>
      <w:pPr>
        <w:pStyle w:val="Tiret0"/>
        <w:numPr>
          <w:ilvl w:val="0"/>
          <w:numId w:val="3"/>
        </w:numPr>
        <w:spacing w:before="0" w:beforeAutospacing="1" w:after="200" w:line="276" w:lineRule="auto"/>
        <w:ind w:left="426"/>
        <w:rPr>
          <w:noProof/>
        </w:rPr>
      </w:pPr>
      <w:r>
        <w:rPr>
          <w:i/>
          <w:iCs/>
          <w:noProof/>
        </w:rPr>
        <w:t>Deltagande av tredjeländer.</w:t>
      </w:r>
      <w:r>
        <w:rPr>
          <w:noProof/>
        </w:rPr>
        <w:t xml:space="preserve"> Möjligheten till en partiell associering av tredjeländer till programmet på nivån för enskilda särskilda mål möjliggjordes uttryckligen. </w:t>
      </w:r>
    </w:p>
    <w:p>
      <w:pPr>
        <w:pStyle w:val="Tiret0"/>
        <w:numPr>
          <w:ilvl w:val="0"/>
          <w:numId w:val="3"/>
        </w:numPr>
        <w:spacing w:before="100" w:beforeAutospacing="1" w:after="0" w:line="276" w:lineRule="auto"/>
        <w:ind w:left="426"/>
        <w:rPr>
          <w:noProof/>
        </w:rPr>
      </w:pPr>
      <w:r>
        <w:rPr>
          <w:i/>
          <w:iCs/>
          <w:noProof/>
        </w:rPr>
        <w:t xml:space="preserve">Spetskompetensstämpel. </w:t>
      </w:r>
      <w:r>
        <w:rPr>
          <w:noProof/>
        </w:rPr>
        <w:t xml:space="preserve">Bestämmelserna om </w:t>
      </w:r>
      <w:r>
        <w:rPr>
          <w:noProof/>
          <w:color w:val="000000" w:themeColor="text1"/>
        </w:rPr>
        <w:t xml:space="preserve">spetskompetensstämpeln har anpassats till motsvarande bestämmelser i Horisont Europa, samtidigt som de båda programmens särdrag respekteras. Tillämpningsområdet för spetskompetensstämpeln enligt programmet för ett digitalt Europa har ändrats för att utesluta hänvisningar till program, där </w:t>
      </w:r>
      <w:r>
        <w:rPr>
          <w:noProof/>
        </w:rPr>
        <w:t xml:space="preserve">rättsliga grunder inte tillåter att de förlitar sig på spetskompetensstämpeln för programmet för ett digitalt Europa i sina tilldelningskriterier. </w:t>
      </w:r>
    </w:p>
    <w:p>
      <w:pPr>
        <w:pStyle w:val="Text1"/>
        <w:spacing w:before="100" w:beforeAutospacing="1" w:after="0"/>
        <w:ind w:left="0"/>
        <w:rPr>
          <w:noProof/>
        </w:rPr>
      </w:pPr>
      <w:r>
        <w:rPr>
          <w:noProof/>
        </w:rPr>
        <w:t xml:space="preserve">Överenskommelsen innebär att syftena med kommissionens ursprungliga förslag bibehålls – i och med att ambitionsnivån inte sänkts, medan tillräcklig flexibilitet för genomförandet av de nya reglerna möjliggörs. </w:t>
      </w:r>
    </w:p>
    <w:p>
      <w:pPr>
        <w:pStyle w:val="ManualHeading1"/>
        <w:rPr>
          <w:noProof/>
        </w:rPr>
      </w:pPr>
      <w:r>
        <w:rPr>
          <w:noProof/>
        </w:rPr>
        <w:t>4. Slutsats</w:t>
      </w:r>
    </w:p>
    <w:p>
      <w:pPr>
        <w:keepNext/>
        <w:rPr>
          <w:noProof/>
        </w:rPr>
      </w:pPr>
      <w:r>
        <w:rPr>
          <w:noProof/>
        </w:rPr>
        <w:t>Kommissionen ger sitt stöd till resultaten av förhandlingarna mellan institutionerna och godtar därför rådets ståndpunkt.</w:t>
      </w:r>
    </w:p>
    <w:p>
      <w:pPr>
        <w:keepNext/>
        <w:rPr>
          <w:noProof/>
        </w:rPr>
      </w:pPr>
    </w:p>
    <w:sectPr>
      <w:footerReference w:type="default" r:id="rId18"/>
      <w:footerReference w:type="first" r:id="rId19"/>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5046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24245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F60B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18CB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63A0D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7077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9E169A"/>
    <w:lvl w:ilvl="0">
      <w:start w:val="1"/>
      <w:numFmt w:val="decimal"/>
      <w:pStyle w:val="ListNumber"/>
      <w:lvlText w:val="%1."/>
      <w:lvlJc w:val="left"/>
      <w:pPr>
        <w:tabs>
          <w:tab w:val="num" w:pos="360"/>
        </w:tabs>
        <w:ind w:left="360" w:hanging="360"/>
      </w:pPr>
    </w:lvl>
  </w:abstractNum>
  <w:abstractNum w:abstractNumId="7">
    <w:nsid w:val="FFFFFF89"/>
    <w:multiLevelType w:val="singleLevel"/>
    <w:tmpl w:val="6A04AD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4:42: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12BA3A6-AAC6-4459-8940-CD0E5E344872"/>
    <w:docVar w:name="LW_COVERPAGE_TYPE" w:val="1"/>
    <w:docVar w:name="LW_CROSSREFERENCE" w:val="&lt;UNUSED&gt;"/>
    <w:docVar w:name="LW_DocType" w:val="COM"/>
    <w:docVar w:name="LW_EMISSION" w:val="19.3.2021"/>
    <w:docVar w:name="LW_EMISSION_ISODATE" w:val="2021-03-19"/>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27"/>
    <w:docVar w:name="LW_REF.II.NEW.CP_YEAR" w:val="2018"/>
    <w:docVar w:name="LW_REF.INST.NEW" w:val="COM"/>
    <w:docVar w:name="LW_REF.INST.NEW_ADOPTED" w:val="final"/>
    <w:docVar w:name="LW_REF.INST.NEW_TEXT" w:val="(2021)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ådets ståndpunkt inför antagandet av Europaparlamentets och rådets förordning om programmet för ett digitalt Europa för perioden 2021\u8211?2027"/>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bc5d8744-706b-4353-99b8-b184e4a28094" xsi:nil="true"/>
    <EC_Collab_Status xmlns="bc5d8744-706b-4353-99b8-b184e4a28094">Not Started</EC_Collab_Status>
    <EC_Collab_DocumentLanguage xmlns="bc5d8744-706b-4353-99b8-b184e4a28094">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F437BAF5520574C902BF3CD2F286BF3" ma:contentTypeVersion="0" ma:contentTypeDescription="Create a new document in this library." ma:contentTypeScope="" ma:versionID="2a64aa7b0c28df38ad5e8c687a310cc6">
  <xsd:schema xmlns:xsd="http://www.w3.org/2001/XMLSchema" xmlns:xs="http://www.w3.org/2001/XMLSchema" xmlns:p="http://schemas.microsoft.com/office/2006/metadata/properties" xmlns:ns2="http://schemas.microsoft.com/sharepoint/v3/fields" xmlns:ns3="bc5d8744-706b-4353-99b8-b184e4a28094" targetNamespace="http://schemas.microsoft.com/office/2006/metadata/properties" ma:root="true" ma:fieldsID="19d4ecf5896ca5ee01d883b3b796ab91" ns2:_="" ns3:_="">
    <xsd:import namespace="http://schemas.microsoft.com/sharepoint/v3/fields"/>
    <xsd:import namespace="bc5d8744-706b-4353-99b8-b184e4a280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c5d8744-706b-4353-99b8-b184e4a280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EE95E-E9E6-4B43-87FB-4D7647901E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5d8744-706b-4353-99b8-b184e4a28094"/>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38C41D-B5BC-43D8-A773-C17DC387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c5d8744-706b-4353-99b8-b184e4a2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EFE80-8C5F-4016-8EDA-2C61EAD63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893</Words>
  <Characters>6017</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2021-03-09T22:30:00Z</dcterms:created>
  <dcterms:modified xsi:type="dcterms:W3CDTF">2021-03-17T13:42:00Z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ContentTypeId">
    <vt:lpwstr>0x010100258AA79CEB83498886A3A08681123250001F437BAF5520574C902BF3CD2F286BF3</vt:lpwstr>
  </property>
  <property fmtid="{D5CDD505-2E9C-101B-9397-08002B2CF9AE}" pid="11" name="DQCStatus">
    <vt:lpwstr>Green (DQC version 03)</vt:lpwstr>
  </property>
</Properties>
</file>