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E9FD9E64-C8E0-448B-8F12-FEF445EE8549" style="width:450.45pt;height:418.75pt">
            <v:imagedata r:id="rId11" o:title=""/>
          </v:shape>
        </w:pict>
      </w:r>
    </w:p>
    <w:p>
      <w:pPr>
        <w:rPr>
          <w:noProof/>
        </w:rPr>
        <w:sectPr>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0"/>
          <w:cols w:space="720"/>
          <w:docGrid w:linePitch="360"/>
        </w:sectPr>
      </w:pPr>
    </w:p>
    <w:p>
      <w:pPr>
        <w:pStyle w:val="Rfrenceinterinstitutionnelle"/>
        <w:rPr>
          <w:noProof/>
        </w:rPr>
      </w:pPr>
      <w:bookmarkStart w:id="0" w:name="_GoBack"/>
      <w:bookmarkEnd w:id="0"/>
      <w:r>
        <w:rPr>
          <w:noProof/>
        </w:rPr>
        <w:lastRenderedPageBreak/>
        <w:t>2018/0227 (COD)</w:t>
      </w:r>
    </w:p>
    <w:p>
      <w:pPr>
        <w:pStyle w:val="Typedudocument"/>
        <w:rPr>
          <w:noProof/>
        </w:rPr>
      </w:pPr>
      <w:r>
        <w:rPr>
          <w:noProof/>
        </w:rPr>
        <w:t>KOMISIJOS KOMUNIKATAS EUROPOS PARLAMENTUI</w:t>
      </w:r>
      <w:r>
        <w:rPr>
          <w:noProof/>
        </w:rPr>
        <w:br/>
      </w:r>
      <w:r>
        <w:rPr>
          <w:noProof/>
        </w:rPr>
        <w:br/>
        <w:t>pagal Sutarties dėl Europos Sąjungos veikimo 294 straipsnio 6 dalį</w:t>
      </w:r>
      <w:r>
        <w:rPr>
          <w:noProof/>
        </w:rPr>
        <w:br/>
      </w:r>
      <w:r>
        <w:rPr>
          <w:noProof/>
        </w:rPr>
        <w:br/>
        <w:t>dėl</w:t>
      </w:r>
    </w:p>
    <w:p>
      <w:pPr>
        <w:pStyle w:val="Titreobjet"/>
        <w:rPr>
          <w:noProof/>
        </w:rPr>
      </w:pPr>
      <w:r>
        <w:rPr>
          <w:noProof/>
        </w:rPr>
        <w:t>Tarybos pozicijos dėl Europos Parlamento ir Tarybos reglamento dėl 2021–2027 m. Skaitmeninės Europos programos sudarymo priėmimo</w:t>
      </w:r>
    </w:p>
    <w:p>
      <w:pPr>
        <w:pStyle w:val="IntrtEEE"/>
        <w:rPr>
          <w:noProof/>
        </w:rPr>
      </w:pPr>
      <w:r>
        <w:rPr>
          <w:noProof/>
        </w:rPr>
        <w:t>(Tekstas svarbus EEE)</w:t>
      </w:r>
    </w:p>
    <w:p>
      <w:pPr>
        <w:pStyle w:val="ManualHeading1"/>
        <w:rPr>
          <w:noProof/>
          <w:sz w:val="22"/>
        </w:rPr>
      </w:pPr>
      <w:r>
        <w:rPr>
          <w:noProof/>
        </w:rPr>
        <w:t>1.</w:t>
      </w:r>
      <w:r>
        <w:rPr>
          <w:noProof/>
        </w:rPr>
        <w:tab/>
        <w:t xml:space="preserve">Pagrindiniai faktai </w:t>
      </w:r>
    </w:p>
    <w:tbl>
      <w:tblPr>
        <w:tblW w:w="0" w:type="auto"/>
        <w:tblLayout w:type="fixed"/>
        <w:tblLook w:val="0000" w:firstRow="0" w:lastRow="0" w:firstColumn="0" w:lastColumn="0" w:noHBand="0" w:noVBand="0"/>
      </w:tblPr>
      <w:tblGrid>
        <w:gridCol w:w="6804"/>
        <w:gridCol w:w="2043"/>
        <w:gridCol w:w="440"/>
      </w:tblGrid>
      <w:tr>
        <w:tc>
          <w:tcPr>
            <w:tcW w:w="6804" w:type="dxa"/>
          </w:tcPr>
          <w:p>
            <w:pPr>
              <w:jc w:val="left"/>
              <w:rPr>
                <w:noProof/>
              </w:rPr>
            </w:pPr>
            <w:r>
              <w:rPr>
                <w:noProof/>
              </w:rPr>
              <w:t xml:space="preserve">Pasiūlymo (dokumentas COM(2018) 434 </w:t>
            </w:r>
            <w:r>
              <w:rPr>
                <w:i/>
                <w:noProof/>
              </w:rPr>
              <w:t>final</w:t>
            </w:r>
            <w:r>
              <w:rPr>
                <w:noProof/>
              </w:rPr>
              <w:t xml:space="preserve"> – 2018/0227 COD) perdavimo Europos Parlamentui ir Tarybai data</w:t>
            </w:r>
          </w:p>
        </w:tc>
        <w:tc>
          <w:tcPr>
            <w:tcW w:w="2483" w:type="dxa"/>
            <w:gridSpan w:val="2"/>
          </w:tcPr>
          <w:p>
            <w:pPr>
              <w:jc w:val="left"/>
              <w:rPr>
                <w:noProof/>
              </w:rPr>
            </w:pPr>
            <w:r>
              <w:rPr>
                <w:noProof/>
              </w:rPr>
              <w:t>2018 m. birželio 6 d.</w:t>
            </w:r>
          </w:p>
        </w:tc>
      </w:tr>
      <w:tr>
        <w:tc>
          <w:tcPr>
            <w:tcW w:w="6804" w:type="dxa"/>
          </w:tcPr>
          <w:p>
            <w:pPr>
              <w:jc w:val="left"/>
              <w:rPr>
                <w:noProof/>
              </w:rPr>
            </w:pPr>
            <w:r>
              <w:rPr>
                <w:noProof/>
              </w:rPr>
              <w:t>Tarybos susitarimo dėl dalinio bendro požiūrio data</w:t>
            </w:r>
          </w:p>
        </w:tc>
        <w:tc>
          <w:tcPr>
            <w:tcW w:w="2483" w:type="dxa"/>
            <w:gridSpan w:val="2"/>
          </w:tcPr>
          <w:p>
            <w:pPr>
              <w:jc w:val="left"/>
              <w:rPr>
                <w:noProof/>
              </w:rPr>
            </w:pPr>
            <w:r>
              <w:rPr>
                <w:noProof/>
              </w:rPr>
              <w:t>2018 m. lapkričio 29 d.</w:t>
            </w:r>
          </w:p>
        </w:tc>
      </w:tr>
      <w:tr>
        <w:trPr>
          <w:gridAfter w:val="1"/>
          <w:wAfter w:w="440" w:type="dxa"/>
        </w:trPr>
        <w:tc>
          <w:tcPr>
            <w:tcW w:w="6804" w:type="dxa"/>
          </w:tcPr>
          <w:p>
            <w:pPr>
              <w:rPr>
                <w:noProof/>
              </w:rPr>
            </w:pPr>
            <w:r>
              <w:rPr>
                <w:noProof/>
              </w:rPr>
              <w:t>Pirmojo trilogo data</w:t>
            </w:r>
          </w:p>
        </w:tc>
        <w:tc>
          <w:tcPr>
            <w:tcW w:w="2043" w:type="dxa"/>
          </w:tcPr>
          <w:p>
            <w:pPr>
              <w:jc w:val="left"/>
              <w:rPr>
                <w:noProof/>
              </w:rPr>
            </w:pPr>
            <w:r>
              <w:rPr>
                <w:noProof/>
              </w:rPr>
              <w:t>2019 m. vasario 13 d.</w:t>
            </w:r>
          </w:p>
        </w:tc>
      </w:tr>
      <w:tr>
        <w:tc>
          <w:tcPr>
            <w:tcW w:w="6804" w:type="dxa"/>
          </w:tcPr>
          <w:p>
            <w:pPr>
              <w:rPr>
                <w:noProof/>
              </w:rPr>
            </w:pPr>
            <w:r>
              <w:rPr>
                <w:noProof/>
              </w:rPr>
              <w:t>Nuolatinių atstovų komitete patvirtinto dalinio preliminaraus kompromisinio susitarimo (bendro sutarimo) data</w:t>
            </w:r>
          </w:p>
        </w:tc>
        <w:tc>
          <w:tcPr>
            <w:tcW w:w="2483" w:type="dxa"/>
            <w:gridSpan w:val="2"/>
          </w:tcPr>
          <w:p>
            <w:pPr>
              <w:jc w:val="left"/>
              <w:rPr>
                <w:noProof/>
              </w:rPr>
            </w:pPr>
            <w:r>
              <w:rPr>
                <w:noProof/>
              </w:rPr>
              <w:t>2019 m. kovo 13 d.</w:t>
            </w:r>
          </w:p>
        </w:tc>
      </w:tr>
      <w:tr>
        <w:tc>
          <w:tcPr>
            <w:tcW w:w="6804" w:type="dxa"/>
          </w:tcPr>
          <w:p>
            <w:pPr>
              <w:rPr>
                <w:noProof/>
              </w:rPr>
            </w:pPr>
            <w:r>
              <w:rPr>
                <w:noProof/>
              </w:rPr>
              <w:t>Per pirmąjį svarstymą priimtos Europos Parlamento pozicijos (į kurią įtrauktos bendro sutarimo nuostatos) data</w:t>
            </w:r>
          </w:p>
        </w:tc>
        <w:tc>
          <w:tcPr>
            <w:tcW w:w="2483" w:type="dxa"/>
            <w:gridSpan w:val="2"/>
          </w:tcPr>
          <w:p>
            <w:pPr>
              <w:jc w:val="left"/>
              <w:rPr>
                <w:noProof/>
              </w:rPr>
            </w:pPr>
            <w:r>
              <w:rPr>
                <w:noProof/>
              </w:rPr>
              <w:t>2019 m. balandžio 17 d.</w:t>
            </w:r>
          </w:p>
        </w:tc>
      </w:tr>
      <w:tr>
        <w:tc>
          <w:tcPr>
            <w:tcW w:w="6804" w:type="dxa"/>
          </w:tcPr>
          <w:p>
            <w:pPr>
              <w:rPr>
                <w:noProof/>
              </w:rPr>
            </w:pPr>
            <w:r>
              <w:rPr>
                <w:noProof/>
              </w:rPr>
              <w:t>Antrojo (galutinio) trilogo data</w:t>
            </w:r>
          </w:p>
        </w:tc>
        <w:tc>
          <w:tcPr>
            <w:tcW w:w="2483" w:type="dxa"/>
            <w:gridSpan w:val="2"/>
          </w:tcPr>
          <w:p>
            <w:pPr>
              <w:jc w:val="left"/>
              <w:rPr>
                <w:noProof/>
              </w:rPr>
            </w:pPr>
            <w:r>
              <w:rPr>
                <w:noProof/>
              </w:rPr>
              <w:t>2020 m. gruodžio 14 d.</w:t>
            </w:r>
          </w:p>
        </w:tc>
      </w:tr>
      <w:tr>
        <w:tc>
          <w:tcPr>
            <w:tcW w:w="6804" w:type="dxa"/>
          </w:tcPr>
          <w:p>
            <w:pPr>
              <w:rPr>
                <w:noProof/>
              </w:rPr>
            </w:pPr>
            <w:r>
              <w:rPr>
                <w:noProof/>
              </w:rPr>
              <w:t xml:space="preserve">Nuolatinių atstovų komitete pasiekto politinio susitarimo data </w:t>
            </w:r>
          </w:p>
        </w:tc>
        <w:tc>
          <w:tcPr>
            <w:tcW w:w="2483" w:type="dxa"/>
            <w:gridSpan w:val="2"/>
          </w:tcPr>
          <w:p>
            <w:pPr>
              <w:jc w:val="left"/>
              <w:rPr>
                <w:noProof/>
              </w:rPr>
            </w:pPr>
            <w:r>
              <w:rPr>
                <w:noProof/>
              </w:rPr>
              <w:t xml:space="preserve">2020 m. gruodžio 18 d. </w:t>
            </w:r>
          </w:p>
        </w:tc>
      </w:tr>
      <w:tr>
        <w:tc>
          <w:tcPr>
            <w:tcW w:w="6804" w:type="dxa"/>
          </w:tcPr>
          <w:p>
            <w:pPr>
              <w:rPr>
                <w:noProof/>
              </w:rPr>
            </w:pPr>
            <w:r>
              <w:rPr>
                <w:noProof/>
              </w:rPr>
              <w:t xml:space="preserve">Europos Parlamento ITRE komiteto balsavimo dėl kompromisinio susitarimo patvirtinimo data </w:t>
            </w:r>
          </w:p>
        </w:tc>
        <w:tc>
          <w:tcPr>
            <w:tcW w:w="2483" w:type="dxa"/>
            <w:gridSpan w:val="2"/>
          </w:tcPr>
          <w:p>
            <w:pPr>
              <w:jc w:val="left"/>
              <w:rPr>
                <w:noProof/>
              </w:rPr>
            </w:pPr>
            <w:r>
              <w:rPr>
                <w:noProof/>
              </w:rPr>
              <w:t>2021 m. sausio 14 d.</w:t>
            </w:r>
          </w:p>
        </w:tc>
      </w:tr>
      <w:tr>
        <w:tc>
          <w:tcPr>
            <w:tcW w:w="6804" w:type="dxa"/>
          </w:tcPr>
          <w:p>
            <w:pPr>
              <w:rPr>
                <w:noProof/>
              </w:rPr>
            </w:pPr>
            <w:r>
              <w:rPr>
                <w:noProof/>
              </w:rPr>
              <w:t>Per pirmąjį svarstymą priimtos Tarybos pozicijos data</w:t>
            </w:r>
          </w:p>
        </w:tc>
        <w:tc>
          <w:tcPr>
            <w:tcW w:w="2483" w:type="dxa"/>
            <w:gridSpan w:val="2"/>
          </w:tcPr>
          <w:p>
            <w:pPr>
              <w:jc w:val="left"/>
              <w:rPr>
                <w:noProof/>
              </w:rPr>
            </w:pPr>
            <w:r>
              <w:rPr>
                <w:noProof/>
              </w:rPr>
              <w:t>2021 m. kovo 16 d.</w:t>
            </w:r>
          </w:p>
        </w:tc>
      </w:tr>
    </w:tbl>
    <w:p>
      <w:pPr>
        <w:pStyle w:val="ManualHeading1"/>
        <w:rPr>
          <w:noProof/>
          <w:szCs w:val="24"/>
        </w:rPr>
      </w:pPr>
      <w:r>
        <w:rPr>
          <w:noProof/>
        </w:rPr>
        <w:t>2.</w:t>
      </w:r>
      <w:r>
        <w:rPr>
          <w:noProof/>
        </w:rPr>
        <w:tab/>
        <w:t>Komisijos pasiūlymo tikslas</w:t>
      </w:r>
    </w:p>
    <w:p>
      <w:pPr>
        <w:rPr>
          <w:noProof/>
          <w:szCs w:val="24"/>
        </w:rPr>
      </w:pPr>
      <w:r>
        <w:rPr>
          <w:noProof/>
        </w:rPr>
        <w:t xml:space="preserve">Skaitmeninės Europos programa yra vienas iš centrinių visapusiško Komisijos atsako į skaitmeninės transformacijos iššūkį elementų ir pasiūlymo dėl 2021–2027 m. daugiametės finansinės programos (DFP) dalis. </w:t>
      </w:r>
    </w:p>
    <w:p>
      <w:pPr>
        <w:rPr>
          <w:noProof/>
          <w:szCs w:val="24"/>
        </w:rPr>
      </w:pPr>
      <w:r>
        <w:rPr>
          <w:noProof/>
        </w:rPr>
        <w:t xml:space="preserve">Pasiūlymo tikslas – sukurti finansavimo priemonę, kad būtų kuo labiau padidinta skaitmeninės transformacijos nauda ES piliečiams, įmonėms ir viešojo administravimo institucijoms, visų pirma sustiprinant ES skaitmeninius pajėgumus penkiose pagrindinėse srityse (konkretūs tikslai): itin našaus skaičiavimo, dirbtinio intelekto, kibernetinio saugumo ir pasitikėjimo, aukšto lygio skaitmeninių įgūdžių ir diegimo, skaitmeninio pajėgumo geriausio išnaudojimo ir sąveikumo. </w:t>
      </w:r>
    </w:p>
    <w:p>
      <w:pPr>
        <w:rPr>
          <w:noProof/>
        </w:rPr>
      </w:pPr>
      <w:r>
        <w:rPr>
          <w:noProof/>
        </w:rPr>
        <w:lastRenderedPageBreak/>
        <w:t>Skaitmeninė Europa – investicijų programa, kurios paskirtis yra finansuoti ES strateginių skaitmeninių pajėgumų kūrimą ir sudaryti palankias sąlygas plačiai diegti skaitmenines technologijas, kuriomis galėtų naudotis Europos piliečiai ir įmonės. Ji skirta pagrindiniams Sąjungos prioritetams, visų pirma žaliajai ir skaitmeninei pertvarkai įgyvendinti ir bendrosios rinkos atsparumui stiprinti.  Daugiausia dėmesio sulauks sritys, kuriose nė viena valstybė narė atskirai negali užtikrinti skaitmeninei sėkmei reikalingo lygio. Taip pat daug dėmesio numatoma toms sritims, kuriose viešosios išlaidos turi didžiausią poveikį. Sutartas bendras finansinis paketas yra 7,59 mlrd. EUR (einamosiomis kainomis).</w:t>
      </w:r>
    </w:p>
    <w:p>
      <w:pPr>
        <w:pStyle w:val="ManualHeading1"/>
        <w:rPr>
          <w:noProof/>
        </w:rPr>
      </w:pPr>
      <w:r>
        <w:rPr>
          <w:noProof/>
        </w:rPr>
        <w:t>3.</w:t>
      </w:r>
      <w:r>
        <w:rPr>
          <w:noProof/>
        </w:rPr>
        <w:tab/>
        <w:t>Pastabos dėl Tarybos pozicijos</w:t>
      </w:r>
    </w:p>
    <w:p>
      <w:pPr>
        <w:pStyle w:val="ManualHeading1"/>
        <w:tabs>
          <w:tab w:val="clear" w:pos="850"/>
        </w:tabs>
        <w:ind w:left="0" w:firstLine="0"/>
        <w:rPr>
          <w:b w:val="0"/>
          <w:smallCaps w:val="0"/>
          <w:noProof/>
        </w:rPr>
      </w:pPr>
      <w:r>
        <w:rPr>
          <w:b w:val="0"/>
          <w:smallCaps w:val="0"/>
          <w:noProof/>
        </w:rPr>
        <w:t xml:space="preserve">Tarybos pozicija visiškai atitinka per trilogus pasiektą susitarimą. Be kita ko, padaryti šie svarbiausi Komisijos pasiūlymo pakeitimai: </w:t>
      </w:r>
    </w:p>
    <w:p>
      <w:pPr>
        <w:pStyle w:val="Tiret0"/>
        <w:numPr>
          <w:ilvl w:val="0"/>
          <w:numId w:val="1"/>
        </w:numPr>
        <w:spacing w:before="240"/>
        <w:ind w:left="851" w:hanging="851"/>
        <w:rPr>
          <w:noProof/>
        </w:rPr>
      </w:pPr>
      <w:r>
        <w:rPr>
          <w:i/>
          <w:iCs/>
          <w:noProof/>
        </w:rPr>
        <w:t xml:space="preserve">Sąjungos finansinių interesų apsauga. </w:t>
      </w:r>
      <w:r>
        <w:rPr>
          <w:noProof/>
        </w:rPr>
        <w:t xml:space="preserve">Konstatuojamoji dalis, kurioje yra nuoroda į bendrą Sąjungos biudžeto apsaugos nuo teisinės valstybės principų pažeidimų, nuo kurių nukenčia patikimas finansų valdymas, sąlygų režimą arba į Sąjungos finansinių interesų apsaugą, buvo suderinta su sutartu mechanizmo apibūdinimu. Komisija pritarė tokiam suderinimui.  </w:t>
      </w:r>
    </w:p>
    <w:p>
      <w:pPr>
        <w:pStyle w:val="Tiret0"/>
        <w:numPr>
          <w:ilvl w:val="0"/>
          <w:numId w:val="1"/>
        </w:numPr>
        <w:tabs>
          <w:tab w:val="clear" w:pos="850"/>
        </w:tabs>
        <w:spacing w:before="240"/>
        <w:ind w:left="851" w:hanging="851"/>
        <w:rPr>
          <w:noProof/>
        </w:rPr>
      </w:pPr>
      <w:r>
        <w:rPr>
          <w:i/>
          <w:iCs/>
          <w:noProof/>
        </w:rPr>
        <w:t>Skaitmeninės Europos programos suderinimas su 2021–2027 m. daugiametės finansinės programos trukme.</w:t>
      </w:r>
      <w:r>
        <w:rPr>
          <w:noProof/>
        </w:rPr>
        <w:t xml:space="preserve"> Komisija pritarė tikslui užtikrinti tęstinumą, jei būtų vėluojama pereiti prie būsimos daugiametės finansinės programos, sutartų nuostatų neinterpretuojant taip, kad jos reikštų automatišką programos pratęsimą.</w:t>
      </w:r>
    </w:p>
    <w:p>
      <w:pPr>
        <w:pStyle w:val="Tiret0"/>
        <w:numPr>
          <w:ilvl w:val="0"/>
          <w:numId w:val="1"/>
        </w:numPr>
        <w:tabs>
          <w:tab w:val="clear" w:pos="850"/>
        </w:tabs>
        <w:spacing w:before="240"/>
        <w:ind w:left="851" w:hanging="851"/>
        <w:rPr>
          <w:noProof/>
        </w:rPr>
      </w:pPr>
      <w:r>
        <w:rPr>
          <w:i/>
          <w:iCs/>
          <w:noProof/>
        </w:rPr>
        <w:t xml:space="preserve">Taikymo atgaline data sąlyga. </w:t>
      </w:r>
      <w:r>
        <w:rPr>
          <w:noProof/>
        </w:rPr>
        <w:t xml:space="preserve">Siekiant užtikrinti paramos ankstesniems veiksmams, šiuo metu remiamiems  Europos infrastruktūros tinklų priemonės ir Viešojo administravimo institucijų, įmonių ir piliečių sąveikumo sprendimų (ISA2) programų lėšomis, tęstinumą ir sudaryti sąlygas vykdyti programą nuo 2021–2027 m. daugiametės finansinės programos pradžios, įtrauktos nuostatos dėl taikymo atgaline data. Komisija šiai papildomai nuostatai pritarė. </w:t>
      </w:r>
    </w:p>
    <w:p>
      <w:pPr>
        <w:pStyle w:val="Tiret0"/>
        <w:numPr>
          <w:ilvl w:val="0"/>
          <w:numId w:val="2"/>
        </w:numPr>
        <w:tabs>
          <w:tab w:val="clear" w:pos="850"/>
        </w:tabs>
        <w:spacing w:before="240" w:beforeAutospacing="1" w:after="0"/>
        <w:rPr>
          <w:noProof/>
        </w:rPr>
      </w:pPr>
      <w:r>
        <w:rPr>
          <w:i/>
          <w:iCs/>
          <w:noProof/>
        </w:rPr>
        <w:t>Klimatas.</w:t>
      </w:r>
      <w:r>
        <w:rPr>
          <w:noProof/>
        </w:rPr>
        <w:t xml:space="preserve"> Atnaujinta nuoroda į bendrą visos daugiametės finansinės programos klimato išlaidų tikslą: buvo 25 proc., bus 30 proc. </w:t>
      </w:r>
      <w:r>
        <w:rPr>
          <w:i/>
          <w:noProof/>
        </w:rPr>
        <w:t xml:space="preserve">Biologinės įvairovės tikslas. </w:t>
      </w:r>
      <w:r>
        <w:rPr>
          <w:noProof/>
        </w:rPr>
        <w:t>Esminė standartinės konstatuojamosios dalies dėl biologinės įvairovės nuostata, t. y. indėlis siekiant su biologine įvairove susijusių išlaidų tikslo, buvo įtraukta į konstatuojamąją dalį, kurioje kalbama apie klimato tikslą. Komisija sutiko klimato tikslo nuostatos atnaujinimui ir biologinės įvairovės tikslo pridūrimui.</w:t>
      </w:r>
      <w:r>
        <w:rPr>
          <w:i/>
          <w:noProof/>
        </w:rPr>
        <w:t xml:space="preserve"> </w:t>
      </w:r>
    </w:p>
    <w:p>
      <w:pPr>
        <w:pStyle w:val="Tiret0"/>
        <w:numPr>
          <w:ilvl w:val="0"/>
          <w:numId w:val="2"/>
        </w:numPr>
        <w:tabs>
          <w:tab w:val="clear" w:pos="850"/>
        </w:tabs>
        <w:spacing w:before="240" w:beforeAutospacing="1" w:after="0"/>
        <w:rPr>
          <w:noProof/>
        </w:rPr>
      </w:pPr>
      <w:r>
        <w:rPr>
          <w:i/>
          <w:iCs/>
          <w:noProof/>
        </w:rPr>
        <w:t xml:space="preserve">Biudžeto paskirstymas konkretiems tikslams ir sąveikumo finansinis paketas. </w:t>
      </w:r>
      <w:r>
        <w:rPr>
          <w:noProof/>
        </w:rPr>
        <w:t xml:space="preserve">Konkretiems tikslams skirtos sumos buvo proporcingai sumažintos, atsižvelgiant į pradiniame pasiūlyme numatytą santykį ir pusiausvyrą (tolygus proporcingas mažinimas visiems konkretiems tikslams), tačiau nekeičiant sąveikumo finansinio paketo. Komisija pritarė tam, kad būtų išlaikytas pradinio pasiūlymo santykis ir pusiausvyra. </w:t>
      </w:r>
    </w:p>
    <w:p>
      <w:pPr>
        <w:pStyle w:val="Tiret0"/>
        <w:numPr>
          <w:ilvl w:val="0"/>
          <w:numId w:val="2"/>
        </w:numPr>
        <w:spacing w:before="240" w:beforeAutospacing="1" w:after="0"/>
        <w:rPr>
          <w:noProof/>
        </w:rPr>
      </w:pPr>
      <w:r>
        <w:rPr>
          <w:i/>
          <w:iCs/>
          <w:noProof/>
        </w:rPr>
        <w:t xml:space="preserve">Horizontalusis nuostatų, susijusių su grąžinamomis perskirstyti nepanaudotomis lėšomis, kurios Skaitmeninės Europos programai perskirtos iš išteklių, kuriems taikomas pasidalijamojo valdymo principas, suderinimas. </w:t>
      </w:r>
      <w:r>
        <w:rPr>
          <w:noProof/>
        </w:rPr>
        <w:t xml:space="preserve">Atkartojant programoje „Europos horizontas“ pritaikytą sprendimą, buvo įtrauktos nuostatos, susijusios su gražinamomis perskirstyti nepanaudotomis lėšomis, kurios Skaitmeninės Europos programai perskirtos iš išteklių, kuriems taikomas pasidalijamojo valdymo principas.  </w:t>
      </w:r>
      <w:r>
        <w:rPr>
          <w:noProof/>
        </w:rPr>
        <w:lastRenderedPageBreak/>
        <w:t xml:space="preserve">2019 m. kovo 8 d. pareiškime Komisija pareiškė prieštaraujanti susitarimui dėl lėšų perkėlimo nuostatų (9 straipsnio 5 dalis) ir bendro finansavimo nuostatų. </w:t>
      </w:r>
    </w:p>
    <w:p>
      <w:pPr>
        <w:pStyle w:val="Tiret0"/>
        <w:numPr>
          <w:ilvl w:val="0"/>
          <w:numId w:val="3"/>
        </w:numPr>
        <w:spacing w:before="0" w:beforeAutospacing="1" w:after="200" w:line="276" w:lineRule="auto"/>
        <w:ind w:left="426"/>
        <w:rPr>
          <w:noProof/>
        </w:rPr>
      </w:pPr>
      <w:r>
        <w:rPr>
          <w:i/>
          <w:iCs/>
          <w:noProof/>
        </w:rPr>
        <w:t>Darbo programų priėmimas</w:t>
      </w:r>
      <w:r>
        <w:rPr>
          <w:noProof/>
        </w:rPr>
        <w:t xml:space="preserve">. Visos šalys susitarė, kad darbo programos būtų priimamos įgyvendinimo aktais, taikant nagrinėjimo procedūrą (komiteto procedūrą). Taip pat pasiektas susitarimas dėl  1 priedo keitimo deleguotaisiais aktais. </w:t>
      </w:r>
    </w:p>
    <w:p>
      <w:pPr>
        <w:pStyle w:val="Tiret0"/>
        <w:numPr>
          <w:ilvl w:val="0"/>
          <w:numId w:val="3"/>
        </w:numPr>
        <w:spacing w:before="0" w:beforeAutospacing="1" w:after="200" w:line="276" w:lineRule="auto"/>
        <w:ind w:left="426"/>
        <w:rPr>
          <w:noProof/>
        </w:rPr>
      </w:pPr>
      <w:r>
        <w:rPr>
          <w:i/>
          <w:iCs/>
          <w:noProof/>
        </w:rPr>
        <w:t xml:space="preserve">Kibernetinis saugumas. </w:t>
      </w:r>
      <w:r>
        <w:rPr>
          <w:noProof/>
        </w:rPr>
        <w:t xml:space="preserve">Papildomai paaiškinta, kaip bus įgyvendinami trečio konkretaus tikslo „Kibernetinis saugumas ir pasitikėjimas“ veiksmai: šis konkretus tikslas didžia dalimi bus įgyvendinamas pasitelkiant siūlomą steigti Europos kibernetinio saugumo pramonės, technologijų ir mokslinių tyrimų kompetencijos centrą ir Kibernetinio saugumo kompetencijos centrų tinklą (CCCN). </w:t>
      </w:r>
    </w:p>
    <w:p>
      <w:pPr>
        <w:pStyle w:val="Tiret0"/>
        <w:numPr>
          <w:ilvl w:val="0"/>
          <w:numId w:val="3"/>
        </w:numPr>
        <w:spacing w:before="0" w:beforeAutospacing="1" w:after="200" w:line="276" w:lineRule="auto"/>
        <w:ind w:left="426"/>
        <w:rPr>
          <w:noProof/>
        </w:rPr>
      </w:pPr>
      <w:r>
        <w:rPr>
          <w:i/>
          <w:iCs/>
          <w:noProof/>
        </w:rPr>
        <w:t>Trečiųjų valstybių dalyvavimas.</w:t>
      </w:r>
      <w:r>
        <w:rPr>
          <w:noProof/>
        </w:rPr>
        <w:t xml:space="preserve"> Aiškiai numatyta, kad trečiosios valstybės galės iš dalies prisijungti prie programos atskirų konkrečių tikslų lygmeniu. </w:t>
      </w:r>
    </w:p>
    <w:p>
      <w:pPr>
        <w:pStyle w:val="Tiret0"/>
        <w:numPr>
          <w:ilvl w:val="0"/>
          <w:numId w:val="3"/>
        </w:numPr>
        <w:spacing w:before="100" w:beforeAutospacing="1" w:after="0" w:line="276" w:lineRule="auto"/>
        <w:ind w:left="426"/>
        <w:rPr>
          <w:noProof/>
        </w:rPr>
      </w:pPr>
      <w:r>
        <w:rPr>
          <w:i/>
          <w:iCs/>
          <w:noProof/>
        </w:rPr>
        <w:t xml:space="preserve">Pažangumo ženklas. </w:t>
      </w:r>
      <w:r>
        <w:rPr>
          <w:noProof/>
        </w:rPr>
        <w:t xml:space="preserve">Su pažangumo ženklu susijusios nuostatos suderintos su atitinkamomis programos </w:t>
      </w:r>
      <w:r>
        <w:rPr>
          <w:i/>
          <w:iCs/>
          <w:noProof/>
        </w:rPr>
        <w:t>Europos horizontas</w:t>
      </w:r>
      <w:r>
        <w:rPr>
          <w:noProof/>
        </w:rPr>
        <w:t xml:space="preserve"> nuostatomis atsižvelgiant į abiejų programų ypatumus.</w:t>
      </w:r>
      <w:r>
        <w:rPr>
          <w:noProof/>
          <w:color w:val="000000" w:themeColor="text1"/>
        </w:rPr>
        <w:t xml:space="preserve"> </w:t>
      </w:r>
      <w:r>
        <w:rPr>
          <w:noProof/>
        </w:rPr>
        <w:t xml:space="preserve">Skaitmeninės Europos programoje pažangumo ženklo taikymo sritis buvo pakoreguota: išbrauktos nuorodos į programas, kurių teisinis pagrindas neleidžia jų sutarčių skyrimo kriterijų sieti su Skaitmeninės Europos programos pažangumo ženklu. </w:t>
      </w:r>
    </w:p>
    <w:p>
      <w:pPr>
        <w:pStyle w:val="Text1"/>
        <w:spacing w:before="100" w:beforeAutospacing="1" w:after="0"/>
        <w:ind w:left="0"/>
        <w:rPr>
          <w:noProof/>
        </w:rPr>
      </w:pPr>
      <w:r>
        <w:rPr>
          <w:noProof/>
        </w:rPr>
        <w:t xml:space="preserve">Pasiektu susitarimu išlaikomi pirminio Komisijos pasiūlymo tikslai, nes užmojis lieka toks pat, tik suteikiama galimybė naujas taisykles įgyvendinti pakankamai lanksčiai. </w:t>
      </w:r>
    </w:p>
    <w:p>
      <w:pPr>
        <w:pStyle w:val="ManualHeading1"/>
        <w:rPr>
          <w:noProof/>
        </w:rPr>
      </w:pPr>
      <w:r>
        <w:rPr>
          <w:noProof/>
        </w:rPr>
        <w:t>4. Išvada</w:t>
      </w:r>
    </w:p>
    <w:p>
      <w:pPr>
        <w:keepNext/>
        <w:rPr>
          <w:noProof/>
        </w:rPr>
      </w:pPr>
      <w:r>
        <w:rPr>
          <w:noProof/>
        </w:rPr>
        <w:t>Komisija pritaria tarpinstitucinių derybų rezultatams, todėl sutinka su Tarybos pozicija.</w:t>
      </w:r>
    </w:p>
    <w:p>
      <w:pPr>
        <w:keepNext/>
        <w:rPr>
          <w:noProof/>
        </w:rPr>
      </w:pPr>
    </w:p>
    <w:sectPr>
      <w:footerReference w:type="default" r:id="rId18"/>
      <w:footerReference w:type="first" r:id="rId19"/>
      <w:pgSz w:w="11907" w:h="16839"/>
      <w:pgMar w:top="1134" w:right="1417" w:bottom="1134" w:left="1417" w:header="709" w:footer="709"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B50464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242455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F60B3E"/>
    <w:lvl w:ilvl="0">
      <w:start w:val="1"/>
      <w:numFmt w:val="decimal"/>
      <w:pStyle w:val="ListNumber2"/>
      <w:lvlText w:val="%1."/>
      <w:lvlJc w:val="left"/>
      <w:pPr>
        <w:tabs>
          <w:tab w:val="num" w:pos="643"/>
        </w:tabs>
        <w:ind w:left="643" w:hanging="360"/>
      </w:pPr>
    </w:lvl>
  </w:abstractNum>
  <w:abstractNum w:abstractNumId="3">
    <w:nsid w:val="FFFFFF81"/>
    <w:multiLevelType w:val="singleLevel"/>
    <w:tmpl w:val="C518CB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63A0D8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77077F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09E169A"/>
    <w:lvl w:ilvl="0">
      <w:start w:val="1"/>
      <w:numFmt w:val="decimal"/>
      <w:pStyle w:val="ListNumber"/>
      <w:lvlText w:val="%1."/>
      <w:lvlJc w:val="left"/>
      <w:pPr>
        <w:tabs>
          <w:tab w:val="num" w:pos="360"/>
        </w:tabs>
        <w:ind w:left="360" w:hanging="360"/>
      </w:pPr>
    </w:lvl>
  </w:abstractNum>
  <w:abstractNum w:abstractNumId="7">
    <w:nsid w:val="FFFFFF89"/>
    <w:multiLevelType w:val="singleLevel"/>
    <w:tmpl w:val="6A04ADA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18"/>
    <w:lvlOverride w:ilvl="0">
      <w:startOverride w:val="1"/>
    </w:lvlOverride>
  </w:num>
  <w:num w:numId="3">
    <w:abstractNumId w:val="18"/>
    <w:lvlOverride w:ilvl="0">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17 14:41:0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1"/>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9FD9E64-C8E0-448B-8F12-FEF445EE8549"/>
    <w:docVar w:name="LW_COVERPAGE_TYPE" w:val="1"/>
    <w:docVar w:name="LW_CROSSREFERENCE" w:val="&lt;UNUSED&gt;"/>
    <w:docVar w:name="LW_DocType" w:val="COM"/>
    <w:docVar w:name="LW_EMISSION" w:val="2021 03 19"/>
    <w:docVar w:name="LW_EMISSION_ISODATE" w:val="2021-03-19"/>
    <w:docVar w:name="LW_EMISSION_LOCATION" w:val="BRX"/>
    <w:docVar w:name="LW_EMISSION_PREFIX" w:val="Briuselis, "/>
    <w:docVar w:name="LW_EMISSION_SUFFIX" w:val=" "/>
    <w:docVar w:name="LW_ID_DOCMODEL" w:val="SJ-028"/>
    <w:docVar w:name="LW_ID_DOCSTRUCTURE" w:val="COM/PL/CODEC"/>
    <w:docVar w:name="LW_ID_DOCTYPE" w:val="SJ-028"/>
    <w:docVar w:name="LW_INTERETEEE.CP" w:val="(Tekstas svarbus EEE)"/>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COD"/>
    <w:docVar w:name="LW_REF.II.NEW.CP_NUMBER" w:val="0227"/>
    <w:docVar w:name="LW_REF.II.NEW.CP_YEAR" w:val="2018"/>
    <w:docVar w:name="LW_REF.INST.NEW" w:val="COM"/>
    <w:docVar w:name="LW_REF.INST.NEW_ADOPTED" w:val="final"/>
    <w:docVar w:name="LW_REF.INST.NEW_TEXT" w:val="(2021) 14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Tarybos pozicijos d\u279?l Europos Parlamento ir Tarybos reglamento d\u279?l 2021\u8211?2027 m. Skaitmenin\u279?s Europos programos sudarymo pri\u279?mimo"/>
    <w:docVar w:name="LW_TYPE.DOC.CP" w:val="KOMISIJOS KOMUNIKATAS EUROPOS PARLAMENTUI_x000b__x000b_pagal Sutarties d\u279?l Europos S\u261?jungos veikimo 294 straipsnio 6 dal\u303?_x000b__x000b_d\u279?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51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Reference xmlns="bc5d8744-706b-4353-99b8-b184e4a28094" xsi:nil="true"/>
    <EC_Collab_Status xmlns="bc5d8744-706b-4353-99b8-b184e4a28094">Not Started</EC_Collab_Status>
    <EC_Collab_DocumentLanguage xmlns="bc5d8744-706b-4353-99b8-b184e4a28094">EN</EC_Collab_DocumentLanguag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1F437BAF5520574C902BF3CD2F286BF3" ma:contentTypeVersion="0" ma:contentTypeDescription="Create a new document in this library." ma:contentTypeScope="" ma:versionID="2a64aa7b0c28df38ad5e8c687a310cc6">
  <xsd:schema xmlns:xsd="http://www.w3.org/2001/XMLSchema" xmlns:xs="http://www.w3.org/2001/XMLSchema" xmlns:p="http://schemas.microsoft.com/office/2006/metadata/properties" xmlns:ns2="http://schemas.microsoft.com/sharepoint/v3/fields" xmlns:ns3="bc5d8744-706b-4353-99b8-b184e4a28094" targetNamespace="http://schemas.microsoft.com/office/2006/metadata/properties" ma:root="true" ma:fieldsID="19d4ecf5896ca5ee01d883b3b796ab91" ns2:_="" ns3:_="">
    <xsd:import namespace="http://schemas.microsoft.com/sharepoint/v3/fields"/>
    <xsd:import namespace="bc5d8744-706b-4353-99b8-b184e4a28094"/>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c5d8744-706b-4353-99b8-b184e4a28094"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1EE95E-E9E6-4B43-87FB-4D7647901EB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c5d8744-706b-4353-99b8-b184e4a28094"/>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5838C41D-B5BC-43D8-A773-C17DC387B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bc5d8744-706b-4353-99b8-b184e4a28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CEFE80-8C5F-4016-8EDA-2C61EAD631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Pages>
  <Words>826</Words>
  <Characters>6013</Characters>
  <Application>Microsoft Office Word</Application>
  <DocSecurity>0</DocSecurity>
  <Lines>113</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2021-03-09T15:01:00Z</dcterms:created>
  <dcterms:modified xsi:type="dcterms:W3CDTF">2021-03-17T13:41:00Z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SJ-028</vt:lpwstr>
  </property>
  <property fmtid="{D5CDD505-2E9C-101B-9397-08002B2CF9AE}" pid="10" name="ContentTypeId">
    <vt:lpwstr>0x010100258AA79CEB83498886A3A08681123250001F437BAF5520574C902BF3CD2F286BF3</vt:lpwstr>
  </property>
  <property fmtid="{D5CDD505-2E9C-101B-9397-08002B2CF9AE}" pid="11" name="DQCStatus">
    <vt:lpwstr>Green (DQC version 03)</vt:lpwstr>
  </property>
</Properties>
</file>