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B2330B-606C-4C6E-8503-B2AF1CA1F93D" style="width:450.5pt;height:4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Předmět návrhu</w:t>
      </w:r>
    </w:p>
    <w:p>
      <w:pPr>
        <w:rPr>
          <w:noProof/>
        </w:rPr>
      </w:pPr>
      <w:r>
        <w:rPr>
          <w:noProof/>
        </w:rPr>
        <w:t>Tento návrh se týká rozhodnutí o postoji, který má být jménem Unie zaujat ve Výboru pro přidružení EU-Gruzie ve složení pro obchod v souvislosti s plánovaným přijetím rozhodnutí o vydání příznivého stanoviska ke komplexnímu plánu schválenému vládou Gruzie pro provádění právních předpisů týkajících se veřejných zakázek a s uznáním dokončení fáze 1 přílohy XVI-B dohody o přidružení.</w:t>
      </w:r>
    </w:p>
    <w:p>
      <w:pPr>
        <w:rPr>
          <w:noProof/>
        </w:rPr>
      </w:pPr>
      <w:r>
        <w:rPr>
          <w:noProof/>
        </w:rPr>
        <w:t xml:space="preserve">Tento návrh se dále týká rozhodnutí o postoji, který má být jménem Unie zaujat v Radě přidružení EU-Gruzie, která poskytuje stranám další přístup na trh, jak stanoví hlava IV dohody o přidružení. </w:t>
      </w:r>
    </w:p>
    <w:p>
      <w:pPr>
        <w:pStyle w:val="ManualHeading1"/>
        <w:rPr>
          <w:noProof/>
        </w:rPr>
      </w:pPr>
      <w:r>
        <w:t>2.</w:t>
      </w:r>
      <w:r>
        <w:tab/>
      </w:r>
      <w:r>
        <w:rPr>
          <w:noProof/>
        </w:rPr>
        <w:t>Souvislosti návrhu</w:t>
      </w:r>
    </w:p>
    <w:p>
      <w:pPr>
        <w:pStyle w:val="ManualHeading2"/>
        <w:rPr>
          <w:noProof/>
        </w:rPr>
      </w:pPr>
      <w:r>
        <w:rPr>
          <w:noProof/>
        </w:rPr>
        <w:t>2.1</w:t>
      </w:r>
      <w:r>
        <w:rPr>
          <w:noProof/>
        </w:rPr>
        <w:tab/>
        <w:t>Dohoda o přidružení</w:t>
      </w:r>
    </w:p>
    <w:p>
      <w:pPr>
        <w:rPr>
          <w:noProof/>
        </w:rPr>
      </w:pPr>
      <w:r>
        <w:rPr>
          <w:noProof/>
        </w:rPr>
        <w:t>Dohoda o přidružení mezi Evropskou unií a Evropským společenstvím pro atomovou energii a jejich členskými státy na jedné straně a Gruzií na straně druhé</w:t>
      </w:r>
      <w:r>
        <w:rPr>
          <w:rStyle w:val="FootnoteReference"/>
          <w:noProof/>
        </w:rPr>
        <w:footnoteReference w:id="1"/>
      </w:r>
      <w:r>
        <w:rPr>
          <w:noProof/>
        </w:rPr>
        <w:t xml:space="preserve"> (dále jen „dohoda“) zavádí prohloubenou a komplexní zónu volného obchodu, jejímž cílem je vytvořit podmínky pro posílené hospodářské a obchodní vztahy. To zahrnuje postupné sbližování právních předpisů v oblasti zadávání veřejných zakázek. Dohoda vstoupila v plném rozsahu v platnost dne 1. července 2016.</w:t>
      </w:r>
    </w:p>
    <w:p>
      <w:pPr>
        <w:pStyle w:val="ManualHeading2"/>
        <w:rPr>
          <w:noProof/>
        </w:rPr>
      </w:pPr>
      <w:r>
        <w:rPr>
          <w:noProof/>
        </w:rPr>
        <w:t>2.2</w:t>
      </w:r>
      <w:r>
        <w:rPr>
          <w:noProof/>
        </w:rPr>
        <w:tab/>
        <w:t>Výbor pro přidružení ve složení pro obchod</w:t>
      </w:r>
    </w:p>
    <w:p>
      <w:pPr>
        <w:rPr>
          <w:noProof/>
        </w:rPr>
      </w:pPr>
      <w:r>
        <w:rPr>
          <w:noProof/>
        </w:rPr>
        <w:t xml:space="preserve">Výbor pro přidružení ve složení pro obchod byl zřízen čl. 408 odst. 4 dohody a vykonává úkoly, které mu byly svěřeny podle hlavy IV, tj. obchod a obchodní záležitosti. </w:t>
      </w:r>
    </w:p>
    <w:p>
      <w:pPr>
        <w:rPr>
          <w:noProof/>
        </w:rPr>
      </w:pPr>
      <w:r>
        <w:rPr>
          <w:noProof/>
        </w:rPr>
        <w:t>Podle čl. 408 odst. 3 má Výbor pro přidružení pravomoc přijímat rozhodnutí v případech stanovených v této dohodě. Rozhodnutí Výboru pro přidružení jsou závazná a smluvní strany přijmou vhodná opatření k jejich provedení. Výbor pro přidružení přijímá rozhodnutí na základě dohody mezi stranami s přihlédnutím k příslušným vnitřním postupům.</w:t>
      </w:r>
    </w:p>
    <w:p>
      <w:pPr>
        <w:pStyle w:val="ManualHeading2"/>
        <w:rPr>
          <w:noProof/>
        </w:rPr>
      </w:pPr>
      <w:r>
        <w:rPr>
          <w:noProof/>
        </w:rPr>
        <w:t>2.3</w:t>
      </w:r>
      <w:r>
        <w:rPr>
          <w:noProof/>
        </w:rPr>
        <w:tab/>
        <w:t>Rada přidružení</w:t>
      </w:r>
    </w:p>
    <w:p>
      <w:pPr>
        <w:rPr>
          <w:noProof/>
        </w:rPr>
      </w:pPr>
      <w:r>
        <w:rPr>
          <w:noProof/>
        </w:rPr>
        <w:t xml:space="preserve">Rada přidružení byla zřízena článkem 404 dohody. Dohlíží na uplatňování a provádění dohody, sleduje je a pravidelně hodnotí fungování dohody z hlediska jejích cílů. Rada přidružení se kromě toho, že sleduje uplatňování a provádění této dohody a dohlíží na ně, zabývá všemi důležitými otázkami, jež v rámci dohody vyvstanou, jakož i veškerými dalšími dvoustrannými či mezinárodními otázkami společného zájmu. </w:t>
      </w:r>
    </w:p>
    <w:p>
      <w:pPr>
        <w:rPr>
          <w:noProof/>
        </w:rPr>
      </w:pPr>
      <w:r>
        <w:rPr>
          <w:noProof/>
        </w:rPr>
        <w:t>Podle článku 406 dohody má Rada přidružení pravomoc přijímat rozhodnutí v rámci dohody, která jsou pro strany závazná. Zejména čl. 419 odst. 5 stanoví, že pokud se strany dohodnou, že nezbytná opatření, na něž se vztahuje hlava IV (Obchod a obchodní záležitosti) dohody, byla provedena a jsou vymáhána, rozhodne Rada přidružení v rámci pravomocí na ni přenesených podle článků 406 a 408 dohody o dalším otevření trhu, jak je stanoveno v hlavě IV.</w:t>
      </w:r>
    </w:p>
    <w:p>
      <w:pPr>
        <w:rPr>
          <w:noProof/>
        </w:rPr>
      </w:pPr>
      <w:r>
        <w:rPr>
          <w:noProof/>
        </w:rPr>
        <w:t>Rozhodnutí Rady pro přidružení jsou závazná a smluvní strany přijmou vhodná opatření k jejich provedení. Rada pro přidružení přijímá svá rozhodnutí a doporučení dohodou mezi stranami po dokončení jejich příslušných vnitřních postupů.</w:t>
      </w:r>
    </w:p>
    <w:p>
      <w:pPr>
        <w:pStyle w:val="ManualHeading2"/>
        <w:rPr>
          <w:noProof/>
        </w:rPr>
      </w:pPr>
      <w:r>
        <w:rPr>
          <w:noProof/>
        </w:rPr>
        <w:lastRenderedPageBreak/>
        <w:t>2.4</w:t>
      </w:r>
      <w:r>
        <w:rPr>
          <w:noProof/>
        </w:rPr>
        <w:tab/>
        <w:t>Zamýšlený akt Výboru pro přidružení ve složení pro obchod</w:t>
      </w:r>
    </w:p>
    <w:p>
      <w:pPr>
        <w:rPr>
          <w:noProof/>
        </w:rPr>
      </w:pPr>
      <w:r>
        <w:rPr>
          <w:noProof/>
        </w:rPr>
        <w:t>Účelem zamýšleného aktu je vydat příznivé stanovisko k nedávnému komplexnímu plánu reformy v oblasti veřejných zakázek schválenému vládou Gruzie a uznat dokončení fáze 1 přílohy XVI-B dohody (Orientační časový plán pro institucionální reformu, sbližování a přístup na trh).</w:t>
      </w:r>
    </w:p>
    <w:p>
      <w:pPr>
        <w:rPr>
          <w:noProof/>
        </w:rPr>
      </w:pPr>
      <w:r>
        <w:rPr>
          <w:noProof/>
        </w:rPr>
        <w:t>Příloha XVI-B prohloubené a komplexní dohody o volném obchodu mezi EU a Gruzií stanoví pro dokončení fáze 1 tyto požadavky:</w:t>
      </w:r>
    </w:p>
    <w:p>
      <w:pPr>
        <w:pStyle w:val="Bullet0"/>
        <w:numPr>
          <w:ilvl w:val="0"/>
          <w:numId w:val="2"/>
        </w:numPr>
        <w:rPr>
          <w:noProof/>
        </w:rPr>
      </w:pPr>
      <w:r>
        <w:rPr>
          <w:noProof/>
        </w:rPr>
        <w:t xml:space="preserve">provádění čl. 143 odst. 2 a článku 144 této dohody, </w:t>
      </w:r>
    </w:p>
    <w:p>
      <w:pPr>
        <w:pStyle w:val="Bullet0"/>
        <w:rPr>
          <w:noProof/>
        </w:rPr>
      </w:pPr>
      <w:r>
        <w:rPr>
          <w:noProof/>
        </w:rPr>
        <w:t>Dohodu o reformní strategii podle článku 145 této dohody.</w:t>
      </w:r>
    </w:p>
    <w:p>
      <w:pPr>
        <w:rPr>
          <w:noProof/>
        </w:rPr>
      </w:pPr>
      <w:r>
        <w:rPr>
          <w:noProof/>
        </w:rPr>
        <w:t>Pokud jde o první požadavek, čl. 143 odst. 2 stanoví, že Gruzie určí zejména:</w:t>
      </w:r>
    </w:p>
    <w:p>
      <w:pPr>
        <w:pStyle w:val="Bullet1"/>
        <w:numPr>
          <w:ilvl w:val="0"/>
          <w:numId w:val="12"/>
        </w:numPr>
        <w:rPr>
          <w:noProof/>
        </w:rPr>
      </w:pPr>
      <w:r>
        <w:rPr>
          <w:noProof/>
        </w:rPr>
        <w:t xml:space="preserve">ústřední výkonný orgán, jehož úkolem je garantovat soudržnost politiky a její provádění ve všech oblastech souvisejících se zadáváním veřejných zakázek. Tento orgán napomůže provádění této kapitoly a bude je koordinovat a povede proces postupného sbližování právních předpisů s </w:t>
      </w:r>
      <w:r>
        <w:rPr>
          <w:i/>
          <w:noProof/>
        </w:rPr>
        <w:t>acquis</w:t>
      </w:r>
      <w:r>
        <w:rPr>
          <w:noProof/>
        </w:rPr>
        <w:t xml:space="preserve"> Unie, jak je uvedeno v příloze XVI-B této dohody,</w:t>
      </w:r>
    </w:p>
    <w:p>
      <w:pPr>
        <w:pStyle w:val="Bullet1"/>
        <w:rPr>
          <w:noProof/>
        </w:rPr>
      </w:pPr>
      <w:r>
        <w:rPr>
          <w:noProof/>
        </w:rPr>
        <w:t>nestranný a nezávislý orgán, jehož úkolem bude revize rozhodnutí přijatých veřejným zadavatelem během přidělování veřejných zakázek. V této souvislosti se „nezávislým“ rozumí veřejný orgán fungující odděleně od všech veřejných zadavatelů a hospodářských subjektů. Rozhodnutí přijatá tímto orgánem bude možné podrobit soudnímu přezkumu.</w:t>
      </w:r>
    </w:p>
    <w:p>
      <w:pPr>
        <w:rPr>
          <w:noProof/>
        </w:rPr>
      </w:pPr>
      <w:r>
        <w:rPr>
          <w:noProof/>
        </w:rPr>
        <w:t>Tato opatření byla dokončena dne 23. dubna 2014 nařízením gruzínské vlády č. 306 a dne 2. července 2020 zákonem Gruzie č. 6730.</w:t>
      </w:r>
    </w:p>
    <w:p>
      <w:pPr>
        <w:rPr>
          <w:noProof/>
        </w:rPr>
      </w:pPr>
      <w:r>
        <w:rPr>
          <w:noProof/>
        </w:rPr>
        <w:t xml:space="preserve">Podle článku 144 strany dodržují soubor základních norem pro zadávání všech zakázek, jak je stanoveno v odstavcích 2 až 15 tohoto článku, týkajících se zveřejňování, zadávání zakázek a soudní ochrany. Tyto základní normy přímo vyplývají z pravidel a zásad zadávání veřejných zakázek, jak je upravuje </w:t>
      </w:r>
      <w:r>
        <w:rPr>
          <w:i/>
          <w:noProof/>
        </w:rPr>
        <w:t>acquis</w:t>
      </w:r>
      <w:r>
        <w:rPr>
          <w:noProof/>
        </w:rPr>
        <w:t xml:space="preserve"> Unie o veřejných zakázkách, včetně zásad nediskriminace, rovného zacházení, transparentnosti a proporcionality. </w:t>
      </w:r>
    </w:p>
    <w:p>
      <w:pPr>
        <w:rPr>
          <w:noProof/>
        </w:rPr>
      </w:pPr>
      <w:r>
        <w:rPr>
          <w:noProof/>
        </w:rPr>
        <w:t xml:space="preserve">Tyto zásady byly začleněny do gruzínských pravidel pro zadávání veřejných zakázek zavedením systému elektronického zadávání veřejných zakázek v roce 2010 a přijetím zákona Gruzie č. 617 ze dne 6. dubna 2017, kterým se mění zákon o státních zakázkách. </w:t>
      </w:r>
    </w:p>
    <w:p>
      <w:pPr>
        <w:rPr>
          <w:noProof/>
        </w:rPr>
      </w:pPr>
      <w:r>
        <w:rPr>
          <w:noProof/>
        </w:rPr>
        <w:t xml:space="preserve">Pokud jde o druhý požadavek fáze 1 přílohy XVI-B, je nezbytný souhlas s plánem stanoveným v článku 145 dohody. V čl. 145 odst. 1 dohody o přidružení se stanoví, že před začátkem postupného sbližování předloží Gruzie Výboru pro přidružení ve složení pro obchod komplexní plán provádění kapitoly 8 hlavy IV s harmonogramy a milníky. Tento dokument, který je podle dohody o přidružení v souladu s fázemi a harmonogramy stanovenými v příloze XVI-B, zahrnuje všechny reformy, pokud jde o sbližování s </w:t>
      </w:r>
      <w:r>
        <w:rPr>
          <w:i/>
          <w:noProof/>
        </w:rPr>
        <w:t>acquis</w:t>
      </w:r>
      <w:r>
        <w:rPr>
          <w:noProof/>
        </w:rPr>
        <w:t xml:space="preserve"> Unie a budování institucionálních kapacit. </w:t>
      </w:r>
    </w:p>
    <w:p>
      <w:pPr>
        <w:rPr>
          <w:noProof/>
        </w:rPr>
      </w:pPr>
      <w:r>
        <w:rPr>
          <w:noProof/>
        </w:rPr>
        <w:t>Vláda Gruzie dne 31. března 2016 schválila nařízení vlády Gruzie č. 536 o schválení „plánu týkajícího se plánovaných změn v oblasti veřejných zakázek, s nimiž se počítá v souladu se závazky mezi Gruzií a EU v oblasti působnosti dohody o prohloubené a komplexní zóně volného obchodu“. Toto nařízení bylo změněno vládními nařízeními č. 154 ze dne 22. ledna 2018 a č. 974 ze dne 12. června 2020. Plán splňuje požadavky čl. 145 odst. 1.</w:t>
      </w:r>
    </w:p>
    <w:p>
      <w:pPr>
        <w:rPr>
          <w:noProof/>
        </w:rPr>
      </w:pPr>
      <w:r>
        <w:rPr>
          <w:noProof/>
        </w:rPr>
        <w:t xml:space="preserve">Zamýšlený akt se stane pro strany závazným v souladu s čl. 145 odst. 2 dohody, který stanoví, že „po kladném stanovisku Výboru pro přidružení ve složení pro obchod bude plán považován za referenční dokument pro provádění této kapitoly. Unie učiní vše, co je v jejích </w:t>
      </w:r>
      <w:r>
        <w:rPr>
          <w:noProof/>
        </w:rPr>
        <w:lastRenderedPageBreak/>
        <w:t xml:space="preserve">silách, aby Gruzii s realizací tohoto plánu pomohla.“ Podle čl. 146 odst. 3 umožní uznání dokončení fáze 1 přílohy XVI-B, aby Výbor pro přidružení ve složení pro obchod přikročil k hodnocení další fáze. </w:t>
      </w:r>
    </w:p>
    <w:p>
      <w:pPr>
        <w:pStyle w:val="ManualHeading2"/>
        <w:rPr>
          <w:noProof/>
        </w:rPr>
      </w:pPr>
      <w:r>
        <w:rPr>
          <w:noProof/>
        </w:rPr>
        <w:t>2.5</w:t>
      </w:r>
      <w:r>
        <w:rPr>
          <w:noProof/>
        </w:rPr>
        <w:tab/>
        <w:t>Předpokládané rozhodnutí Rady přidružení o přístupu na trh</w:t>
      </w:r>
    </w:p>
    <w:p>
      <w:pPr>
        <w:rPr>
          <w:noProof/>
        </w:rPr>
      </w:pPr>
      <w:r>
        <w:rPr>
          <w:noProof/>
        </w:rPr>
        <w:t>Po uznání dokončení fáze 1 Rada přidružení v souladu s čl. 146 odst. 2 a čl. 419 odst. 5 a časovým plánem pro institucionální reformu, sbližování a přístup na trh obsaženým v příloze XVI-B rozhodne o vzájemném přístupu na trh pro dodávky pro ústřední orgány státní správy.</w:t>
      </w:r>
    </w:p>
    <w:p>
      <w:pPr>
        <w:pStyle w:val="ManualHeading1"/>
        <w:rPr>
          <w:noProof/>
        </w:rPr>
      </w:pPr>
      <w:r>
        <w:t>3.</w:t>
      </w:r>
      <w:r>
        <w:tab/>
      </w:r>
      <w:r>
        <w:rPr>
          <w:noProof/>
        </w:rPr>
        <w:t>Postoj, který má být zaujat jménem Unie</w:t>
      </w:r>
    </w:p>
    <w:p>
      <w:pPr>
        <w:rPr>
          <w:noProof/>
          <w:highlight w:val="yellow"/>
        </w:rPr>
      </w:pPr>
      <w:r>
        <w:rPr>
          <w:noProof/>
        </w:rPr>
        <w:t xml:space="preserve">Postoj, který má jménem Unie zaujmout Výbor pro přidružení ve složení pro obchod, má za cíl vydat příznivé stanovisko k plánu schválenému gruzínskou vládou pro provádění právních předpisů týkajících se zadávání veřejných zakázek. </w:t>
      </w:r>
    </w:p>
    <w:p>
      <w:pPr>
        <w:rPr>
          <w:noProof/>
        </w:rPr>
      </w:pPr>
      <w:r>
        <w:rPr>
          <w:noProof/>
        </w:rPr>
        <w:t xml:space="preserve">Dále si klade za cíl uznat, že schválením komplexní strategie reforem v souladu s článkem 145 a uznáním provádění čl. 143 odst. 2 a článku 144 dohody Gruzie dokončila fázi 1 přílohy XVI-B dohody o přidružení (Orientační časový plán pro institucionální reformu, sbližování a přístup na trh). </w:t>
      </w:r>
    </w:p>
    <w:p>
      <w:pPr>
        <w:rPr>
          <w:noProof/>
        </w:rPr>
      </w:pPr>
      <w:r>
        <w:rPr>
          <w:noProof/>
        </w:rPr>
        <w:t xml:space="preserve">Podle čl. 145 odst. 2 dohody bude plán po kladném stanovisku Výboru pro přidružení ve složení pro obchod začleněn jako referenční dokument pro provádění hlavy IV kapitoly 8 dohody o přidružení. </w:t>
      </w:r>
    </w:p>
    <w:p>
      <w:pPr>
        <w:rPr>
          <w:noProof/>
        </w:rPr>
      </w:pPr>
      <w:r>
        <w:rPr>
          <w:noProof/>
        </w:rPr>
        <w:t>Cílem postoje, který má Rada přidružení jménem Unie zaujmout, je rozhodnout o udělení dalšího přístupu stran na trh podle hlavy IV dohody.</w:t>
      </w:r>
    </w:p>
    <w:p>
      <w:pPr>
        <w:rPr>
          <w:noProof/>
        </w:rPr>
      </w:pPr>
      <w:r>
        <w:rPr>
          <w:noProof/>
        </w:rPr>
        <w:t>Tato rozhodnutí by měla být chápána v širším kontextu úsilí EU a Gruzie o sblížení jejich právních předpisů, včetně právních předpisů v oblasti zadávání veřejných zakázek, s cílem stanovit podmínky pro posílení hospodářských a obchodních vztahů.</w:t>
      </w:r>
    </w:p>
    <w:p>
      <w:pPr>
        <w:pStyle w:val="ManualHeading1"/>
        <w:rPr>
          <w:noProof/>
        </w:rPr>
      </w:pPr>
      <w:r>
        <w:t>4.</w:t>
      </w:r>
      <w:r>
        <w:tab/>
      </w:r>
      <w:r>
        <w:rPr>
          <w:noProof/>
        </w:rPr>
        <w:t>Právní základ</w:t>
      </w:r>
    </w:p>
    <w:p>
      <w:pPr>
        <w:pStyle w:val="ManualHeading2"/>
        <w:rPr>
          <w:noProof/>
        </w:rPr>
      </w:pPr>
      <w:r>
        <w:rPr>
          <w:noProof/>
        </w:rPr>
        <w:t>4.1</w:t>
      </w:r>
      <w:r>
        <w:rPr>
          <w:noProof/>
        </w:rPr>
        <w:tab/>
        <w:t>Procesněprávní základ</w:t>
      </w:r>
    </w:p>
    <w:p>
      <w:pPr>
        <w:pStyle w:val="ManualHeading3"/>
        <w:rPr>
          <w:noProof/>
        </w:rPr>
      </w:pPr>
      <w:r>
        <w:rPr>
          <w:noProof/>
        </w:rPr>
        <w:t>4.1.1</w:t>
      </w:r>
      <w:r>
        <w:rPr>
          <w:noProof/>
        </w:rPr>
        <w:tab/>
        <w:t>Zásady</w:t>
      </w:r>
    </w:p>
    <w:p>
      <w:pPr>
        <w:rPr>
          <w:noProof/>
        </w:rPr>
      </w:pPr>
      <w:r>
        <w:rPr>
          <w:noProof/>
        </w:rPr>
        <w:t>Ustanovení čl. 218 odst. 9 Smlouvy o fungování Evropské unie (dále jen „Smlouva o fungování EU“) zavádí rozhodnutí, jimiž se stanoví „postoje,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t>Pojem „akty s právními účinky“ zahrnuje akty, které mají právní účinky na základě pravidel mezinárodního práva, kterými se řídí dotyčný orgán. Zahrnuje rovněž nástroje, které podle mezinárodního práva nemají závazný účinek, ale „mohou rozhodujícím způsobem ovlivnit obsah právní úpravy přijaté zákonodárcem EU“</w:t>
      </w:r>
      <w:r>
        <w:rPr>
          <w:rStyle w:val="FootnoteReference"/>
          <w:noProof/>
        </w:rPr>
        <w:footnoteReference w:id="2"/>
      </w:r>
      <w:r>
        <w:rPr>
          <w:noProof/>
        </w:rPr>
        <w:t>.</w:t>
      </w:r>
    </w:p>
    <w:p>
      <w:pPr>
        <w:pStyle w:val="ManualHeading3"/>
        <w:rPr>
          <w:noProof/>
        </w:rPr>
      </w:pPr>
      <w:r>
        <w:rPr>
          <w:noProof/>
        </w:rPr>
        <w:t>4.1.2</w:t>
      </w:r>
      <w:r>
        <w:rPr>
          <w:noProof/>
        </w:rPr>
        <w:tab/>
        <w:t>Uplatnění v tomto konkrétním případě</w:t>
      </w:r>
    </w:p>
    <w:p>
      <w:pPr>
        <w:rPr>
          <w:noProof/>
        </w:rPr>
      </w:pPr>
      <w:r>
        <w:rPr>
          <w:noProof/>
        </w:rPr>
        <w:t xml:space="preserve">Výbor pro přidružení ve složení pro obchod je orgán zřízený dohodou, konkrétně Dohodou o přidružení mezi Evropskou unií a Evropským společenstvím pro atomovou energii a jejich členskými státy na jedné straně a Gruzií na straně druhé. </w:t>
      </w:r>
    </w:p>
    <w:p>
      <w:pPr>
        <w:rPr>
          <w:noProof/>
        </w:rPr>
      </w:pPr>
      <w:r>
        <w:rPr>
          <w:noProof/>
        </w:rPr>
        <w:lastRenderedPageBreak/>
        <w:t xml:space="preserve">Akt, který má Výbor pro přidružení ve složení pro obchod přijmout, představuje akt s právními účinky. V souladu s čl. 408 odst. 3 dohody bude zamýšlený akt závazný podle mezinárodního práva. </w:t>
      </w:r>
    </w:p>
    <w:p>
      <w:pPr>
        <w:rPr>
          <w:noProof/>
        </w:rPr>
      </w:pPr>
      <w:r>
        <w:rPr>
          <w:noProof/>
        </w:rPr>
        <w:t>Rozhodnutí Rady přidružení udělit vzájemný přístup na trh přinese právní účinky na území podepisujících stran podle čl. 406 odst. 1 dohody.</w:t>
      </w:r>
    </w:p>
    <w:p>
      <w:pPr>
        <w:rPr>
          <w:noProof/>
        </w:rPr>
      </w:pPr>
      <w:r>
        <w:rPr>
          <w:noProof/>
        </w:rPr>
        <w:t>Zamýšlené akty nedoplňují ani nepozměňují institucionální rámec dohody.</w:t>
      </w:r>
    </w:p>
    <w:p>
      <w:pPr>
        <w:rPr>
          <w:noProof/>
        </w:rPr>
      </w:pPr>
      <w:r>
        <w:rPr>
          <w:noProof/>
        </w:rPr>
        <w:t>Procesněprávním základem navrhovaného rozhodnutí je tudíž čl. 218 odst. 9 Smlouvy o fungování EU.</w:t>
      </w:r>
    </w:p>
    <w:p>
      <w:pPr>
        <w:pStyle w:val="ManualHeading2"/>
        <w:rPr>
          <w:noProof/>
        </w:rPr>
      </w:pPr>
      <w:r>
        <w:rPr>
          <w:noProof/>
        </w:rPr>
        <w:t>4.2</w:t>
      </w:r>
      <w:r>
        <w:rPr>
          <w:noProof/>
        </w:rPr>
        <w:tab/>
        <w:t>Hmotněprávní základ</w:t>
      </w:r>
    </w:p>
    <w:p>
      <w:pPr>
        <w:pStyle w:val="ManualHeading3"/>
        <w:rPr>
          <w:noProof/>
        </w:rPr>
      </w:pPr>
      <w:r>
        <w:rPr>
          <w:noProof/>
        </w:rPr>
        <w:t>4.2.1</w:t>
      </w:r>
      <w:r>
        <w:rPr>
          <w:noProof/>
        </w:rPr>
        <w:tab/>
        <w:t>Zásady</w:t>
      </w:r>
    </w:p>
    <w:p>
      <w:pPr>
        <w:rPr>
          <w:noProof/>
        </w:rPr>
      </w:pPr>
      <w:r>
        <w:rPr>
          <w:noProof/>
        </w:rPr>
        <w:t>Hmotněprávní základ rozhodnutí podle čl. 218 odst. 9 Smlouvy o fungování EU závisí v první řadě na cíli a obsahu zamýšleného aktu, v souvislosti s nímž se postoj jménem Unie zaujímá. Sleduje-li zamýšlený akt dvojí účel nebo má-li dvě složky a lze-li jeden z těchto účelů nebo jednu z těchto složek identifikovat jako hlavní, zatímco druhý účel či druhá složka je pouze vedlejší, musí být rozhodnutí přijaté podle čl. 218 odst. 9 Smlouvy o fungování EU založeno na jediném hmotněprávním základu, a sice na tom, který si žádá hlavní nebo převažující účel či složka.</w:t>
      </w:r>
    </w:p>
    <w:p>
      <w:pPr>
        <w:pStyle w:val="ManualHeading3"/>
        <w:rPr>
          <w:noProof/>
        </w:rPr>
      </w:pPr>
      <w:r>
        <w:rPr>
          <w:noProof/>
        </w:rPr>
        <w:t>4.2.2</w:t>
      </w:r>
      <w:r>
        <w:rPr>
          <w:noProof/>
        </w:rPr>
        <w:tab/>
        <w:t>Uplatnění v tomto konkrétním případě</w:t>
      </w:r>
    </w:p>
    <w:p>
      <w:pPr>
        <w:rPr>
          <w:noProof/>
        </w:rPr>
      </w:pPr>
      <w:r>
        <w:rPr>
          <w:noProof/>
        </w:rPr>
        <w:t xml:space="preserve">Hlavní cíl a obsah zamýšleného aktu se týká zajištění provádění společné obchodní politiky Unie. </w:t>
      </w:r>
    </w:p>
    <w:p>
      <w:pPr>
        <w:rPr>
          <w:noProof/>
        </w:rPr>
      </w:pPr>
      <w:r>
        <w:rPr>
          <w:noProof/>
        </w:rPr>
        <w:t xml:space="preserve">Hmotněprávním základem navrhovaného rozhodnutí je tudíž čl. 207 odst. 4 první pododstavec Smlouvy o fungování EU. </w:t>
      </w:r>
    </w:p>
    <w:p>
      <w:pPr>
        <w:pStyle w:val="ManualHeading2"/>
        <w:rPr>
          <w:noProof/>
        </w:rPr>
      </w:pPr>
      <w:r>
        <w:rPr>
          <w:noProof/>
        </w:rPr>
        <w:t>4.3</w:t>
      </w:r>
      <w:r>
        <w:rPr>
          <w:noProof/>
        </w:rPr>
        <w:tab/>
        <w:t>Závěr</w:t>
      </w:r>
    </w:p>
    <w:p>
      <w:pPr>
        <w:rPr>
          <w:noProof/>
        </w:rPr>
      </w:pPr>
      <w:r>
        <w:rPr>
          <w:noProof/>
        </w:rPr>
        <w:t>Právním základem navrhovaného rozhodnutí by měl být čl. 207 odst. 4 první pododstavec ve spojení s čl. 218 odst. 9 Smlouvy o fungování EU.</w:t>
      </w:r>
    </w:p>
    <w:p>
      <w:pPr>
        <w:pStyle w:val="ManualHeading1"/>
        <w:rPr>
          <w:noProof/>
        </w:rPr>
      </w:pPr>
      <w:r>
        <w:t>5.</w:t>
      </w:r>
      <w:r>
        <w:tab/>
      </w:r>
      <w:r>
        <w:rPr>
          <w:noProof/>
        </w:rPr>
        <w:t>Zveřejnění zamýšlených aktů</w:t>
      </w:r>
    </w:p>
    <w:p>
      <w:pPr>
        <w:rPr>
          <w:noProof/>
        </w:rPr>
      </w:pPr>
      <w:r>
        <w:rPr>
          <w:noProof/>
        </w:rPr>
        <w:t xml:space="preserve">Podle čl. 145 odst. 2 začlení akt Výboru pro přidružení ve složení pro obchod plán schválený orgány Gruzie jako referenční dokument pro kapitolu 8 hlavy IV dohody a uzná dokončení fáze 1 přílohy XVI-B (Orientační časový plán pro institucionální reformu, sbližování a přístup na trh). Rozhodnutí Rady přidružení udělit vzájemný přístup na trh přinese práva a povinnosti. Je proto vhodné akty po jejich přijetí zveřejnit v </w:t>
      </w:r>
      <w:r>
        <w:rPr>
          <w:i/>
          <w:iCs/>
          <w:noProof/>
        </w:rPr>
        <w:t>Úředním věstníku Evropské unie</w:t>
      </w:r>
      <w:r>
        <w:rPr>
          <w:noProof/>
        </w:rPr>
        <w:t xml:space="preserv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2021/0067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jménem Evropské unie zaujat ve Výboru pro přidružení ve složení pro obchod a v Radě přidružení zřízené dohodou o přidružení mezi Evropskou unií a Evropským společenstvím pro atomovou energii a jejich členskými státy na jedné straně a Gruzií na straně druhé, pokud jde o příznivé stanovisko ke komplexnímu plánu pro provádění právních předpisů týkajících se veřejných zakázek schválenému gruzínskou vládou a uznání dokončení fáze 1 přílohy XVI-B dohody o přidružení</w:t>
      </w:r>
    </w:p>
    <w:p>
      <w:pPr>
        <w:pStyle w:val="Institutionquiagit"/>
        <w:rPr>
          <w:noProof/>
        </w:rPr>
      </w:pPr>
      <w:r>
        <w:rPr>
          <w:noProof/>
        </w:rPr>
        <w:t>RADA EVROPSKÉ UNIE,</w:t>
      </w:r>
    </w:p>
    <w:p>
      <w:pPr>
        <w:rPr>
          <w:noProof/>
        </w:rPr>
      </w:pPr>
      <w:r>
        <w:rPr>
          <w:noProof/>
        </w:rPr>
        <w:t>s ohledem na Smlouvu o fungování Evropské unie, a zejména na čl. 207 odst. 4 první pododstavec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Dohodu o přidružení mezi Evropskou unií a Evropským společenstvím pro atomovou energii a jejich členskými státy na jedné straně a Gruzií na straně druhé</w:t>
      </w:r>
      <w:r>
        <w:rPr>
          <w:rStyle w:val="FootnoteReference"/>
          <w:noProof/>
        </w:rPr>
        <w:footnoteReference w:id="3"/>
      </w:r>
      <w:r>
        <w:rPr>
          <w:noProof/>
        </w:rPr>
        <w:t xml:space="preserve"> (dále jen „dohoda“) uzavřela Unie rozhodnutím Rady (EU) 2016/838</w:t>
      </w:r>
      <w:r>
        <w:rPr>
          <w:rStyle w:val="FootnoteReference"/>
          <w:noProof/>
        </w:rPr>
        <w:footnoteReference w:id="4"/>
      </w:r>
      <w:r>
        <w:rPr>
          <w:noProof/>
        </w:rPr>
        <w:t xml:space="preserve"> a tato dohoda vstoupila v platnost dne 1. července 2016.</w:t>
      </w:r>
    </w:p>
    <w:p>
      <w:pPr>
        <w:pStyle w:val="ManualConsidrant"/>
        <w:rPr>
          <w:noProof/>
        </w:rPr>
      </w:pPr>
      <w:r>
        <w:t>(2)</w:t>
      </w:r>
      <w:r>
        <w:tab/>
      </w:r>
      <w:r>
        <w:rPr>
          <w:noProof/>
        </w:rPr>
        <w:t>V čl. 145 odst. 1 dohody se stanoví, že Gruzie předloží Výboru pro přidružení ve složení pro obchod komplexní plán provádění právních předpisů týkajících se zadávání veřejných zakázek s harmonogramy a mezníky, který by měl zahrnovat veškeré reformy, pokud jde o sbližování právních předpisů s </w:t>
      </w:r>
      <w:r>
        <w:rPr>
          <w:i/>
          <w:noProof/>
        </w:rPr>
        <w:t>acquis</w:t>
      </w:r>
      <w:r>
        <w:rPr>
          <w:noProof/>
        </w:rPr>
        <w:t xml:space="preserve"> Unie.</w:t>
      </w:r>
    </w:p>
    <w:p>
      <w:pPr>
        <w:pStyle w:val="ManualConsidrant"/>
        <w:rPr>
          <w:noProof/>
        </w:rPr>
      </w:pPr>
      <w:r>
        <w:t>(3)</w:t>
      </w:r>
      <w:r>
        <w:tab/>
      </w:r>
      <w:r>
        <w:rPr>
          <w:noProof/>
        </w:rPr>
        <w:t>V souladu s čl. 145 odst. 2 dohody je zapotřebí kladné stanovisko Výboru pro přidružení ve složení pro obchod k tomu, aby se komplexní plán stal referenčním dokumentem pro proces provádění, to jest pro sbližování právních předpisů v oblasti veřejných zakázek souvisejících s </w:t>
      </w:r>
      <w:r>
        <w:rPr>
          <w:i/>
          <w:noProof/>
        </w:rPr>
        <w:t>acquis</w:t>
      </w:r>
      <w:r>
        <w:rPr>
          <w:noProof/>
        </w:rPr>
        <w:t xml:space="preserve"> Unie.</w:t>
      </w:r>
    </w:p>
    <w:p>
      <w:pPr>
        <w:pStyle w:val="ManualConsidrant"/>
        <w:rPr>
          <w:noProof/>
        </w:rPr>
      </w:pPr>
      <w:r>
        <w:t>(4)</w:t>
      </w:r>
      <w:r>
        <w:tab/>
      </w:r>
      <w:r>
        <w:rPr>
          <w:noProof/>
        </w:rPr>
        <w:t xml:space="preserve">V souladu s čl. 146 odst. 2 dohody má být sbližování s </w:t>
      </w:r>
      <w:r>
        <w:rPr>
          <w:i/>
          <w:noProof/>
        </w:rPr>
        <w:t>acquis</w:t>
      </w:r>
      <w:r>
        <w:rPr>
          <w:noProof/>
        </w:rPr>
        <w:t xml:space="preserve"> Unie prováděno v po sobě jdoucích fázích stanovených v harmonogramu v příloze XVI-B dohody. Realizaci každé fáze zhodnotí Výbor pro přidružení ve složení pro obchod podle čl. 408 odst. 4 dohody a po vynesení svého kladného stanoviska ji spojí se vzájemným poskytnutím přístupu na trh, jak je stanoveno v příloze XVI-B dohody.</w:t>
      </w:r>
    </w:p>
    <w:p>
      <w:pPr>
        <w:pStyle w:val="ManualConsidrant"/>
        <w:rPr>
          <w:noProof/>
        </w:rPr>
      </w:pPr>
      <w:r>
        <w:t>(5)</w:t>
      </w:r>
      <w:r>
        <w:tab/>
      </w:r>
      <w:r>
        <w:rPr>
          <w:noProof/>
        </w:rPr>
        <w:t xml:space="preserve">Výbor pro přidružení ve složení pro obchod v souladu s čl. 11 odst. 2 přílohy II rozhodnutí Rady přidružení EU-Gruzie č. 1/2014 ze dne 17. listopadu 2014 o jednacím řádu přijme rozhodnutí, kterým zaujme stanovisko k plánu schválenému gruzínskými orgány, jakož i posouzení dosavadního sbližování gruzínského práva s právem Unie po dokončení fáze 1, jak je stanoveno v příloze XVI-B dohody. Plán byl schválen vládou Gruzie v nařízení vlády Gruzie č. 536 ze dne 31. března 2016 o schválení </w:t>
      </w:r>
      <w:r>
        <w:rPr>
          <w:noProof/>
        </w:rPr>
        <w:lastRenderedPageBreak/>
        <w:t>„plánu týkajícího se plánovaných změn v oblasti veřejných zakázek, s nimiž se počítá v souladu se závazky mezi Gruzií a EU v rámci působnosti dohody o prohloubené a komplexní zóně volného obchodu“ ve znění nařízení vlády Gruzie č. 154 ze dne 22. ledna 2018 a č. 974 ze dne 12. června 2020.</w:t>
      </w:r>
    </w:p>
    <w:p>
      <w:pPr>
        <w:pStyle w:val="ManualConsidrant"/>
        <w:rPr>
          <w:noProof/>
        </w:rPr>
      </w:pPr>
      <w:r>
        <w:t>(6)</w:t>
      </w:r>
      <w:r>
        <w:tab/>
      </w:r>
      <w:r>
        <w:rPr>
          <w:noProof/>
        </w:rPr>
        <w:t>Po uznání dokončení fáze 1 by měla Rada přidružení v souladu s čl. 11 odst. 2 přílohy I rozhodnutí Rady přidružení EU-Gruzie ze dne 17. listopadu 2014 č. 1/2014 o jednacím řádu přijmout rozhodnutí o poskytnutí vzájemného přístupu na trh pro dodávky pro ústřední orgány státní správy, a to v souladu s přílohou XVI-B dohody.</w:t>
      </w:r>
    </w:p>
    <w:p>
      <w:pPr>
        <w:pStyle w:val="ManualConsidrant"/>
        <w:rPr>
          <w:noProof/>
        </w:rPr>
      </w:pPr>
      <w:r>
        <w:t>(7)</w:t>
      </w:r>
      <w:r>
        <w:tab/>
      </w:r>
      <w:r>
        <w:rPr>
          <w:noProof/>
        </w:rPr>
        <w:t>Je vhodné stanovit postoj, který má být zaujat jménem Unie ve Výboru pro přidružení ve složení pro obchod, jakož i v Radě přidružení, protože plánovaná rozhodnutí budou pro Unii závazná,</w:t>
      </w: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Postoj, který má být jménem Unie ve Výboru pro přidružení ve složení pro obchod zaujat, pokud jde o komplexní plán schválený vládou Gruzie a dokončení fáze 1 uvedené v příloze XVI-B dohody o prohloubené a komplexní zóně volného obchodu, vychází z návrhu rozhodnutí Výboru pro přidružení ve složení pro obchod připojeného k tomuto rozhodnutí v příloze I.</w:t>
      </w:r>
    </w:p>
    <w:p>
      <w:pPr>
        <w:pStyle w:val="Titrearticle"/>
        <w:rPr>
          <w:noProof/>
        </w:rPr>
      </w:pPr>
      <w:r>
        <w:rPr>
          <w:noProof/>
        </w:rPr>
        <w:t>Článek 2</w:t>
      </w:r>
    </w:p>
    <w:p>
      <w:pPr>
        <w:rPr>
          <w:noProof/>
        </w:rPr>
      </w:pPr>
      <w:r>
        <w:rPr>
          <w:noProof/>
        </w:rPr>
        <w:t>Postoj, který má být jménem Unie v Radě přidružení zaujat, pokud jde o udělení vzájemného přístupu na trh v souladu s přílohou XVI-B uvedené dohody, vychází z návrhu rozhodnutí Rady přidružení připojeného k tomuto rozhodnutí v příloze II.</w:t>
      </w:r>
    </w:p>
    <w:p>
      <w:pPr>
        <w:pStyle w:val="Titrearticle"/>
        <w:rPr>
          <w:noProof/>
        </w:rPr>
      </w:pPr>
      <w:r>
        <w:rPr>
          <w:noProof/>
        </w:rPr>
        <w:t>Článek 3</w:t>
      </w:r>
    </w:p>
    <w:p>
      <w:pPr>
        <w:rPr>
          <w:noProof/>
        </w:rPr>
      </w:pPr>
      <w:r>
        <w:rPr>
          <w:noProof/>
        </w:rPr>
        <w:t xml:space="preserve">Rozhodnutí Výboru pro přidružení ve složení pro obchod uvedené v článku 1 a rozhodnutí Rady přidružení uvedené v článku 2 budou po jejich přijetí zveřejněna v </w:t>
      </w:r>
      <w:r>
        <w:rPr>
          <w:i/>
          <w:noProof/>
        </w:rPr>
        <w:t>Úředním věstníku Evropské unie</w:t>
      </w:r>
      <w:r>
        <w:rPr>
          <w:noProof/>
        </w:rPr>
        <w:t xml:space="preserve">. </w:t>
      </w:r>
    </w:p>
    <w:p>
      <w:pPr>
        <w:pStyle w:val="Titrearticle"/>
        <w:rPr>
          <w:noProof/>
        </w:rPr>
      </w:pPr>
      <w:r>
        <w:rPr>
          <w:noProof/>
        </w:rPr>
        <w:t>Článek 4</w:t>
      </w:r>
    </w:p>
    <w:p>
      <w:pPr>
        <w:rPr>
          <w:noProof/>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rPr>
      </w:pPr>
      <w:r>
        <w:rPr>
          <w:rStyle w:val="FootnoteReference"/>
        </w:rPr>
        <w:footnoteRef/>
      </w:r>
      <w:r>
        <w:tab/>
      </w:r>
      <w:r>
        <w:rPr>
          <w:rStyle w:val="Emphasis"/>
          <w:i w:val="0"/>
        </w:rPr>
        <w:t>Úř. věst. L 261, 30.8.2014, s. 744.</w:t>
      </w:r>
    </w:p>
  </w:footnote>
  <w:footnote w:id="2">
    <w:p>
      <w:pPr>
        <w:pStyle w:val="FootnoteText"/>
      </w:pPr>
      <w:r>
        <w:rPr>
          <w:rStyle w:val="FootnoteReference"/>
        </w:rPr>
        <w:footnoteRef/>
      </w:r>
      <w:r>
        <w:tab/>
        <w:t xml:space="preserve">Rozsudek Soudního dvora ze dne 7. října 2014, Německo v. Rada, C-399/12, ECLI:EU:C:2014:2258, body 61 až 64. </w:t>
      </w:r>
    </w:p>
  </w:footnote>
  <w:footnote w:id="3">
    <w:p>
      <w:pPr>
        <w:pStyle w:val="FootnoteText"/>
      </w:pPr>
      <w:r>
        <w:rPr>
          <w:rStyle w:val="FootnoteReference"/>
        </w:rPr>
        <w:footnoteRef/>
      </w:r>
      <w:r>
        <w:tab/>
        <w:t>Úř. věst. L 261, 30.8.2014, s. 4.</w:t>
      </w:r>
    </w:p>
  </w:footnote>
  <w:footnote w:id="4">
    <w:p>
      <w:pPr>
        <w:pStyle w:val="FootnoteText"/>
      </w:pPr>
      <w:r>
        <w:rPr>
          <w:rStyle w:val="FootnoteReference"/>
        </w:rPr>
        <w:footnoteRef/>
      </w:r>
      <w:r>
        <w:tab/>
        <w:t>Rozhodnutí Rady (EU) 2016/838 ze dne 23. května 2016 o uzavření Dohody o přidružení mezi Evropskou unií a Evropským společenstvím pro atomovou energii a jejich členskými státy na jedné straně a Gruzií na straně druhé jménem Evropské unie (Úř. věst. L 141, 28.5.2016, s.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B2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BA24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369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B803C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820F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3AF3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F4A7E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2BD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5 08:54: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0B2330B-606C-4C6E-8503-B2AF1CA1F93D"/>
    <w:docVar w:name="LW_COVERPAGE_TYPE" w:val="1"/>
    <w:docVar w:name="LW_CROSSREFERENCE" w:val="&lt;UNUSED&gt;"/>
    <w:docVar w:name="LW_DocType" w:val="COM"/>
    <w:docVar w:name="LW_EMISSION" w:val="22.3.2021"/>
    <w:docVar w:name="LW_EMISSION_ISODATE" w:val="2021-03-22"/>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67"/>
    <w:docVar w:name="LW_REF.II.NEW.CP_YEAR" w:val="2021"/>
    <w:docVar w:name="LW_REF.INST.NEW" w:val="COM"/>
    <w:docVar w:name="LW_REF.INST.NEW_ADOPTED" w:val="final"/>
    <w:docVar w:name="LW_REF.INST.NEW_TEXT" w:val="(2021)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jménem Evropské unie zaujat ve Výboru pro p\u345?idru\u382?ení ve slo\u382?ení pro obchod a v Rad\u283? p\u345?idru\u382?ení z\u345?ízené dohodou o p\u345?idru\u382?ení mezi Evropskou unií a Evropským spole\u269?enstvím pro atomovou energii a jejich \u269?lenskými státy na jedné stran\u283? a Gruzií na stran\u283? druhé, pokud jde o p\u345?íznivé stanovisko ke komplexnímu plánu pro provád\u283?ní právních p\u345?edpis\u367? týkajících se ve\u345?ejných zakázek schválenému gruzínskou vládou a uznání dokon\u269?ení fáze 1 p\u345?ílohy XVI-B dohody o p\u345?idru\u382?ení"/>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837">
      <w:bodyDiv w:val="1"/>
      <w:marLeft w:val="0"/>
      <w:marRight w:val="0"/>
      <w:marTop w:val="0"/>
      <w:marBottom w:val="0"/>
      <w:divBdr>
        <w:top w:val="none" w:sz="0" w:space="0" w:color="auto"/>
        <w:left w:val="none" w:sz="0" w:space="0" w:color="auto"/>
        <w:bottom w:val="none" w:sz="0" w:space="0" w:color="auto"/>
        <w:right w:val="none" w:sz="0" w:space="0" w:color="auto"/>
      </w:divBdr>
    </w:div>
    <w:div w:id="177083275">
      <w:bodyDiv w:val="1"/>
      <w:marLeft w:val="0"/>
      <w:marRight w:val="0"/>
      <w:marTop w:val="0"/>
      <w:marBottom w:val="0"/>
      <w:divBdr>
        <w:top w:val="none" w:sz="0" w:space="0" w:color="auto"/>
        <w:left w:val="none" w:sz="0" w:space="0" w:color="auto"/>
        <w:bottom w:val="none" w:sz="0" w:space="0" w:color="auto"/>
        <w:right w:val="none" w:sz="0" w:space="0" w:color="auto"/>
      </w:divBdr>
    </w:div>
    <w:div w:id="509032320">
      <w:bodyDiv w:val="1"/>
      <w:marLeft w:val="0"/>
      <w:marRight w:val="0"/>
      <w:marTop w:val="0"/>
      <w:marBottom w:val="0"/>
      <w:divBdr>
        <w:top w:val="none" w:sz="0" w:space="0" w:color="auto"/>
        <w:left w:val="none" w:sz="0" w:space="0" w:color="auto"/>
        <w:bottom w:val="none" w:sz="0" w:space="0" w:color="auto"/>
        <w:right w:val="none" w:sz="0" w:space="0" w:color="auto"/>
      </w:divBdr>
    </w:div>
    <w:div w:id="979577733">
      <w:bodyDiv w:val="1"/>
      <w:marLeft w:val="0"/>
      <w:marRight w:val="0"/>
      <w:marTop w:val="0"/>
      <w:marBottom w:val="0"/>
      <w:divBdr>
        <w:top w:val="none" w:sz="0" w:space="0" w:color="auto"/>
        <w:left w:val="none" w:sz="0" w:space="0" w:color="auto"/>
        <w:bottom w:val="none" w:sz="0" w:space="0" w:color="auto"/>
        <w:right w:val="none" w:sz="0" w:space="0" w:color="auto"/>
      </w:divBdr>
    </w:div>
    <w:div w:id="1071271441">
      <w:bodyDiv w:val="1"/>
      <w:marLeft w:val="0"/>
      <w:marRight w:val="0"/>
      <w:marTop w:val="0"/>
      <w:marBottom w:val="0"/>
      <w:divBdr>
        <w:top w:val="none" w:sz="0" w:space="0" w:color="auto"/>
        <w:left w:val="none" w:sz="0" w:space="0" w:color="auto"/>
        <w:bottom w:val="none" w:sz="0" w:space="0" w:color="auto"/>
        <w:right w:val="none" w:sz="0" w:space="0" w:color="auto"/>
      </w:divBdr>
    </w:div>
    <w:div w:id="1572500757">
      <w:bodyDiv w:val="1"/>
      <w:marLeft w:val="0"/>
      <w:marRight w:val="0"/>
      <w:marTop w:val="0"/>
      <w:marBottom w:val="0"/>
      <w:divBdr>
        <w:top w:val="none" w:sz="0" w:space="0" w:color="auto"/>
        <w:left w:val="none" w:sz="0" w:space="0" w:color="auto"/>
        <w:bottom w:val="none" w:sz="0" w:space="0" w:color="auto"/>
        <w:right w:val="none" w:sz="0" w:space="0" w:color="auto"/>
      </w:divBdr>
    </w:div>
    <w:div w:id="1760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1E35-FDF5-42CB-88D4-EF561E7F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2348</Words>
  <Characters>12705</Characters>
  <Application>Microsoft Office Word</Application>
  <DocSecurity>0</DocSecurity>
  <Lines>226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2021-03-05T17:28:00Z</dcterms:created>
  <dcterms:modified xsi:type="dcterms:W3CDTF">2021-03-15T07:54:00Z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