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B650224-93BF-4224-A620-4F1CD498FE2D" style="width:451.25pt;height:352.4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Euroopan luonnonvaraisen kasviston ja eläimistön sekä niiden elinympäristön suojelusta tehdyn yleissopimuksen, jäljempänä ’yleissopimus’, tarkoituksena on suojella Euroopan luonnonvaraista kasvistoa ja eläimistöä ja niiden elinympäristöä, varsinkin niitä, joiden suojelu vaatii usean valtion yhteistyötä. Kyseessä on hallitustenvälinen sopimus, joka on tehty Euroopan neuvoston johdolla. Yleissopimus tuli voimaan 1. kesäkuuta 1982.</w:t>
      </w:r>
    </w:p>
    <w:p>
      <w:pPr>
        <w:pBdr>
          <w:top w:val="nil"/>
          <w:left w:val="nil"/>
          <w:bottom w:val="nil"/>
          <w:right w:val="nil"/>
          <w:between w:val="nil"/>
          <w:bar w:val="nil"/>
        </w:pBdr>
        <w:spacing w:before="0" w:after="240"/>
        <w:rPr>
          <w:rFonts w:eastAsia="Arial Unicode MS"/>
          <w:noProof/>
        </w:rPr>
      </w:pPr>
      <w:r>
        <w:rPr>
          <w:noProof/>
        </w:rPr>
        <w:t>Euroopan unioni on ollut yleissopimuksen sopimuspuoli 1. syyskuuta 1982 lähtien</w:t>
      </w:r>
      <w:r>
        <w:rPr>
          <w:rStyle w:val="FootnoteReference"/>
          <w:noProof/>
        </w:rPr>
        <w:footnoteReference w:id="1"/>
      </w:r>
      <w:r>
        <w:rPr>
          <w:noProof/>
        </w:rPr>
        <w:t>. Tällä hetkellä yleissopimuksella on 51 sopimuspuolta, mukaan lukien kaikki EU:n jäsenvaltiot.</w:t>
      </w:r>
    </w:p>
    <w:p>
      <w:pPr>
        <w:rPr>
          <w:noProof/>
          <w:szCs w:val="24"/>
        </w:rPr>
      </w:pPr>
      <w:r>
        <w:rPr>
          <w:noProof/>
        </w:rPr>
        <w:t>Euroopan neuvoston Bernin yleissopimukseen osoittamat tavanomaiset määrärahat ovat vähentyneet asteittain vuosien mittaan siinä määrin, ettei Bernin yleissopimuksen toimintaa voida taata ilman sopimuspuolten merkittäviä vapaaehtoisia rahoitusosuuksia, mutta nekin ovat laskussa. Sen vuoksi on olennaisen tärkeää luoda luotettava rahoituslähde yleissopimusta varten.</w:t>
      </w:r>
    </w:p>
    <w:p>
      <w:pPr>
        <w:rPr>
          <w:noProof/>
          <w:szCs w:val="24"/>
        </w:rPr>
      </w:pPr>
      <w:r>
        <w:rPr>
          <w:noProof/>
        </w:rPr>
        <w:t>Pysyvä komitea antoi 39. kokouksessaan 6. joulukuuta 2019 päätöslauselman nro 9 (2019), joka koskee Bernin yleissopimuksen rahoittamista ja uuden, sopimuspuolten pakollisten rahoitusosuuksien järjestelmän käyttöönottoa. Päätöslauselman mukaisesti on perustettu istuntojenvälinen asiantuntijatyöryhmä, jonka tehtävänä on avustaa sihteeristöä laadittaessa ehdotuksia, jotka koskevat Bernin yleissopimusten artiklojen muuttamista rahoituslausekkeiden käyttöön ottamiseksi ja laajennetun osittaisen sopimuksen tekemistä. Näitä ehdotuksia on tarkoitus käsitellä pysyvän komitean 40. kokouksessa.</w:t>
      </w:r>
    </w:p>
    <w:p>
      <w:pPr>
        <w:tabs>
          <w:tab w:val="center" w:pos="4731"/>
        </w:tabs>
        <w:rPr>
          <w:noProof/>
          <w:szCs w:val="24"/>
        </w:rPr>
      </w:pPr>
      <w:r>
        <w:rPr>
          <w:noProof/>
        </w:rPr>
        <w:t>Pysyvän komitean 39. kokouksessaan perustaman istuntojenvälisen asiantuntijatyöryhmän tulosten perusteella pysyvä komitea keskusteli 40. kokouksessaan kahdesta täydentävästä ehdotuksesta rahoituskysymyksen ratkaisemiseksi. Kyseisessä kokouksessa hyväksyttiin päätös, jolla tuetaan laajennetun osittaisen sopimuksen tekemistä. Tarkasteltuaan ehdotusta muuttaa Bernin yleissopimusta siten, että siihen sisällytetään rahoituslausekkeet, unioni ja sen jäsenvaltiot antoivat lausuman, jonka mukaan unionin on jatkettava sisäisiä keskusteluja ennen päätöksen tekemistä</w:t>
      </w:r>
      <w:r>
        <w:rPr>
          <w:rStyle w:val="FootnoteReference"/>
          <w:noProof/>
        </w:rPr>
        <w:footnoteReference w:id="2"/>
      </w:r>
      <w:r>
        <w:rPr>
          <w:noProof/>
        </w:rPr>
        <w:t xml:space="preserve">. Tämän jälkeen pysyvä komitea sopi ilman vastalauseita, että se lykkää päätöstä yleissopimuksen mahdollisesta muuttamisesta 41. kokoukseen. </w:t>
      </w:r>
    </w:p>
    <w:p>
      <w:pPr>
        <w:pBdr>
          <w:top w:val="nil"/>
          <w:left w:val="nil"/>
          <w:bottom w:val="nil"/>
          <w:right w:val="nil"/>
          <w:between w:val="nil"/>
          <w:bar w:val="nil"/>
        </w:pBdr>
        <w:spacing w:before="0" w:after="240"/>
        <w:rPr>
          <w:rFonts w:eastAsia="Arial Unicode MS"/>
          <w:noProof/>
        </w:rPr>
      </w:pPr>
      <w:r>
        <w:rPr>
          <w:noProof/>
        </w:rPr>
        <w:t>Kuten pysyvän komitean 40. kokouksessa ehdotettiin, yleissopimuksen muutoksella otettaisiin käyttöön pakollisten rahoitusosuuksien järjestelmä. Alkuperäisessä tekstissä ei kuitenkaan tehty eroa perusbudjetin ja ohjelmabudjetin välillä, eikä siinä määritetty rahoitusosuuksien suuruutta. Muutosta koskevasta tarkistetusta ehdotuksesta neuvotellaan istuntojenvälisessä asiantuntijatyöryhmässä vuoden 2021 aikana. Päätös on tarkoitus tehdä pysyvän komitean 41. kokouksessa. Unionin olisi osallistuttava aktiivisesti näihin neuvotteluihin.</w:t>
      </w:r>
    </w:p>
    <w:p>
      <w:pPr>
        <w:pStyle w:val="ManualHeading2"/>
        <w:rPr>
          <w:rFonts w:eastAsia="Arial Unicode MS"/>
          <w:noProof/>
          <w:color w:val="000000"/>
          <w:u w:color="000000"/>
          <w:bdr w:val="nil"/>
        </w:rPr>
      </w:pPr>
      <w:r>
        <w:rPr>
          <w:noProof/>
          <w:color w:val="000000"/>
          <w:u w:color="000000"/>
          <w:bdr w:val="nil"/>
        </w:rPr>
        <w:lastRenderedPageBreak/>
        <w:t>•</w:t>
      </w:r>
      <w:r>
        <w:rPr>
          <w:noProof/>
        </w:rPr>
        <w:tab/>
        <w:t>Yhdenmukaisuus muiden alaa koskevien politiikkojen säännösten kanssa</w:t>
      </w:r>
    </w:p>
    <w:p>
      <w:pPr>
        <w:pBdr>
          <w:top w:val="nil"/>
          <w:left w:val="nil"/>
          <w:bottom w:val="nil"/>
          <w:right w:val="nil"/>
          <w:between w:val="nil"/>
          <w:bar w:val="nil"/>
        </w:pBdr>
        <w:spacing w:before="0" w:after="240"/>
        <w:rPr>
          <w:noProof/>
          <w:szCs w:val="24"/>
        </w:rPr>
      </w:pPr>
      <w:r>
        <w:rPr>
          <w:noProof/>
        </w:rPr>
        <w:t xml:space="preserve">Pakollisten rahoitusosuuksien järjestelmän käyttöönotto tätä yleissopimusta varten olisi johdonmukaista muilla aloilla noudatetun politiikan kanssa. Unioni on osapuolena lukuisissa monenvälisissä ympäristösopimuksissa, ja sillä on niihin liittyen pakollisia rahoitusosuuksia, jotka perustuvat sopimusten vaatimuksiin ja/tai sopimusten määräysten perusteella hyväksyttyihin rahoitussääntöihin. Näiden sopimusten yhteydessä tehdään yleensä ero perusbudjetin ja ohjelmabudjetin välillä, ja pakolliset rahoitusosuudet koskevat ainoastaan perusbudjettia. Yleissopimukseen ehdotetussa muutoksessa ei kuitenkaan selvennetä, että perustettava järjestelmä noudattaisi tätä mallia. Siinä ei myöskään täsmennetä sovellettavien maksujen suuruutta. Muissa monenvälisissä ympäristösopimuksissa unionin rahoitusosuus asetetaan yleensä enintään 2,5 prosenttiin kaikista rahoitusosuuksista. </w:t>
      </w:r>
    </w:p>
    <w:p>
      <w:pPr>
        <w:pBdr>
          <w:top w:val="nil"/>
          <w:left w:val="nil"/>
          <w:bottom w:val="nil"/>
          <w:right w:val="nil"/>
          <w:between w:val="nil"/>
          <w:bar w:val="nil"/>
        </w:pBdr>
        <w:spacing w:before="0" w:after="240"/>
        <w:rPr>
          <w:noProof/>
          <w:szCs w:val="24"/>
        </w:rPr>
      </w:pPr>
      <w:r>
        <w:rPr>
          <w:noProof/>
        </w:rPr>
        <w:t>Sen vuoksi unionin on syytä varmistaa, että sopimuspuolilla ei ole velvollisuutta maksaa rahoitusosuuksia ohjelmabudjettiin ja että unionin rahoitusosuudeksi ei määritetä enempää kuin 2,5 prosenttia budjetista.</w:t>
      </w:r>
    </w:p>
    <w:p>
      <w:pPr>
        <w:pBdr>
          <w:top w:val="nil"/>
          <w:left w:val="nil"/>
          <w:bottom w:val="nil"/>
          <w:right w:val="nil"/>
          <w:between w:val="nil"/>
          <w:bar w:val="nil"/>
        </w:pBdr>
        <w:spacing w:before="0" w:after="240"/>
        <w:rPr>
          <w:rFonts w:eastAsia="Arial Unicode MS"/>
          <w:noProof/>
        </w:rPr>
      </w:pPr>
      <w:r>
        <w:rPr>
          <w:noProof/>
        </w:rPr>
        <w:t>Tämä suositus on täysin yhdenmukainen neuvoston päätöksen 2020/1830 kanssa ja perustuu siihen. Kyseisessä päätöksessä vahvistettiin unionin kanta yleissopimuksen pysyvän komitean 40. kokousta varten</w:t>
      </w:r>
      <w:r>
        <w:rPr>
          <w:rStyle w:val="FootnoteReference"/>
          <w:noProof/>
          <w:szCs w:val="24"/>
        </w:rPr>
        <w:footnoteReference w:id="3"/>
      </w:r>
      <w:r>
        <w:rPr>
          <w:noProof/>
        </w:rPr>
        <w:t xml:space="preserve">. </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Ehdotus on yhdenmukainen ympäristöä ja kansainvälisiä suhteita koskevien unionin tavoitteiden kanssa.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rPr>
        <w:tab/>
      </w:r>
      <w:r>
        <w:rPr>
          <w:noProof/>
          <w:u w:color="000000"/>
          <w:bdr w:val="nil"/>
        </w:rPr>
        <w:t>Oikeusperusta</w:t>
      </w:r>
    </w:p>
    <w:p>
      <w:pPr>
        <w:pBdr>
          <w:top w:val="nil"/>
          <w:left w:val="nil"/>
          <w:bottom w:val="nil"/>
          <w:right w:val="nil"/>
          <w:between w:val="nil"/>
          <w:bar w:val="nil"/>
        </w:pBdr>
        <w:spacing w:before="0" w:after="240"/>
        <w:rPr>
          <w:noProof/>
        </w:rPr>
      </w:pPr>
      <w:r>
        <w:rPr>
          <w:noProof/>
        </w:rPr>
        <w:t>Euroopan unionin toiminnasta tehdyn sopimuksen (SEUT-sopimuksen) 218 artiklan 3 kohdan mukaan komissio esittää suosituksia neuvostolle, joka tekee päätöksen, jolla annetaan lupa aloittaa neuvottelut ja jossa nimetään unionin neuvottelija. SEUT-sopimuksen 218 artiklan 4 kohdan mukaisesti neuvosto voi antaa neuvottelijalle ohjeita.</w:t>
      </w:r>
    </w:p>
    <w:p>
      <w:pPr>
        <w:pBdr>
          <w:top w:val="nil"/>
          <w:left w:val="nil"/>
          <w:bottom w:val="nil"/>
          <w:right w:val="nil"/>
          <w:between w:val="nil"/>
          <w:bar w:val="nil"/>
        </w:pBdr>
        <w:spacing w:before="0" w:after="240"/>
        <w:rPr>
          <w:noProof/>
        </w:rPr>
      </w:pPr>
      <w:r>
        <w:rPr>
          <w:noProof/>
        </w:rPr>
        <w:t>Koska neuvottelut koskevat säädöstä, jolla täydennetään tai muutetaan sopimuksen institutionaalisia rakenteita, tässä yhteydessä ei voida soveltaa SEUT-sopimuksen 218 artiklan 9 kohtaa.</w:t>
      </w:r>
    </w:p>
    <w:p>
      <w:pPr>
        <w:pBdr>
          <w:top w:val="nil"/>
          <w:left w:val="nil"/>
          <w:bottom w:val="nil"/>
          <w:right w:val="nil"/>
          <w:between w:val="nil"/>
          <w:bar w:val="nil"/>
        </w:pBdr>
        <w:spacing w:before="0" w:after="240"/>
        <w:rPr>
          <w:rFonts w:eastAsia="Arial Unicode MS"/>
          <w:noProof/>
        </w:rPr>
      </w:pPr>
      <w:r>
        <w:rPr>
          <w:noProof/>
        </w:rPr>
        <w:t>Ehdotetun päätöksen menettelyllinen oikeusperusta on sen vuoksi SEUT-sopimuksen 218 artiklan 3 ja 4 kohta.</w:t>
      </w:r>
    </w:p>
    <w:p>
      <w:pPr>
        <w:rPr>
          <w:noProof/>
        </w:rPr>
      </w:pPr>
      <w:r>
        <w:rPr>
          <w:noProof/>
        </w:rPr>
        <w:t>Suunnitellun säädöksen pääasiallinen tavoite ja sisältö liittyvät ympäristöön.</w:t>
      </w:r>
    </w:p>
    <w:p>
      <w:pPr>
        <w:pBdr>
          <w:top w:val="nil"/>
          <w:left w:val="nil"/>
          <w:bottom w:val="nil"/>
          <w:right w:val="nil"/>
          <w:between w:val="nil"/>
          <w:bar w:val="nil"/>
        </w:pBdr>
        <w:spacing w:before="0" w:after="240"/>
        <w:rPr>
          <w:rFonts w:eastAsia="Arial Unicode MS"/>
          <w:noProof/>
        </w:rPr>
      </w:pPr>
      <w:r>
        <w:rPr>
          <w:noProof/>
        </w:rPr>
        <w:t>Sen vuoksi ehdotetun päätöksen aineellinen oikeusperusta on SEUT-sopimuksen 192 artiklan 1 kohta.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 xml:space="preserve">Ympäristö kuuluu unionin jaettuun toimivaltaan SEUT-sopimuksen 192 artiklan nojalla. Kyseessä olevan ympäristösopimuksen rahoitukseen liittyy unionin ja jäsenvaltioiden kesken </w:t>
      </w:r>
      <w:r>
        <w:rPr>
          <w:noProof/>
        </w:rPr>
        <w:lastRenderedPageBreak/>
        <w:t>jaettua toimivaltaa, joka koskee yleissopimuksen sopimuspuolien rahoitusosuuksia. Sen vuoksi unionin osallistuminen on tältä osin tarpeen.</w:t>
      </w:r>
    </w:p>
    <w:p>
      <w:pPr>
        <w:pStyle w:val="ManualHeading2"/>
        <w:rPr>
          <w:rFonts w:eastAsia="Arial Unicode MS"/>
          <w:noProof/>
          <w:u w:color="000000"/>
          <w:bdr w:val="nil"/>
        </w:rPr>
      </w:pPr>
      <w:r>
        <w:rPr>
          <w:noProof/>
          <w:u w:color="000000"/>
          <w:bdr w:val="nil"/>
        </w:rPr>
        <w:t>•</w:t>
      </w:r>
      <w:r>
        <w:rPr>
          <w:noProof/>
        </w:rPr>
        <w:tab/>
      </w:r>
      <w:r>
        <w:rPr>
          <w:noProof/>
          <w:u w:color="000000"/>
          <w:bdr w:val="nil"/>
        </w:rPr>
        <w:t>Suhteellisuusperiaate</w:t>
      </w:r>
    </w:p>
    <w:p>
      <w:pPr>
        <w:pBdr>
          <w:top w:val="nil"/>
          <w:left w:val="nil"/>
          <w:bottom w:val="nil"/>
          <w:right w:val="nil"/>
          <w:between w:val="nil"/>
          <w:bar w:val="nil"/>
        </w:pBdr>
        <w:spacing w:before="0" w:after="240"/>
        <w:rPr>
          <w:rFonts w:eastAsia="Arial Unicode MS"/>
          <w:noProof/>
        </w:rPr>
      </w:pPr>
      <w:r>
        <w:rPr>
          <w:noProof/>
        </w:rPr>
        <w:t xml:space="preserve">Neuvoston päätös on tarpeen, jotta unioni voi osallistua näihin neuvotteluihin. Neuvotteluja tarvitaan ennustettavissa olevan rahoitusperustan luomiseksi yleissopimukselle, jonka sopimuspuoli unioni on.  </w:t>
      </w:r>
    </w:p>
    <w:p>
      <w:pPr>
        <w:pStyle w:val="ManualHeading2"/>
        <w:rPr>
          <w:rFonts w:eastAsia="Arial Unicode MS"/>
          <w:noProof/>
          <w:u w:color="000000"/>
          <w:bdr w:val="nil"/>
        </w:rPr>
      </w:pPr>
      <w:r>
        <w:rPr>
          <w:noProof/>
          <w:u w:color="000000"/>
          <w:bdr w:val="nil"/>
        </w:rPr>
        <w:t>•</w:t>
      </w:r>
      <w:r>
        <w:rPr>
          <w:noProof/>
        </w:rPr>
        <w:tab/>
      </w:r>
      <w:r>
        <w:rPr>
          <w:noProof/>
          <w:u w:color="000000"/>
          <w:bdr w:val="nil"/>
        </w:rPr>
        <w:t>Toimintatavan valinta</w:t>
      </w:r>
    </w:p>
    <w:p>
      <w:pPr>
        <w:pBdr>
          <w:top w:val="nil"/>
          <w:left w:val="nil"/>
          <w:bottom w:val="nil"/>
          <w:right w:val="nil"/>
          <w:between w:val="nil"/>
          <w:bar w:val="nil"/>
        </w:pBdr>
        <w:spacing w:before="0" w:after="240"/>
        <w:rPr>
          <w:rFonts w:eastAsia="Arial Unicode MS"/>
          <w:noProof/>
        </w:rPr>
      </w:pPr>
      <w:r>
        <w:rPr>
          <w:noProof/>
        </w:rPr>
        <w:t>Toimintatavan valinta perustuu SEUT-sopimuksen 2018 artiklan 3 ja 4 kohtaan.</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rPr>
        <w:tab/>
      </w:r>
      <w:r>
        <w:rPr>
          <w:noProof/>
          <w:u w:color="000000"/>
          <w:bdr w:val="nil"/>
        </w:rPr>
        <w:t>Jälkiarvioinnit/toimivuustarkastukset</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Sidosryhmien kuuleminen</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Asiantuntijatiedon keruu ja käyttö</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Vaikutustenarviointi</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Sääntelyn toimivuus ja yksinkertaistaminen</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Perusoikeudet</w:t>
      </w:r>
    </w:p>
    <w:p>
      <w:pPr>
        <w:pBdr>
          <w:top w:val="nil"/>
          <w:left w:val="nil"/>
          <w:bottom w:val="nil"/>
          <w:right w:val="nil"/>
          <w:between w:val="nil"/>
          <w:bar w:val="nil"/>
        </w:pBdr>
        <w:spacing w:before="0" w:after="240"/>
        <w:rPr>
          <w:noProof/>
        </w:rPr>
      </w:pPr>
      <w:r>
        <w:rPr>
          <w:noProof/>
        </w:rPr>
        <w:t>Ei sovelleta.</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Unioni maksaa tällä hetkellä Bernin yleissopimukseen 24 700 euroa vuodessa ohjeellisten ja määrältään valinnaisten rahoitusosuuksien perusteella. Olisi erittäin epätodennäköistä, että pakollinen rahoitusosuus, joka olisi 2,5 prosenttia perusbudjetista, ylittäisi tämän määrän, joten ehdotuksella ei ole talousarviovaikutuksia.</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rPr>
        <w:tab/>
      </w:r>
      <w:r>
        <w:rPr>
          <w:noProof/>
          <w:u w:color="000000"/>
          <w:bdr w:val="nil"/>
        </w:rPr>
        <w:t>Toteuttamissuunnitelmat, seuranta, arviointi ja raportointijärjestelyt</w:t>
      </w:r>
    </w:p>
    <w:p>
      <w:pPr>
        <w:pBdr>
          <w:top w:val="nil"/>
          <w:left w:val="nil"/>
          <w:bottom w:val="nil"/>
          <w:right w:val="nil"/>
          <w:between w:val="nil"/>
          <w:bar w:val="nil"/>
        </w:pBdr>
        <w:spacing w:before="0" w:after="240"/>
        <w:rPr>
          <w:noProof/>
        </w:rPr>
      </w:pPr>
      <w:r>
        <w:rPr>
          <w:noProof/>
        </w:rPr>
        <w:t>Neuvotteluohjeet olisi julkistettava välittömästi niiden hyväksymisen jälkeen.</w:t>
      </w:r>
    </w:p>
    <w:p>
      <w:pPr>
        <w:pStyle w:val="ManualHeading2"/>
        <w:rPr>
          <w:rFonts w:eastAsia="Arial Unicode MS"/>
          <w:noProof/>
          <w:u w:color="000000"/>
          <w:bdr w:val="nil"/>
        </w:rPr>
      </w:pPr>
      <w:r>
        <w:rPr>
          <w:noProof/>
          <w:u w:color="000000"/>
          <w:bdr w:val="nil"/>
        </w:rPr>
        <w:t>•</w:t>
      </w:r>
      <w:r>
        <w:rPr>
          <w:noProof/>
        </w:rPr>
        <w:tab/>
      </w:r>
      <w:r>
        <w:rPr>
          <w:noProof/>
          <w:u w:color="000000"/>
          <w:bdr w:val="nil"/>
        </w:rPr>
        <w:t>Selittävät asiakirjat (direktiivien osalta)</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Ehdotukseen sisältyvien säännösten yksityiskohtaiset selitykset</w:t>
      </w:r>
    </w:p>
    <w:p>
      <w:pPr>
        <w:pBdr>
          <w:top w:val="nil"/>
          <w:left w:val="nil"/>
          <w:bottom w:val="nil"/>
          <w:right w:val="nil"/>
          <w:between w:val="nil"/>
          <w:bar w:val="nil"/>
        </w:pBdr>
        <w:spacing w:before="0" w:after="240"/>
        <w:rPr>
          <w:noProof/>
        </w:rPr>
      </w:pPr>
      <w:r>
        <w:rPr>
          <w:noProof/>
        </w:rPr>
        <w:t>Ei sovelleta.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Suositus</w:t>
      </w:r>
    </w:p>
    <w:p>
      <w:pPr>
        <w:pStyle w:val="Typedudocument"/>
        <w:rPr>
          <w:noProof/>
        </w:rPr>
      </w:pPr>
      <w:r>
        <w:rPr>
          <w:noProof/>
        </w:rPr>
        <w:t>NEUVOSTON PÄÄTÖS</w:t>
      </w:r>
    </w:p>
    <w:p>
      <w:pPr>
        <w:pStyle w:val="Titreobjet"/>
        <w:rPr>
          <w:noProof/>
        </w:rPr>
      </w:pPr>
      <w:r>
        <w:rPr>
          <w:noProof/>
        </w:rPr>
        <w:t>komission valtuuttamisesta neuvottelemaan unionin puolesta Euroopan luonnonvaraisen kasviston ja eläimistön sekä niiden elinympäristön suojelua koskevaan yleissopimukseen (Bernin yleissopimus) tehtävistä muutoksista</w:t>
      </w:r>
    </w:p>
    <w:p>
      <w:pPr>
        <w:pStyle w:val="Institutionquiagit"/>
        <w:rPr>
          <w:noProof/>
        </w:rPr>
      </w:pPr>
      <w:r>
        <w:rPr>
          <w:noProof/>
        </w:rPr>
        <w:t>EUROOPAN UNIONIN NEUVOSTO, joka</w:t>
      </w:r>
    </w:p>
    <w:p>
      <w:pPr>
        <w:rPr>
          <w:noProof/>
        </w:rPr>
      </w:pPr>
      <w:r>
        <w:rPr>
          <w:noProof/>
        </w:rPr>
        <w:t>ottaa huomioon Euroopan unionin toiminnasta tehdyn sopimuksen ja erityisesti 218 artiklan 3 ja 4 kohdan,</w:t>
      </w:r>
    </w:p>
    <w:p>
      <w:pPr>
        <w:rPr>
          <w:noProof/>
        </w:rPr>
      </w:pPr>
      <w:r>
        <w:rPr>
          <w:noProof/>
        </w:rPr>
        <w:t>ottaa huomioon Euroopan komission suosituksen,</w:t>
      </w:r>
    </w:p>
    <w:p>
      <w:pPr>
        <w:rPr>
          <w:noProof/>
        </w:rPr>
      </w:pPr>
      <w:r>
        <w:rPr>
          <w:noProof/>
        </w:rPr>
        <w:t xml:space="preserve">sekä katsoo seuraavaa: </w:t>
      </w:r>
    </w:p>
    <w:p>
      <w:pPr>
        <w:rPr>
          <w:noProof/>
        </w:rPr>
      </w:pPr>
      <w:r>
        <w:rPr>
          <w:noProof/>
        </w:rPr>
        <w:t>ehdotetaan Euroopan luonnonvaraisen kasviston ja eläimistön sekä niiden elinympäristön suojelua koskevan Bernin yleissopimuksen</w:t>
      </w:r>
      <w:r>
        <w:rPr>
          <w:rStyle w:val="FootnoteReference"/>
          <w:noProof/>
        </w:rPr>
        <w:footnoteReference w:id="4"/>
      </w:r>
      <w:r>
        <w:rPr>
          <w:noProof/>
        </w:rPr>
        <w:t xml:space="preserve"> muuttamista rahoituslausekkeiden lisäämiseksi siihen.</w:t>
      </w:r>
    </w:p>
    <w:p>
      <w:pPr>
        <w:rPr>
          <w:noProof/>
        </w:rPr>
      </w:pPr>
      <w:r>
        <w:rPr>
          <w:noProof/>
        </w:rPr>
        <w:t>on tarpeen varmistaa, että tällainen muutos on yhteensopiva unionin lainsäädännön ja edun kanssa, ja erityisesti, ettei unionia velvoiteta maksamaan yli 2,5 prosenttia kaikista maksuosuuksista.</w:t>
      </w:r>
    </w:p>
    <w:p>
      <w:pPr>
        <w:rPr>
          <w:noProof/>
        </w:rPr>
      </w:pPr>
      <w:r>
        <w:rPr>
          <w:noProof/>
        </w:rPr>
        <w:t>komissio olisi valtuutettava neuvottelemaan Euroopan unionin puolesta yleissopimukseen tehtävistä muutoksista,</w:t>
      </w:r>
    </w:p>
    <w:p>
      <w:pPr>
        <w:pStyle w:val="Formuledadoption"/>
        <w:rPr>
          <w:noProof/>
        </w:rPr>
      </w:pPr>
      <w:r>
        <w:rPr>
          <w:noProof/>
        </w:rPr>
        <w:t xml:space="preserve">ON HYVÄKSYNYT TÄMÄN PÄÄTÖKSEN: </w:t>
      </w:r>
    </w:p>
    <w:p>
      <w:pPr>
        <w:pStyle w:val="Titrearticle"/>
        <w:rPr>
          <w:noProof/>
        </w:rPr>
      </w:pPr>
      <w:r>
        <w:rPr>
          <w:noProof/>
        </w:rPr>
        <w:t xml:space="preserve">1 artikla </w:t>
      </w:r>
    </w:p>
    <w:p>
      <w:pPr>
        <w:pStyle w:val="Point0"/>
        <w:rPr>
          <w:noProof/>
        </w:rPr>
      </w:pPr>
      <w:r>
        <w:rPr>
          <w:noProof/>
        </w:rPr>
        <w:t>1)</w:t>
      </w:r>
      <w:r>
        <w:rPr>
          <w:noProof/>
        </w:rPr>
        <w:tab/>
        <w:t>Valtuutetaan komissio neuvottelemaan</w:t>
      </w:r>
      <w:bookmarkStart w:id="1" w:name="_CopyToNewDocument_"/>
      <w:bookmarkEnd w:id="1"/>
      <w:r>
        <w:rPr>
          <w:noProof/>
        </w:rPr>
        <w:t xml:space="preserve"> unionin puolesta Euroopan luonnonvaraisen kasviston ja eläimistön sekä niiden elinympäristön suojelua koskevaan Bernin yleissopimukseen tehtävistä muutoksista, joilla luodaan uusi osapuolten pakollisten rahoitusosuuksien järjestelmä, yleissopimuksen pysyvän komitean kokouksissa sekä asiaan liittyvissä istuntojenvälisen asiantuntijatyöryhmän kokouksissa.</w:t>
      </w:r>
    </w:p>
    <w:p>
      <w:pPr>
        <w:pStyle w:val="Point0"/>
        <w:rPr>
          <w:noProof/>
        </w:rPr>
      </w:pPr>
      <w:r>
        <w:rPr>
          <w:noProof/>
        </w:rPr>
        <w:t>2)</w:t>
      </w:r>
      <w:r>
        <w:rPr>
          <w:noProof/>
        </w:rPr>
        <w:tab/>
        <w:t>Komissio käy neuvottelut unionin puolesta [</w:t>
      </w:r>
      <w:r>
        <w:rPr>
          <w:i/>
          <w:noProof/>
        </w:rPr>
        <w:t>neuvosto lisää erityiskomitean nimen</w:t>
      </w:r>
      <w:r>
        <w:rPr>
          <w:noProof/>
        </w:rPr>
        <w:t>] kuullen ja tämän päätöksen liitteessä esitettyjen neuvotteluohjeiden mukaisesti.</w:t>
      </w:r>
    </w:p>
    <w:p>
      <w:pPr>
        <w:pStyle w:val="Point0"/>
        <w:rPr>
          <w:noProof/>
        </w:rPr>
      </w:pPr>
      <w:r>
        <w:rPr>
          <w:noProof/>
        </w:rPr>
        <w:t>3)</w:t>
      </w:r>
      <w:r>
        <w:rPr>
          <w:noProof/>
        </w:rPr>
        <w:tab/>
        <w:t>Siltä osin kuin 1 kohdassa tarkoitettujen muutosten kohteena on unionin ja sen jäsenvaltioiden jaettuun toimivaltaan kuuluvia asioita, komission ja jäsenvaltioiden olisi toimittava neuvottelujen aikana läheisessä yhteistyössä varmistaakseen unionin ja sen jäsenvaltioiden kansainvälisen edustuksen yhtenäisyyden.</w:t>
      </w:r>
    </w:p>
    <w:p>
      <w:pPr>
        <w:pStyle w:val="Point0"/>
        <w:rPr>
          <w:noProof/>
        </w:rPr>
      </w:pPr>
      <w:r>
        <w:rPr>
          <w:noProof/>
        </w:rPr>
        <w:t>(4)</w:t>
      </w:r>
      <w:r>
        <w:rPr>
          <w:noProof/>
        </w:rPr>
        <w:tab/>
        <w:t>Komissio ilmoittaa neuvostolle neuvottelujen tuloksista ja tarvittaessa ongelmista, joita voi esiintyä neuvottelujen aikana.</w:t>
      </w:r>
    </w:p>
    <w:p>
      <w:pPr>
        <w:pStyle w:val="Titrearticle"/>
        <w:ind w:left="360"/>
        <w:rPr>
          <w:noProof/>
        </w:rPr>
      </w:pPr>
      <w:r>
        <w:rPr>
          <w:noProof/>
        </w:rPr>
        <w:lastRenderedPageBreak/>
        <w:t xml:space="preserve">2 artikla </w:t>
      </w:r>
    </w:p>
    <w:p>
      <w:pPr>
        <w:ind w:left="360"/>
        <w:rPr>
          <w:noProof/>
        </w:rPr>
      </w:pPr>
      <w:r>
        <w:rPr>
          <w:noProof/>
        </w:rPr>
        <w:t>Tämä päätös on osoitettu komissiolle.</w:t>
      </w:r>
    </w:p>
    <w:p>
      <w:pPr>
        <w:pStyle w:val="Fait"/>
        <w:rPr>
          <w:noProof/>
        </w:rPr>
      </w:pPr>
      <w:r>
        <w:rPr>
          <w:noProof/>
        </w:rP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82/72/ETY, tehty 3 päivänä joulukuuta 1981, Euroopan luonnonvaraisen kasviston ja eläimistön sekä niiden elinympäristön suojelua koskevan yleissopimuksen tekemisestä, EYVL L 38, 10.2.1982, s. 1.</w:t>
      </w:r>
    </w:p>
  </w:footnote>
  <w:footnote w:id="2">
    <w:p>
      <w:pPr>
        <w:pStyle w:val="FootnoteText"/>
      </w:pPr>
      <w:r>
        <w:rPr>
          <w:rStyle w:val="FootnoteReference"/>
        </w:rPr>
        <w:footnoteRef/>
      </w:r>
      <w:r>
        <w:tab/>
        <w:t xml:space="preserve">Katso myös neuvoston päätös (EU) 2020/1830, annettu 27 päivänä marraskuuta 2020, Euroopan luonnonvaraisen kasviston ja eläimistön sekä niiden elinympäristön suojelua koskevan yleissopimuksen (Bernin yleissopimus) pysyvän komitean 40. kokouksessa Euroopan unionin puolesta otettavasta kannasta (EUVL L 409, 4.12.2020, s. 34).   </w:t>
      </w:r>
    </w:p>
  </w:footnote>
  <w:footnote w:id="3">
    <w:p>
      <w:pPr>
        <w:pStyle w:val="FootnoteText"/>
      </w:pPr>
      <w:r>
        <w:rPr>
          <w:rStyle w:val="FootnoteReference"/>
        </w:rPr>
        <w:footnoteRef/>
      </w:r>
      <w:r>
        <w:tab/>
        <w:t xml:space="preserve">Ks. edellinen alaviite. </w:t>
      </w:r>
    </w:p>
  </w:footnote>
  <w:footnote w:id="4">
    <w:p>
      <w:pPr>
        <w:pStyle w:val="FootnoteText"/>
      </w:pPr>
      <w:r>
        <w:rPr>
          <w:rStyle w:val="FootnoteReference"/>
        </w:rPr>
        <w:footnoteRef/>
      </w:r>
      <w:r>
        <w:tab/>
        <w:t>Neuvoston päätös 82/72/ETY, tehty 3 päivänä joulukuuta 1981, Euroopan luonnonvaraisen kasviston ja eläimistön sekä niiden elinympäristön suojelua koskevan yleissopimuksen tekemisestä, EYVL L 38, 10.2.1982,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4E1E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9003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A4E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9C6C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DAE1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26B4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8428D48"/>
    <w:lvl w:ilvl="0">
      <w:start w:val="1"/>
      <w:numFmt w:val="decimal"/>
      <w:pStyle w:val="ListNumber"/>
      <w:lvlText w:val="%1."/>
      <w:lvlJc w:val="left"/>
      <w:pPr>
        <w:tabs>
          <w:tab w:val="num" w:pos="360"/>
        </w:tabs>
        <w:ind w:left="360" w:hanging="360"/>
      </w:pPr>
    </w:lvl>
  </w:abstractNum>
  <w:abstractNum w:abstractNumId="7">
    <w:nsid w:val="FFFFFF89"/>
    <w:multiLevelType w:val="singleLevel"/>
    <w:tmpl w:val="CAE40B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08:52: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B650224-93BF-4224-A620-4F1CD498FE2D"/>
    <w:docVar w:name="LW_COVERPAGE_TYPE" w:val="1"/>
    <w:docVar w:name="LW_CROSSREFERENCE" w:val="&lt;UNUSED&gt;"/>
    <w:docVar w:name="LW_DocType" w:val="COM"/>
    <w:docVar w:name="LW_EMISSION" w:val="24.3.2021"/>
    <w:docVar w:name="LW_EMISSION_ISODATE" w:val="2021-03-24"/>
    <w:docVar w:name="LW_EMISSION_LOCATION" w:val="BRX"/>
    <w:docVar w:name="LW_EMISSION_PREFIX" w:val="Bryssel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Suositus"/>
    <w:docVar w:name="LW_SUPERTITRE" w:val="&lt;UNUSED&gt;"/>
    <w:docVar w:name="LW_TITRE.OBJ.CP" w:val="komission valtuuttamisesta neuvottelemaan unionin puolesta Euroopan luonnonvaraisen kasviston ja eläimistön sekä niiden elinympäristön suojelua koskevaan yleissopimukseen (Bernin yleissopimus) tehtävistä muutoksi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9B5A2C-84E1-453F-8A79-2F81DA60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950</Words>
  <Characters>8127</Characters>
  <Application>Microsoft Office Word</Application>
  <DocSecurity>0</DocSecurity>
  <Lines>153</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2021-03-09T14:20:00Z</dcterms:created>
  <dcterms:modified xsi:type="dcterms:W3CDTF">2021-03-17T07:52:00Z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