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16BA857F-F9AA-45AE-9975-655A486C1C97" style="width:449.9pt;height:397.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w:t>
      </w:r>
    </w:p>
    <w:p>
      <w:pPr>
        <w:pStyle w:val="IntrtEEE"/>
        <w:rPr>
          <w:b/>
          <w:noProof/>
          <w:u w:val="single"/>
        </w:rPr>
      </w:pPr>
      <w:r>
        <w:rPr>
          <w:b/>
          <w:noProof/>
          <w:u w:val="single"/>
        </w:rPr>
        <w:t>Οδηγίες για τη διαπραγμάτευση των τροποποιήσεων της σύμβασης για τη διατήρηση της άγριας ζωής και του φυσικού περιβάλλοντος της Ευρώπης (σύμβαση της Βέρνης)</w:t>
      </w:r>
    </w:p>
    <w:p>
      <w:pPr>
        <w:pStyle w:val="Point0number"/>
        <w:numPr>
          <w:ilvl w:val="0"/>
          <w:numId w:val="9"/>
        </w:numPr>
        <w:rPr>
          <w:noProof/>
        </w:rPr>
      </w:pPr>
      <w:r>
        <w:rPr>
          <w:noProof/>
        </w:rPr>
        <w:t>Η Επιτροπή θα πρέπει να προσπαθήσει να διασφαλίσει ότι μια συμφωνία που θα οδηγήσει σε τυχόν αναθεώρηση της σύμβασης για τη διατήρηση της άγριας ζωής και του φυσικού περιβάλλοντος της Ευρώπης (σύμβαση της Βέρνης) και της εφαρμογής της συνάδει με τη σχετική νομοθεσία και τις πολιτικές της Ευρωπαϊκής Ένωσης, και ιδίως με τη νομοθεσία της Ένωσης στον τομέα της φύσης και της βιοποικιλότητας</w:t>
      </w:r>
      <w:r>
        <w:rPr>
          <w:rStyle w:val="FootnoteReference"/>
          <w:noProof/>
        </w:rPr>
        <w:footnoteReference w:id="1"/>
      </w:r>
      <w:r>
        <w:rPr>
          <w:noProof/>
        </w:rPr>
        <w:t>, καθώς και με τις δεσμεύσεις της Ένωσης στο πλαίσιο άλλων σχετικών πολυμερών περιβαλλοντικών συμφωνιών.</w:t>
      </w:r>
    </w:p>
    <w:p>
      <w:pPr>
        <w:pStyle w:val="Point0number"/>
        <w:rPr>
          <w:noProof/>
        </w:rPr>
      </w:pPr>
      <w:r>
        <w:rPr>
          <w:noProof/>
        </w:rPr>
        <w:t>Όσον αφορά τις προτάσεις τροποποίησης της σύμβασης για τη διατήρηση της άγριας ζωής και του φυσικού περιβάλλοντος της Ευρώπης (σύμβαση της Βέρνης) για την καθιέρωση υποχρεωτικής χρηματοδοτικής συνεισφοράς, η Επιτροπή θα πρέπει να αρχίσει διαπραγματεύσεις σχετικά με τον καλύτερο τρόπο αντιμετώπισης του ζητήματος της δημιουργίας ασφαλούς και προβλέψιμης οικονομικής βάσης για τη σύμβαση και θα πρέπει να προσπαθήσει να διασφαλίσει, σύμφωνα με τη θέση της Ένωσης, ότι η τροποποίηση:</w:t>
      </w:r>
    </w:p>
    <w:p>
      <w:pPr>
        <w:pStyle w:val="Point1"/>
        <w:rPr>
          <w:noProof/>
        </w:rPr>
      </w:pPr>
      <w:r>
        <w:rPr>
          <w:noProof/>
        </w:rPr>
        <w:t>α)</w:t>
      </w:r>
      <w:r>
        <w:rPr>
          <w:noProof/>
        </w:rPr>
        <w:tab/>
        <w:t>δεν επιβάλλει υποχρεωτική συνεισφορά όσον αφορά τον προγραμματικό προϋπολογισμό</w:t>
      </w:r>
    </w:p>
    <w:p>
      <w:pPr>
        <w:pStyle w:val="Point1"/>
        <w:rPr>
          <w:noProof/>
        </w:rPr>
      </w:pPr>
      <w:r>
        <w:rPr>
          <w:noProof/>
        </w:rPr>
        <w:t>β)</w:t>
      </w:r>
      <w:r>
        <w:rPr>
          <w:noProof/>
        </w:rPr>
        <w:tab/>
        <w:t>δεν οδηγεί σε συνεισφορά της Ένωσης άνω του 2,5 % του συνόλου των συνεισφορών</w:t>
      </w:r>
    </w:p>
    <w:p>
      <w:pPr>
        <w:pStyle w:val="Point1"/>
        <w:rPr>
          <w:noProof/>
        </w:rPr>
      </w:pPr>
      <w:r>
        <w:rPr>
          <w:noProof/>
        </w:rPr>
        <w:t>γ)</w:t>
      </w:r>
      <w:r>
        <w:rPr>
          <w:noProof/>
        </w:rPr>
        <w:tab/>
        <w:t>δεν επηρεάζει τις υφιστάμενες υποχρεώσεις των συμβαλλομένων μερών δυνάμει της παρούσας σύμβασης.</w:t>
      </w:r>
    </w:p>
    <w:p>
      <w:pPr>
        <w:pStyle w:val="ListParagraph"/>
        <w:rPr>
          <w:noProof/>
        </w:rPr>
      </w:pPr>
    </w:p>
    <w:p>
      <w:pPr>
        <w:pStyle w:val="Point0number"/>
        <w:rPr>
          <w:noProof/>
        </w:rPr>
      </w:pPr>
      <w:r>
        <w:rPr>
          <w:noProof/>
        </w:rPr>
        <w:t>Η Επιτροπή θα πρέπει να διεξάγει διαπραγματεύσεις σύμφωνα με τη σχετική ισχύουσα νομοθεσία της Ευρωπαϊκής Ένωσης ή τις συμφωνημένες θέσεις της Ένωσης που καθορίζονται ειδικά για τους σκοπούς των εν λόγω διαπραγματεύσεων στο πλαίσιο της ειδικής επιτροπής των αντιπροσώπων των κρατών μελών που αναφέρεται στο άρθρο 1 παράγραφος 2 της παρούσας απόφασης του Συμβουλίου ή στο πλαίσιο του Συμβουλίου.</w:t>
      </w:r>
    </w:p>
    <w:p>
      <w:pPr>
        <w:pStyle w:val="Point0number"/>
        <w:rPr>
          <w:noProof/>
        </w:rPr>
      </w:pPr>
      <w:r>
        <w:rPr>
          <w:noProof/>
        </w:rPr>
        <w:t xml:space="preserve">Η Επιτροπή θα πρέπει να υποβάλει στο Συμβούλιο έκθεση για την έκβαση των διαπραγματεύσεων και, ενδεχομένως, για τα τυχόν προβλήματα που ανέκυψαν κατά τις διαπραγματεύσεις. </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Ειδικότερα οδηγία 2009/147/ΕΚ του Ευρωπαϊκού Κοινοβουλίου και του Συμβουλίου, της 30ης Νοεμβρίου 2009, περί της διατηρήσεως των αγρίων πτηνών, οδηγία 92/43/ΕΟΚ του Συμβουλίου, της 21ης Μαΐου 1992, για τη διατήρηση των φυσικών οικοτόπων καθώς και της άγριας πανίδας και χλωρίδας, και κανονισμός (ΕΕ) αριθ. 1143/2014 του Ευρωπαϊκού Κοινοβουλίου και του Συμβουλίου, της 22ας Οκτωβρίου 2014, για την πρόληψη και διαχείριση της εισαγωγής και εξάπλωσης χωροκατακτητικών ξένων ειδών.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782E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EE726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408DF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F648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D96759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96E33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CA4BCC"/>
    <w:lvl w:ilvl="0">
      <w:start w:val="1"/>
      <w:numFmt w:val="decimal"/>
      <w:pStyle w:val="ListNumber"/>
      <w:lvlText w:val="%1."/>
      <w:lvlJc w:val="left"/>
      <w:pPr>
        <w:tabs>
          <w:tab w:val="num" w:pos="360"/>
        </w:tabs>
        <w:ind w:left="360" w:hanging="360"/>
      </w:pPr>
    </w:lvl>
  </w:abstractNum>
  <w:abstractNum w:abstractNumId="7">
    <w:nsid w:val="FFFFFF89"/>
    <w:multiLevelType w:val="singleLevel"/>
    <w:tmpl w:val="D0BC47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08:52: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16BA857F-F9AA-45AE-9975-655A486C1C97"/>
    <w:docVar w:name="LW_COVERPAGE_TYPE" w:val="1"/>
    <w:docVar w:name="LW_CROSSREFERENCE" w:val="&lt;UNUSED&gt;"/>
    <w:docVar w:name="LW_DocType" w:val="ANNEX"/>
    <w:docVar w:name="LW_EMISSION" w:val="24.3.2021"/>
    <w:docVar w:name="LW_EMISSION_ISODATE" w:val="2021-03-24"/>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56?\u949? \u964?\u951?\u957? \u959?\u960?\u959?\u943?\u945? \u949?\u958?\u959?\u965?\u963?\u953?\u959?\u948?\u959?\u964?\u949?\u943?\u964?\u945?\u953? \u951? \u917?\u960?\u953?\u964?\u961?\u959?\u960?\u942? \u957?\u945? \u948?\u953?\u945?\u960?\u961?\u945?\u947?\u956?\u945?\u964?\u949?\u965?\u952?\u949?\u943?, \u949?\u958? \u959?\u957?\u972?\u956?\u945?\u964?\u959?\u962? \u964?\u951?\u962? \u904?\u957?\u969?\u963?\u951?\u962?, \u964?\u961?\u959?\u960?\u959?\u960?\u959?\u953?\u942?\u963?\u949?\u953?\u962? \u964?\u951?\u962? \u963?\u973?\u956?\u946?\u945?\u963?\u951?\u962? \u947?\u953?\u945? \u964?\u951? \u948?\u953?\u945?\u964?\u942?\u961?\u951?\u963?\u951? \u964?\u951?\u962? \u940?\u947?\u961?\u953?\u945?\u962? \u950?\u969?\u942?\u962? \u954?\u945?\u953? \u964?\u959?\u965? \u966?\u965?\u963?\u953?\u954?\u959?\u973? \u960?\u949?\u961?\u953?\u946?\u940?\u955?\u955?\u959?\u957?\u964?\u959?\u962? \u964?\u951?\u962? \u917?\u965?\u961?\u974?\u960?\u951?\u962? (\u963?\u973?\u956?\u946?\u945?\u963?\u951? \u964?\u951?\u962? \u914?\u941?\u961?\u957?\u951?\u962?)"/>
    <w:docVar w:name="LW_OBJETACTEPRINCIPAL.CP" w:val="\u956?\u949? \u964?\u951?\u957? \u959?\u960?\u959?\u943?\u945? \u949?\u958?\u959?\u965?\u963?\u953?\u959?\u948?\u959?\u964?\u949?\u943?\u964?\u945?\u953? \u951? \u917?\u960?\u953?\u964?\u961?\u959?\u960?\u942? \u957?\u945? \u948?\u953?\u945?\u960?\u961?\u945?\u947?\u956?\u945?\u964?\u949?\u965?\u952?\u949?\u943?, \u949?\u958? \u959?\u957?\u972?\u956?\u945?\u964?\u959?\u962? \u964?\u951?\u962? \u904?\u957?\u969?\u963?\u951?\u962?, \u964?\u961?\u959?\u960?\u959?\u960?\u959?\u953?\u942?\u963?\u949?\u953?\u962? \u964?\u951?\u962? \u963?\u973?\u956?\u946?\u945?\u963?\u951?\u962? \u947?\u953?\u945? \u964?\u951? \u948?\u953?\u945?\u964?\u942?\u961?\u951?\u963?\u951? \u964?\u951?\u962? \u940?\u947?\u961?\u953?\u945?\u962? \u950?\u969?\u942?\u962? \u954?\u945?\u953? \u964?\u959?\u965? \u966?\u965?\u963?\u953?\u954?\u959?\u973? \u960?\u949?\u961?\u953?\u946?\u940?\u955?\u955?\u959?\u957?\u964?\u959?\u962? \u964?\u951?\u962? \u917?\u965?\u961?\u974?\u960?\u951?\u962? (\u963?\u973?\u956?\u946?\u945?\u963?\u951? \u964?\u951?\u962? \u914?\u941?\u961?\u957?\u951?\u962?)"/>
    <w:docVar w:name="LW_PART_NBR" w:val="1"/>
    <w:docVar w:name="LW_PART_NBR_TOTAL" w:val="1"/>
    <w:docVar w:name="LW_REF.INST.NEW" w:val="COM"/>
    <w:docVar w:name="LW_REF.INST.NEW_ADOPTED" w:val="final"/>
    <w:docVar w:name="LW_REF.INST.NEW_TEXT" w:val="(2021) 1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3?\u973?\u963?\u964?\u945?\u963?\u951?\u962? \u945?\u960?\u972?\u966?\u945?\u963?\u951?\u962? \u964?\u959?\u965? \u931?\u965?\u956?\u946?\u959?\u965?\u955?\u943?\u959?\u965?"/>
    <w:docVar w:name="LW_TYPEACTEPRINCIPAL.CP" w:val="\u963?\u973?\u963?\u964?\u945?\u963?\u951?\u962? \u945?\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ABE6-B6C5-46CF-AA3D-1E981A1D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2</Pages>
  <Words>295</Words>
  <Characters>1687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BURRILL Anne (ENV)</dc:creator>
  <cp:keywords/>
  <dc:description/>
  <cp:lastModifiedBy>DIGIT/C6</cp:lastModifiedBy>
  <cp:revision>9</cp:revision>
  <dcterms:created xsi:type="dcterms:W3CDTF">2021-03-10T13:16:00Z</dcterms:created>
  <dcterms:modified xsi:type="dcterms:W3CDTF">2021-03-17T07:52:00Z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