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D56B2C7-70C6-4AEC-BF67-3C0E10105116" style="width:450.35pt;height:37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Default"/>
        <w:rPr>
          <w:rFonts w:ascii="Times New Roman" w:eastAsiaTheme="minorHAnsi" w:hAnsi="Times New Roman" w:cs="Times New Roman"/>
          <w:noProof/>
        </w:rPr>
      </w:pP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ПРЕДМЕТ НА ПРЕДЛОЖЕНИЕТО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Настоящото предложение се отнася до решението за установяване на позицията, която трябва да се заеме от името на Съюза в рамките на Съвместния комитет за биологичните продукти (наричан по-долу „съвместният комитет“), създаден със Споразумението между Европейския съюз, от една страна, и Република Чили, от друга страна, във връзка с предвиденото приемане на процедурния му правилник.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КОНТЕКСТ НА ПРЕДЛОЖЕНИЕТО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 xml:space="preserve">2.1 Споразумение между ЕС и Република Чили относно търговията с биологични продукти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Със Споразумението между Европейския съюз и Република Чили относно търговията с биологични продукти се създава съвместният комитет.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С настоящия акт се изготвя процедурният правилник на комитета. След като са установени справедливи и ясни правила, ще има възможност за успешни дискусии в рамките на съвместния комитет за биологичните продукти ЕС – Чили.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Съгласуваност с действащите разпоредби в тази област на политиката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Съвместен комитет между партньори в търговията с биологични продукти се създава за първи път, докато в рамките на други международни търговски споразумения такъв комитет е обичайна практика. Споразумението между ЕС и Чили е първото международно споразумение, подписано за търговията с биологични продукти.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Съгласуваност с други политики на Съюза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ПРАВНО ОСНОВАНИЕ, СУБСИДИАРНОСТ И ПРОПОРЦИОНАЛНОСТ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  <w:u w:color="000000"/>
          <w:bdr w:val="nil"/>
        </w:rPr>
        <w:t>•</w:t>
      </w:r>
      <w:r>
        <w:rPr>
          <w:noProof/>
        </w:rPr>
        <w:tab/>
        <w:t>Правно основание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</w:rPr>
      </w:pPr>
      <w:r>
        <w:rPr>
          <w:noProof/>
        </w:rPr>
        <w:t>В съответствие с Решение (ЕС) 2017/436 на Съвета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споразумението бе подписано на 27 април 2017 г., а в съответствие с Решение (ЕС) 2017/2307 на Съвета за сключване на споразумението</w:t>
      </w:r>
      <w:r>
        <w:rPr>
          <w:rStyle w:val="FootnoteReference"/>
          <w:noProof/>
          <w:lang w:eastAsia="en-GB"/>
        </w:rPr>
        <w:footnoteReference w:id="2"/>
      </w:r>
      <w:r>
        <w:rPr>
          <w:noProof/>
        </w:rPr>
        <w:t xml:space="preserve"> то е одобрено и влезе в сила на 1 януари 2018 г.</w:t>
      </w:r>
      <w:r>
        <w:rPr>
          <w:rStyle w:val="FootnoteReference"/>
          <w:noProof/>
          <w:lang w:eastAsia="en-GB"/>
        </w:rPr>
        <w:footnoteReference w:id="3"/>
      </w:r>
    </w:p>
    <w:p>
      <w:pPr>
        <w:pStyle w:val="ManualHeading2"/>
        <w:rPr>
          <w:bCs/>
          <w:noProof/>
        </w:rPr>
      </w:pPr>
      <w:r>
        <w:t>4.1.</w:t>
      </w:r>
      <w:r>
        <w:tab/>
      </w:r>
      <w:r>
        <w:rPr>
          <w:noProof/>
        </w:rPr>
        <w:t>Процесуалноправно основание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 xml:space="preserve">В член 218, параграф 9 от Договора за функционирането на Европейския съюз (ДФЕС) се предвижда приемането на решения за установяване на </w:t>
      </w:r>
      <w:r>
        <w:rPr>
          <w:i/>
          <w:iCs/>
          <w:noProof/>
        </w:rPr>
        <w:t>позициите, които трябва да се заемат от името на Съюза в рамките на орган, създаден със споразумение, когато този орган има за задача да приема актове с правно действие, с изключение на актовете за допълнение или изменение на институционалната рамка на споразумението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lastRenderedPageBreak/>
        <w:t xml:space="preserve">Понятието </w:t>
      </w:r>
      <w:r>
        <w:rPr>
          <w:i/>
          <w:iCs/>
          <w:noProof/>
        </w:rPr>
        <w:t>актове с правно действие</w:t>
      </w:r>
      <w:r>
        <w:rPr>
          <w:noProof/>
        </w:rPr>
        <w:t xml:space="preserve"> включва актове с правно действие по силата на нормите на международното право, които уреждат съответния орган. То включва и инструменти, които нямат обвързващ характер съгласно международното право, но са </w:t>
      </w:r>
      <w:r>
        <w:rPr>
          <w:i/>
          <w:iCs/>
          <w:noProof/>
        </w:rPr>
        <w:t>годни да окажат съществено въздействие върху съдържанието на приеманата от законодателя на Съюза нормативна уредба</w:t>
      </w:r>
      <w:r>
        <w:rPr>
          <w:noProof/>
        </w:rPr>
        <w:t>.</w:t>
      </w:r>
      <w:r>
        <w:rPr>
          <w:rStyle w:val="FootnoteReference"/>
          <w:noProof/>
        </w:rPr>
        <w:footnoteReference w:id="4"/>
      </w:r>
    </w:p>
    <w:p>
      <w:pPr>
        <w:pStyle w:val="ManualHeading3"/>
        <w:rPr>
          <w:bCs/>
          <w:noProof/>
        </w:rPr>
      </w:pPr>
      <w:r>
        <w:t>4.1.2.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Съвместният комитет е орган, създаден със споразумение, а именно със Споразумението между Европейския съюз и Република Чили относно търговията с биологични продукти.</w:t>
      </w:r>
    </w:p>
    <w:p>
      <w:pPr>
        <w:rPr>
          <w:noProof/>
          <w:color w:val="008000"/>
        </w:rPr>
      </w:pPr>
      <w:r>
        <w:rPr>
          <w:noProof/>
        </w:rPr>
        <w:t>Актът, който съвместният комитет има за задача да приеме, представлява акт с правно действие. Предвиденият акт ще бъде обвързващ съгласно международното право в съответствие с член 8 от Споразумението между Европейския съюз и Република Чили относно търговията с биологични продукти.</w:t>
      </w:r>
    </w:p>
    <w:p>
      <w:pPr>
        <w:rPr>
          <w:noProof/>
        </w:rPr>
      </w:pPr>
      <w:r>
        <w:rPr>
          <w:noProof/>
        </w:rPr>
        <w:t>Предвиденият акт не допълва, нито изменя институционалната рамка на споразумението.</w:t>
      </w:r>
    </w:p>
    <w:p>
      <w:pPr>
        <w:rPr>
          <w:noProof/>
        </w:rPr>
      </w:pPr>
      <w:r>
        <w:rPr>
          <w:noProof/>
        </w:rPr>
        <w:t>Поради това процесуалноправното основание за предложеното решение е член 218, параграф 9 от ДФЕС.</w:t>
      </w:r>
    </w:p>
    <w:p>
      <w:pPr>
        <w:pStyle w:val="ManualHeading2"/>
        <w:rPr>
          <w:bCs/>
          <w:noProof/>
        </w:rPr>
      </w:pPr>
      <w:r>
        <w:t>4.2.</w:t>
      </w:r>
      <w:r>
        <w:tab/>
      </w:r>
      <w:r>
        <w:rPr>
          <w:noProof/>
        </w:rPr>
        <w:t>Материалноправно основание</w:t>
      </w:r>
    </w:p>
    <w:p>
      <w:pPr>
        <w:pStyle w:val="ManualHeading3"/>
        <w:rPr>
          <w:bCs/>
          <w:noProof/>
        </w:rPr>
      </w:pPr>
      <w:r>
        <w:t>4.2.1.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Материалноправното основание за дадено решение съгласно член 218, параграф 9 от ДФЕС зависи преди всичко от целта и съдържанието на предвидения акт, във връзка с който се заема позиция от името на Съюза. Ако предвиденият акт преследва две цели или се състои от две части и ако едната от целите или частите може да се определи като основна, докато другата е само акцесорна, решението съгласно член 218, параграф 9 от ДФЕС трябва да се основава на едно-единствено материалноправно основание, а именно на изискваното от основната или преобладаващата цел или част.</w:t>
      </w:r>
    </w:p>
    <w:p>
      <w:pPr>
        <w:pStyle w:val="ManualHeading3"/>
        <w:rPr>
          <w:bCs/>
          <w:noProof/>
        </w:rPr>
      </w:pPr>
      <w:r>
        <w:t>4.2.2.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Предвиденият акт преследва цели и съдържа елементи в областта на общата търговска политика. Тези елементи на предвидения акт са неразривно свързани, без никой от тях да е акцесорен по отношение на другия.</w:t>
      </w:r>
    </w:p>
    <w:p>
      <w:pPr>
        <w:rPr>
          <w:noProof/>
        </w:rPr>
      </w:pPr>
      <w:r>
        <w:rPr>
          <w:noProof/>
        </w:rPr>
        <w:t>Поради това материалноправното основание за предложеното решение включва следните разпоредби: член 207 от ДФЕС.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Заключение</w:t>
      </w:r>
    </w:p>
    <w:p>
      <w:pPr>
        <w:rPr>
          <w:noProof/>
        </w:rPr>
      </w:pPr>
      <w:r>
        <w:rPr>
          <w:noProof/>
        </w:rPr>
        <w:t>Правното основание на предложеното решение следва да бъде член 207 от ДФЕС във връзка с член 218, параграф 9 от ДФЕС.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ПУБЛИКУВАНЕ НА ПРЕДВИДЕНИЯ АКТ</w:t>
      </w:r>
    </w:p>
    <w:p>
      <w:pPr>
        <w:rPr>
          <w:noProof/>
          <w:szCs w:val="24"/>
        </w:rPr>
      </w:pPr>
      <w:r>
        <w:rPr>
          <w:noProof/>
        </w:rPr>
        <w:t>Не се прилага.</w:t>
      </w:r>
    </w:p>
    <w:p>
      <w:pPr>
        <w:rPr>
          <w:noProof/>
          <w:szCs w:val="24"/>
        </w:rPr>
      </w:pP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0" w:h="16838"/>
          <w:pgMar w:top="1440" w:right="1440" w:bottom="515" w:left="1440" w:header="0" w:footer="621" w:gutter="0"/>
          <w:cols w:space="0" w:equalWidth="0">
            <w:col w:w="9026"/>
          </w:cols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2021/0072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за позицията, която трябва да се заеме от името на Европейския съюз в рамките на Съвместния комитет за биологичните продукти, създаден със Споразумението между Европейския съюз и Република Чили относно търговията с биологични продукти, във връзка с приемането на процедурния му правилник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</w:t>
      </w:r>
      <w:r>
        <w:t xml:space="preserve"> </w:t>
      </w:r>
      <w:r>
        <w:rPr>
          <w:noProof/>
        </w:rPr>
        <w:t>207, параграф 4, първа алинея във връзка с член 218, параграф 9 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bookmarkStart w:id="1" w:name="DQPStarAt1DQPStarAt27EAAEBD20DF4D5290796"/>
      <w:r>
        <w:t>(1)</w:t>
      </w:r>
      <w:r>
        <w:tab/>
      </w:r>
      <w:r>
        <w:rPr>
          <w:noProof/>
        </w:rPr>
        <w:t>Споразумението между Европейския съюз и Република Чили относно търговията с биологични продукти (наричано по-долу „споразумението“) бе сключено от Съюза с Решение (ЕС) 2017/2307 на Съвета</w:t>
      </w:r>
      <w:r>
        <w:rPr>
          <w:rStyle w:val="FootnoteReference"/>
          <w:noProof/>
          <w:lang w:eastAsia="en-GB"/>
        </w:rPr>
        <w:footnoteReference w:id="5"/>
      </w:r>
      <w:r>
        <w:rPr>
          <w:noProof/>
        </w:rPr>
        <w:t xml:space="preserve"> и влезе в сила на 1 януари 2018 г.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С член 8 от споразумението се създава Съвместен комитет за биологичните продукти (наричан по-долу „съвместният комитет“), с цел да управлява прилагането на споразумението и да взема решенията, необходими за неговото прилагане и правилното му действие.</w:t>
      </w:r>
    </w:p>
    <w:bookmarkEnd w:id="1"/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Съгласно член 8, параграф 5 от споразумението съвместният комитет приема свой процедурен правилник.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С цел да се гарантира правилното прилагане на споразумението, процедурният правилник на съвместния комитет следва да бъде приет.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Целесъобразно е да се установи позицията, която трябва да се заеме от името на Съюза в рамките на съвместния комитет във връзка с процедурния му правилник, тъй като посоченият правилник ще бъде обвързващ за Съюза,</w:t>
      </w: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spacing w:line="237" w:lineRule="auto"/>
        <w:ind w:right="266"/>
        <w:rPr>
          <w:rFonts w:eastAsia="Times New Roman"/>
          <w:noProof/>
        </w:rPr>
      </w:pPr>
      <w:r>
        <w:rPr>
          <w:noProof/>
        </w:rPr>
        <w:t>Позицията, която трябва да се заеме от името на Съюза в рамките на Съвместния комитет за биологичните продукти, създаден със Споразумението между Европейския съюз и Република Чили относно търговията с биологични продукти, във връзка с приемането на процедурния му правилник, се основава на проекта на решение на съвместния комитет, съдържащ се в приложението към настоящото решение.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Член 2</w:t>
      </w:r>
    </w:p>
    <w:p>
      <w:pPr>
        <w:rPr>
          <w:noProof/>
        </w:rPr>
      </w:pPr>
      <w:r>
        <w:rPr>
          <w:noProof/>
        </w:rPr>
        <w:t>Адресат на настоящото решение е Комисията.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Председател</w:t>
      </w:r>
    </w:p>
    <w:p>
      <w:pPr>
        <w:pStyle w:val="Personnequisigne"/>
        <w:rPr>
          <w:noProof/>
        </w:rPr>
      </w:pPr>
      <w:r>
        <w:rPr>
          <w:noProof/>
        </w:rPr>
        <w:tab/>
      </w:r>
    </w:p>
    <w:sectPr>
      <w:footnotePr>
        <w:numRestart w:val="eachPage"/>
      </w:footnotePr>
      <w:pgSz w:w="11900" w:h="16838"/>
      <w:pgMar w:top="1440" w:right="1440" w:bottom="851" w:left="1440" w:header="0" w:footer="621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ОВ </w:t>
      </w:r>
      <w:r>
        <w:t>L </w:t>
      </w:r>
      <w:r>
        <w:rPr>
          <w:lang w:val="ru-RU"/>
        </w:rPr>
        <w:t>67, 14.3.2017</w:t>
      </w:r>
      <w:r>
        <w:t> </w:t>
      </w:r>
      <w:r>
        <w:rPr>
          <w:lang w:val="ru-RU"/>
        </w:rPr>
        <w:t>г., стр.</w:t>
      </w:r>
      <w:r>
        <w:t> </w:t>
      </w:r>
      <w:r>
        <w:rPr>
          <w:lang w:val="ru-RU"/>
        </w:rPr>
        <w:t>33.</w:t>
      </w:r>
    </w:p>
  </w:footnote>
  <w:footnote w:id="2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ОВ </w:t>
      </w:r>
      <w:r>
        <w:t>L </w:t>
      </w:r>
      <w:r>
        <w:rPr>
          <w:lang w:val="ru-RU"/>
        </w:rPr>
        <w:t>331, 14.12.2017</w:t>
      </w:r>
      <w:r>
        <w:t> </w:t>
      </w:r>
      <w:r>
        <w:rPr>
          <w:lang w:val="ru-RU"/>
        </w:rPr>
        <w:t>г., стр.</w:t>
      </w:r>
      <w:r>
        <w:t> </w:t>
      </w:r>
      <w:r>
        <w:rPr>
          <w:lang w:val="ru-RU"/>
        </w:rPr>
        <w:t>1.</w:t>
      </w:r>
    </w:p>
  </w:footnote>
  <w:footnote w:id="3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t>O</w:t>
      </w:r>
      <w:r>
        <w:rPr>
          <w:lang w:val="ru-RU"/>
        </w:rPr>
        <w:t xml:space="preserve">В </w:t>
      </w:r>
      <w:r>
        <w:t>L</w:t>
      </w:r>
      <w:r>
        <w:rPr>
          <w:lang w:val="ru-RU"/>
        </w:rPr>
        <w:t xml:space="preserve"> 331, 14.12.2017 г., стр. 4.</w:t>
      </w:r>
    </w:p>
  </w:footnote>
  <w:footnote w:id="4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Решение на Съда на Европейския съюз от 7 октомври 2014 г., Германия/Съвет, </w:t>
      </w:r>
      <w:r>
        <w:t>C</w:t>
      </w:r>
      <w:r>
        <w:rPr>
          <w:lang w:val="ru-RU"/>
        </w:rPr>
        <w:t xml:space="preserve">-399/12, </w:t>
      </w:r>
      <w:r>
        <w:t>ECLI</w:t>
      </w:r>
      <w:r>
        <w:rPr>
          <w:lang w:val="ru-RU"/>
        </w:rPr>
        <w:t>:</w:t>
      </w:r>
      <w:r>
        <w:t>EU</w:t>
      </w:r>
      <w:r>
        <w:rPr>
          <w:lang w:val="ru-RU"/>
        </w:rPr>
        <w:t>:</w:t>
      </w:r>
      <w:r>
        <w:t>C</w:t>
      </w:r>
      <w:r>
        <w:rPr>
          <w:lang w:val="ru-RU"/>
        </w:rPr>
        <w:t>:2014:2258, т. 61—64.</w:t>
      </w:r>
    </w:p>
  </w:footnote>
  <w:footnote w:id="5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Решение (ЕС) 2017/2307 на Съвета от 9 октомври 2017 г. за сключване на Споразумение между Европейския съюз и Република Чили относно търговията с биологични продукти (ОВ </w:t>
      </w:r>
      <w:r>
        <w:t>L</w:t>
      </w:r>
      <w:r>
        <w:rPr>
          <w:lang w:val="ru-RU"/>
        </w:rPr>
        <w:t xml:space="preserve"> 331,   </w:t>
      </w:r>
    </w:p>
    <w:p>
      <w:pPr>
        <w:pStyle w:val="FootnoteText"/>
      </w:pPr>
      <w:r>
        <w:rPr>
          <w:lang w:val="ru-RU"/>
        </w:rPr>
        <w:t xml:space="preserve">              </w:t>
      </w:r>
      <w:r>
        <w:t>14.12.2017 г., стр.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888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DA4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C2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0BE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1AB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51CD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154DE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326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7 11:03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D56B2C7-70C6-4AEC-BF67-3C0E10105116"/>
    <w:docVar w:name="LW_COVERPAGE_TYPE" w:val="1"/>
    <w:docVar w:name="LW_CROSSREFERENCE" w:val="&lt;UNUSED&gt;"/>
    <w:docVar w:name="LW_DocType" w:val="COM"/>
    <w:docVar w:name="LW_EMISSION" w:val="26.3.2021"/>
    <w:docVar w:name="LW_EMISSION_ISODATE" w:val="2021-03-26"/>
    <w:docVar w:name="LW_EMISSION_LOCATION" w:val="BRX"/>
    <w:docVar w:name="LW_EMISSION_PREFIX" w:val="Брюксел, "/>
    <w:docVar w:name="LW_EMISSION_SUFFIX" w:val=" \u1075?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21"/>
    <w:docVar w:name="LW_REF.INST.NEW" w:val="COM"/>
    <w:docVar w:name="LW_REF.INST.NEW_ADOPTED" w:val="final"/>
    <w:docVar w:name="LW_REF.INST.NEW_TEXT" w:val="(2021) 1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79?\u1072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7?\u1098?\u1074?\u1084?\u1077?\u1089?\u1090?\u1085?\u1080?\u1103? \u1082?\u1086?\u1084?\u1080?\u1090?\u1077?\u1090? \u1079?\u1072? \u1073?\u1080?\u1086?\u1083?\u1086?\u1075?\u1080?\u1095?\u1085?\u1080?\u1090?\u1077? \u1087?\u1088?\u1086?\u1076?\u1091?\u1082?\u1090?\u1080?, \u1089?\u1098?\u1079?\u1076?\u1072?\u1076?\u1077?\u1085? \u1089?\u1098?\u1089? \u1057?\u1087?\u1086?\u1088?\u1072?\u1079?\u1091?\u1084?\u1077?\u1085?\u1080?\u1077?\u1090?\u1086? \u1084?\u1077?\u1078?\u1076?\u1091? \u1045?\u1074?\u1088?\u1086?\u1087?\u1077?\u1081?\u1089?\u1082?\u1080?\u1103? \u1089?\u1098?\u1102?\u1079? \u1080? \u1056?\u1077?\u1087?\u1091?\u1073?\u1083?\u1080?\u1082?\u1072? \u1063?\u1080?\u1083?\u1080? \u1086?\u1090?\u1085?\u1086?\u1089?\u1085?\u1086? \u1090?\u1098?\u1088?\u1075?\u1086?\u1074?\u1080?\u1103?\u1090?\u1072? \u1089? \u1073?\u1080?\u1086?\u1083?\u1086?\u1075?\u1080?\u1095?\u1085?\u1080? \u1087?\u1088?\u1086?\u1076?\u1091?\u1082?\u1090?\u1080?, \u1074?\u1098?\u1074? \u1074?\u1088?\u1098?\u1079?\u1082?\u1072? \u1089? \u1087?\u1088?\u1080?\u1077?\u1084?\u1072?\u1085?\u1077?\u1090?\u1086? \u1085?\u1072? \u1087?\u1088?\u1086?\u1094?\u1077?\u1076?\u1091?\u1088?\u1085?\u1080?\u1103? \u1084?\u1091? \u1087?\u1088?\u1072?\u1074?\u1080?\u1083?\u1085?\u1080?\u1082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588927-A6E0-4831-8BE3-50C4840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929</Words>
  <Characters>5399</Characters>
  <Application>Microsoft Office Word</Application>
  <DocSecurity>0</DocSecurity>
  <Lines>117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2021-03-12T10:39:00Z</dcterms:created>
  <dcterms:modified xsi:type="dcterms:W3CDTF">2021-03-17T10:03:00Z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