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F7733B0-E7B6-4792-A7AB-DC13DF203FAC" style="width:450.45pt;height:365.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Default"/>
        <w:rPr>
          <w:rFonts w:ascii="Times New Roman" w:eastAsiaTheme="minorHAnsi" w:hAnsi="Times New Roman" w:cs="Times New Roman"/>
          <w:noProof/>
        </w:rPr>
      </w:pPr>
    </w:p>
    <w:p>
      <w:pPr>
        <w:pStyle w:val="ManualHeading1"/>
        <w:rPr>
          <w:noProof/>
        </w:rPr>
      </w:pPr>
      <w:r>
        <w:t>1.</w:t>
      </w:r>
      <w:r>
        <w:tab/>
      </w:r>
      <w:r>
        <w:rPr>
          <w:noProof/>
        </w:rPr>
        <w:t>PREDMET UREJANJA PREDLOGA</w:t>
      </w:r>
    </w:p>
    <w:p>
      <w:pPr>
        <w:spacing w:before="0" w:after="200" w:line="276" w:lineRule="auto"/>
        <w:rPr>
          <w:noProof/>
          <w:szCs w:val="24"/>
        </w:rPr>
      </w:pPr>
      <w:r>
        <w:rPr>
          <w:noProof/>
        </w:rPr>
        <w:t xml:space="preserve">Ta predlog se nanaša na sklep o stališču, ki se v imenu Unije zastopa v Skupnem odboru za ekološke proizvode (v nadaljnjem besedilu: Skupni odbor), ustanovljenem s Sporazumom med Evropsko unijo na eni ter Republiko Čile na drugi strani, v zvezi s predvidenim sprejetjem njegovega poslovnika (v nadaljnjem besedilu: poslovnik). </w:t>
      </w:r>
    </w:p>
    <w:p>
      <w:pPr>
        <w:pStyle w:val="ManualHeading1"/>
        <w:rPr>
          <w:noProof/>
        </w:rPr>
      </w:pPr>
      <w:r>
        <w:t>2.</w:t>
      </w:r>
      <w:r>
        <w:tab/>
      </w:r>
      <w:r>
        <w:rPr>
          <w:noProof/>
        </w:rPr>
        <w:t xml:space="preserve">OZADJE PREDLOGA </w:t>
      </w:r>
    </w:p>
    <w:p>
      <w:pPr>
        <w:pStyle w:val="ManualHeading2"/>
        <w:rPr>
          <w:rFonts w:eastAsia="Arial Unicode MS"/>
          <w:noProof/>
        </w:rPr>
      </w:pPr>
      <w:r>
        <w:rPr>
          <w:noProof/>
          <w:color w:val="000000"/>
          <w:u w:color="000000"/>
          <w:bdr w:val="nil"/>
        </w:rPr>
        <w:t>2.1 Sporazum med EU in Republiko Čile o trgovini z ekološkimi proizvodi</w:t>
      </w:r>
    </w:p>
    <w:p>
      <w:pPr>
        <w:pBdr>
          <w:top w:val="nil"/>
          <w:left w:val="nil"/>
          <w:bottom w:val="nil"/>
          <w:right w:val="nil"/>
          <w:between w:val="nil"/>
          <w:bar w:val="nil"/>
        </w:pBdr>
        <w:spacing w:before="0"/>
        <w:rPr>
          <w:rFonts w:eastAsia="Arial Unicode MS"/>
          <w:noProof/>
          <w:szCs w:val="24"/>
        </w:rPr>
      </w:pPr>
      <w:r>
        <w:rPr>
          <w:noProof/>
        </w:rPr>
        <w:t>S Sporazumom med Evropsko unijo in Republiko Čile o trgovini z ekološkimi proizvodi se ustanovi Skupni odbor.</w:t>
      </w:r>
    </w:p>
    <w:p>
      <w:pPr>
        <w:pBdr>
          <w:top w:val="nil"/>
          <w:left w:val="nil"/>
          <w:bottom w:val="nil"/>
          <w:right w:val="nil"/>
          <w:between w:val="nil"/>
          <w:bar w:val="nil"/>
        </w:pBdr>
        <w:spacing w:before="0"/>
        <w:rPr>
          <w:rFonts w:eastAsia="Arial Unicode MS"/>
          <w:noProof/>
          <w:szCs w:val="24"/>
        </w:rPr>
      </w:pPr>
      <w:r>
        <w:rPr>
          <w:noProof/>
        </w:rPr>
        <w:t>S tem aktom se določi poslovnik navedenega odbora. Pravična in jasna pravila bodo omogočila uspešne razprave v okviru Skupnega odbora EU-Čile za ekološke proizvode.</w:t>
      </w:r>
    </w:p>
    <w:p>
      <w:pPr>
        <w:pStyle w:val="ManualHeading2"/>
        <w:rPr>
          <w:noProof/>
        </w:rPr>
      </w:pPr>
      <w:r>
        <w:rPr>
          <w:noProof/>
          <w:color w:val="000000"/>
          <w:u w:color="000000"/>
          <w:bdr w:val="nil"/>
        </w:rPr>
        <w:t>•</w:t>
      </w:r>
      <w:r>
        <w:rPr>
          <w:noProof/>
        </w:rPr>
        <w:tab/>
        <w:t>Skladnost z veljavnimi predpisi s področja zadevne politike</w:t>
      </w:r>
    </w:p>
    <w:p>
      <w:pPr>
        <w:pBdr>
          <w:top w:val="nil"/>
          <w:left w:val="nil"/>
          <w:bottom w:val="nil"/>
          <w:right w:val="nil"/>
          <w:between w:val="nil"/>
          <w:bar w:val="nil"/>
        </w:pBdr>
        <w:spacing w:before="0" w:after="240"/>
        <w:rPr>
          <w:noProof/>
          <w:szCs w:val="24"/>
        </w:rPr>
      </w:pPr>
      <w:r>
        <w:rPr>
          <w:noProof/>
        </w:rPr>
        <w:t>Tokrat je bil med trgovinskimi partnerji za ekološke proizvode prvič ustanovljen Skupni odbor, v drugih mednarodnih trgovinskih sporazumih pa je to stalna praksa. Sporazum med EU in Čilom je prvi mednarodni sporazum o trgovini z ekološkimi proizvodi.</w:t>
      </w:r>
    </w:p>
    <w:p>
      <w:pPr>
        <w:pStyle w:val="ManualHeading2"/>
        <w:rPr>
          <w:rFonts w:eastAsia="Arial Unicode MS"/>
          <w:noProof/>
        </w:rPr>
      </w:pPr>
      <w:r>
        <w:rPr>
          <w:noProof/>
          <w:color w:val="000000"/>
          <w:u w:color="000000"/>
          <w:bdr w:val="nil"/>
        </w:rPr>
        <w:t>•</w:t>
      </w:r>
      <w:r>
        <w:rPr>
          <w:noProof/>
        </w:rPr>
        <w:tab/>
        <w:t>Skladnost z drugimi politikami Unije</w:t>
      </w:r>
    </w:p>
    <w:p>
      <w:pPr>
        <w:pStyle w:val="ManualHeading1"/>
        <w:rPr>
          <w:noProof/>
        </w:rPr>
      </w:pPr>
      <w:r>
        <w:t>3.</w:t>
      </w:r>
      <w:r>
        <w:tab/>
      </w:r>
      <w:r>
        <w:rPr>
          <w:noProof/>
        </w:rPr>
        <w:t>PRAVNA PODLAGA, SUBSIDIARNOST IN SORAZMERNOST</w:t>
      </w:r>
    </w:p>
    <w:p>
      <w:pPr>
        <w:pStyle w:val="ManualHeading1"/>
        <w:rPr>
          <w:noProof/>
        </w:rPr>
      </w:pPr>
      <w:r>
        <w:t>4.</w:t>
      </w:r>
      <w:r>
        <w:tab/>
      </w:r>
      <w:r>
        <w:rPr>
          <w:noProof/>
          <w:u w:color="000000"/>
          <w:bdr w:val="nil"/>
        </w:rPr>
        <w:t>•</w:t>
      </w:r>
      <w:r>
        <w:rPr>
          <w:noProof/>
        </w:rPr>
        <w:tab/>
        <w:t>Pravna podlaga</w:t>
      </w:r>
    </w:p>
    <w:p>
      <w:pPr>
        <w:autoSpaceDE w:val="0"/>
        <w:autoSpaceDN w:val="0"/>
        <w:adjustRightInd w:val="0"/>
        <w:spacing w:before="0" w:after="0"/>
        <w:jc w:val="left"/>
        <w:rPr>
          <w:noProof/>
        </w:rPr>
      </w:pPr>
      <w:r>
        <w:rPr>
          <w:noProof/>
        </w:rPr>
        <w:t>Sporazum je bil v skladu s Sklepom Sveta (EU) 2017/436</w:t>
      </w:r>
      <w:r>
        <w:rPr>
          <w:rStyle w:val="FootnoteReference"/>
          <w:noProof/>
        </w:rPr>
        <w:footnoteReference w:id="1"/>
      </w:r>
      <w:r>
        <w:rPr>
          <w:noProof/>
        </w:rPr>
        <w:t xml:space="preserve"> podpisan 27. aprila 2017, v skladu s Sklepom Sveta (EU) 2017/2307</w:t>
      </w:r>
      <w:r>
        <w:rPr>
          <w:rStyle w:val="FootnoteReference"/>
          <w:noProof/>
          <w:lang w:eastAsia="en-GB"/>
        </w:rPr>
        <w:footnoteReference w:id="2"/>
      </w:r>
      <w:r>
        <w:rPr>
          <w:noProof/>
        </w:rPr>
        <w:t xml:space="preserve"> o sklenitvi Sporazuma pa je bil Sporazum odobren in je začel veljati 1. januarja 2018</w:t>
      </w:r>
      <w:r>
        <w:rPr>
          <w:rStyle w:val="FootnoteReference"/>
          <w:noProof/>
          <w:lang w:eastAsia="en-GB"/>
        </w:rPr>
        <w:footnoteReference w:id="3"/>
      </w:r>
      <w:r>
        <w:rPr>
          <w:noProof/>
        </w:rPr>
        <w:t xml:space="preserve">. </w:t>
      </w:r>
    </w:p>
    <w:p>
      <w:pPr>
        <w:pStyle w:val="ManualHeading2"/>
        <w:rPr>
          <w:bCs/>
          <w:noProof/>
        </w:rPr>
      </w:pPr>
      <w:r>
        <w:t>4.1.</w:t>
      </w:r>
      <w:r>
        <w:tab/>
      </w:r>
      <w:r>
        <w:rPr>
          <w:noProof/>
        </w:rPr>
        <w:t>Postopkovna pravna podlaga</w:t>
      </w:r>
    </w:p>
    <w:p>
      <w:pPr>
        <w:pStyle w:val="ManualHeading3"/>
        <w:rPr>
          <w:noProof/>
        </w:rPr>
      </w:pPr>
      <w:r>
        <w:t>4.1.1.</w:t>
      </w:r>
      <w:r>
        <w:tab/>
      </w:r>
      <w:r>
        <w:rPr>
          <w:noProof/>
        </w:rPr>
        <w:t>Načela</w:t>
      </w:r>
    </w:p>
    <w:p>
      <w:pPr>
        <w:rPr>
          <w:noProof/>
        </w:rPr>
      </w:pPr>
      <w:r>
        <w:rPr>
          <w:noProof/>
        </w:rPr>
        <w:t>Člen 218(9) Pogodbe o delovanju Evropske unije (v nadaljnjem besedilu: PDEU) ureja sklepe o določitvi „stališč, ki naj se v imenu Unije zastopajo v organu, ustanovljenem s sporazumom, kadar ta organ sprejema akte s pravnim učinkom, razen aktov o spremembah ali dopolnitvah institucionalnega okvira sporazuma“.</w:t>
      </w:r>
    </w:p>
    <w:p>
      <w:pPr>
        <w:rPr>
          <w:noProof/>
        </w:rPr>
      </w:pPr>
      <w:r>
        <w:rPr>
          <w:noProof/>
        </w:rPr>
        <w:t>Pojem „akti s pravnim učinkom“ vključuje tudi akte, ki imajo pravni učinek zaradi pravil mednarodnega prava, ki veljajo za zadevni organ. Vključuje tudi instrumente, ki nimajo zavezujočega učinka v mednarodnem pravu, a lahko „odločilno vpliva[jo] na vsebino ureditve, ki jo [sprejme] zakonodajalec Unije“</w:t>
      </w:r>
      <w:r>
        <w:rPr>
          <w:rStyle w:val="FootnoteReference"/>
          <w:noProof/>
        </w:rPr>
        <w:footnoteReference w:id="4"/>
      </w:r>
      <w:r>
        <w:rPr>
          <w:noProof/>
        </w:rPr>
        <w:t>.</w:t>
      </w:r>
    </w:p>
    <w:p>
      <w:pPr>
        <w:pStyle w:val="ManualHeading3"/>
        <w:rPr>
          <w:bCs/>
          <w:noProof/>
        </w:rPr>
      </w:pPr>
      <w:r>
        <w:lastRenderedPageBreak/>
        <w:t>4.1.2.</w:t>
      </w:r>
      <w:r>
        <w:tab/>
      </w:r>
      <w:r>
        <w:rPr>
          <w:noProof/>
        </w:rPr>
        <w:t>Uporaba v obravnavanem primeru</w:t>
      </w:r>
    </w:p>
    <w:p>
      <w:pPr>
        <w:rPr>
          <w:noProof/>
        </w:rPr>
      </w:pPr>
      <w:r>
        <w:rPr>
          <w:noProof/>
        </w:rPr>
        <w:t>Skupni odbor je organ, ustanovljen s sporazumom, in sicer Sporazumom med Evropsko unijo in Republiko Čile o trgovini z ekološkimi proizvodi.</w:t>
      </w:r>
    </w:p>
    <w:p>
      <w:pPr>
        <w:rPr>
          <w:noProof/>
          <w:color w:val="008000"/>
        </w:rPr>
      </w:pPr>
      <w:r>
        <w:rPr>
          <w:noProof/>
        </w:rPr>
        <w:t>Akt, k sprejetju katerega je pozvan Skupni odbor, je akt s pravnim učinkom. Predvideni akt bo zavezujoč v mednarodnem pravu v skladu s členom 8 Sporazuma med Evropsko unijo in Republiko Čile o trgovini z ekološkimi proizvodi.</w:t>
      </w:r>
    </w:p>
    <w:p>
      <w:pPr>
        <w:rPr>
          <w:noProof/>
        </w:rPr>
      </w:pPr>
      <w:r>
        <w:rPr>
          <w:noProof/>
        </w:rPr>
        <w:t>Predvideni akt ne dopolnjuje ali spreminja institucionalnega okvira Sporazuma.</w:t>
      </w:r>
    </w:p>
    <w:p>
      <w:pPr>
        <w:rPr>
          <w:noProof/>
        </w:rPr>
      </w:pPr>
      <w:r>
        <w:rPr>
          <w:noProof/>
        </w:rPr>
        <w:t>Postopkovna pravna podlaga za predlagani sklep je zato člen 218(9) PDEU.</w:t>
      </w:r>
    </w:p>
    <w:p>
      <w:pPr>
        <w:pStyle w:val="ManualHeading2"/>
        <w:rPr>
          <w:bCs/>
          <w:noProof/>
        </w:rPr>
      </w:pPr>
      <w:r>
        <w:t>4.2.</w:t>
      </w:r>
      <w:r>
        <w:tab/>
      </w:r>
      <w:r>
        <w:rPr>
          <w:noProof/>
        </w:rPr>
        <w:t>Materialna pravna podlaga</w:t>
      </w:r>
    </w:p>
    <w:p>
      <w:pPr>
        <w:pStyle w:val="ManualHeading3"/>
        <w:rPr>
          <w:bCs/>
          <w:noProof/>
        </w:rPr>
      </w:pPr>
      <w:r>
        <w:t>4.2.1.</w:t>
      </w:r>
      <w:r>
        <w:tab/>
      </w:r>
      <w:r>
        <w:rPr>
          <w:noProof/>
        </w:rPr>
        <w:t>Načela</w:t>
      </w:r>
    </w:p>
    <w:p>
      <w:pPr>
        <w:rPr>
          <w:noProof/>
        </w:rPr>
      </w:pPr>
      <w:r>
        <w:rPr>
          <w:noProof/>
        </w:rPr>
        <w:t>Materialna pravna podlaga za sklep po členu 218(9) PDEU je odvisna predvsem od cilja in vsebine predvidenega akta, glede katerega naj bi se v imenu Unije zastopalo stališče. Če ima predvideni akt dva cilja ali elementa in je eden od teh ciljev ali elementov glavni, drugi pa postranski, mora sklep po členu 218(9) PDEU temeljiti na samo eni materialni pravni podlagi, in sicer na tisti, ki se zahteva za glavni ali prevladujoči cilj ali element.</w:t>
      </w:r>
    </w:p>
    <w:p>
      <w:pPr>
        <w:pStyle w:val="ManualHeading3"/>
        <w:rPr>
          <w:bCs/>
          <w:noProof/>
        </w:rPr>
      </w:pPr>
      <w:r>
        <w:t>4.2.2.</w:t>
      </w:r>
      <w:r>
        <w:tab/>
      </w:r>
      <w:r>
        <w:rPr>
          <w:noProof/>
        </w:rPr>
        <w:t>Uporaba v obravnavanem primeru</w:t>
      </w:r>
    </w:p>
    <w:p>
      <w:pPr>
        <w:rPr>
          <w:noProof/>
        </w:rPr>
      </w:pPr>
      <w:r>
        <w:rPr>
          <w:noProof/>
        </w:rPr>
        <w:t>Cilji in elementi predvidenega akta spadajo na področje skupne trgovinske politike. Ti elementi predvidenega akta so neločljivo povezani, ne da bi bil kateri v razmerju do drugih postranski.</w:t>
      </w:r>
    </w:p>
    <w:p>
      <w:pPr>
        <w:rPr>
          <w:noProof/>
        </w:rPr>
      </w:pPr>
      <w:r>
        <w:rPr>
          <w:noProof/>
        </w:rPr>
        <w:t>Materialna pravna podlaga za predlagani sklep zato obsega naslednje določbe: člen 207 PDEU.</w:t>
      </w:r>
    </w:p>
    <w:p>
      <w:pPr>
        <w:pStyle w:val="ManualHeading2"/>
        <w:rPr>
          <w:noProof/>
        </w:rPr>
      </w:pPr>
      <w:r>
        <w:t>4.3.</w:t>
      </w:r>
      <w:r>
        <w:tab/>
      </w:r>
      <w:r>
        <w:rPr>
          <w:noProof/>
        </w:rPr>
        <w:t>Zaključek</w:t>
      </w:r>
    </w:p>
    <w:p>
      <w:pPr>
        <w:rPr>
          <w:noProof/>
        </w:rPr>
      </w:pPr>
      <w:r>
        <w:rPr>
          <w:noProof/>
        </w:rPr>
        <w:t>Pravna podlaga predlaganega sklepa bi moral biti člen 207 PDEU v povezavi s členom 218(9) PDEU.</w:t>
      </w:r>
    </w:p>
    <w:p>
      <w:pPr>
        <w:pStyle w:val="ManualHeading1"/>
        <w:rPr>
          <w:noProof/>
        </w:rPr>
      </w:pPr>
      <w:r>
        <w:t>5.</w:t>
      </w:r>
      <w:r>
        <w:tab/>
      </w:r>
      <w:r>
        <w:rPr>
          <w:noProof/>
        </w:rPr>
        <w:t>OBJAVA PREDVIDENEGA AKTA</w:t>
      </w:r>
    </w:p>
    <w:p>
      <w:pPr>
        <w:rPr>
          <w:noProof/>
          <w:szCs w:val="24"/>
        </w:rPr>
      </w:pPr>
      <w:r>
        <w:rPr>
          <w:noProof/>
        </w:rPr>
        <w:t>Ni relevantno.</w:t>
      </w:r>
    </w:p>
    <w:p>
      <w:pPr>
        <w:rPr>
          <w:noProof/>
          <w:szCs w:val="24"/>
        </w:rPr>
      </w:pPr>
    </w:p>
    <w:p>
      <w:pPr>
        <w:rPr>
          <w:noProof/>
        </w:rPr>
        <w:sectPr>
          <w:footerReference w:type="default" r:id="rId11"/>
          <w:footerReference w:type="first" r:id="rId12"/>
          <w:footnotePr>
            <w:numRestart w:val="eachSect"/>
          </w:footnotePr>
          <w:pgSz w:w="11900" w:h="16838"/>
          <w:pgMar w:top="1440" w:right="1440" w:bottom="515" w:left="1440" w:header="0" w:footer="621" w:gutter="0"/>
          <w:cols w:space="0" w:equalWidth="0">
            <w:col w:w="9026"/>
          </w:cols>
          <w:docGrid w:linePitch="360"/>
        </w:sectPr>
      </w:pPr>
    </w:p>
    <w:p>
      <w:pPr>
        <w:pStyle w:val="Rfrenceinterinstitutionnelle"/>
        <w:rPr>
          <w:noProof/>
        </w:rPr>
      </w:pPr>
      <w:r>
        <w:rPr>
          <w:noProof/>
        </w:rPr>
        <w:lastRenderedPageBreak/>
        <w:t>2021/0072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stališču, ki se v imenu Evropske unije zastopa v Skupnem odboru za ekološke proizvode, ustanovljenem s Sporazumom med Evropsko unijo in Republiko Čile o trgovini z ekološkimi proizvodi, v zvezi s sprejetjem njegovega poslovnika</w:t>
      </w:r>
    </w:p>
    <w:p>
      <w:pPr>
        <w:pStyle w:val="Institutionquiagit"/>
        <w:rPr>
          <w:noProof/>
        </w:rPr>
      </w:pPr>
      <w:r>
        <w:rPr>
          <w:noProof/>
        </w:rPr>
        <w:t>SVET EVROPSKE UNIJE JE –</w:t>
      </w:r>
    </w:p>
    <w:p>
      <w:pPr>
        <w:rPr>
          <w:noProof/>
        </w:rPr>
      </w:pPr>
      <w:r>
        <w:rPr>
          <w:noProof/>
        </w:rPr>
        <w:t>ob upoštevanju Pogodbe o delovanju Evropske unije in zlasti prvega pododstavka člena</w:t>
      </w:r>
      <w:r>
        <w:t xml:space="preserve"> </w:t>
      </w:r>
      <w:r>
        <w:rPr>
          <w:noProof/>
        </w:rPr>
        <w:t>207(4) v povezavi s členom 218(9) Pogodbe,</w:t>
      </w:r>
    </w:p>
    <w:p>
      <w:pPr>
        <w:rPr>
          <w:noProof/>
        </w:rPr>
      </w:pPr>
      <w:r>
        <w:rPr>
          <w:noProof/>
        </w:rPr>
        <w:t>ob upoštevanju predloga Evropske komisije,</w:t>
      </w:r>
    </w:p>
    <w:p>
      <w:pPr>
        <w:rPr>
          <w:noProof/>
        </w:rPr>
      </w:pPr>
      <w:r>
        <w:rPr>
          <w:noProof/>
        </w:rPr>
        <w:t>ob upoštevanju naslednjega:</w:t>
      </w:r>
    </w:p>
    <w:p>
      <w:pPr>
        <w:pStyle w:val="ManualConsidrant"/>
        <w:rPr>
          <w:noProof/>
        </w:rPr>
      </w:pPr>
      <w:bookmarkStart w:id="1" w:name="DQPStarAt1DQPStarAt27EAAEBD20DF4D5290796"/>
      <w:r>
        <w:t>(1)</w:t>
      </w:r>
      <w:r>
        <w:tab/>
      </w:r>
      <w:r>
        <w:rPr>
          <w:noProof/>
        </w:rPr>
        <w:t>Unija je Sporazum med Evropsko unijo in Republiko Čile o trgovini z ekološkimi proizvodi (v nadaljnjem besedilu: Sporazum) sklenila s Sklepom Sveta (EU) 2017/2307</w:t>
      </w:r>
      <w:r>
        <w:rPr>
          <w:rStyle w:val="FootnoteReference"/>
          <w:noProof/>
          <w:lang w:eastAsia="en-GB"/>
        </w:rPr>
        <w:footnoteReference w:id="5"/>
      </w:r>
      <w:r>
        <w:rPr>
          <w:noProof/>
        </w:rPr>
        <w:t>, veljati pa je začel 1. januarja 2018.</w:t>
      </w:r>
    </w:p>
    <w:p>
      <w:pPr>
        <w:pStyle w:val="ManualConsidrant"/>
        <w:rPr>
          <w:noProof/>
        </w:rPr>
      </w:pPr>
      <w:r>
        <w:t>(2)</w:t>
      </w:r>
      <w:r>
        <w:tab/>
      </w:r>
      <w:r>
        <w:rPr>
          <w:noProof/>
        </w:rPr>
        <w:t>S členom 8 Sporazuma se ustanovi Skupni odbor za ekološke proizvode (v nadaljnjem besedilu: Skupni odbor), ki upravlja Sporazum ter sprejema odločitve glede njegovega izvajanja in dobrega delovanja.</w:t>
      </w:r>
    </w:p>
    <w:bookmarkEnd w:id="1"/>
    <w:p>
      <w:pPr>
        <w:pStyle w:val="ManualConsidrant"/>
        <w:rPr>
          <w:noProof/>
        </w:rPr>
      </w:pPr>
      <w:r>
        <w:t>(3)</w:t>
      </w:r>
      <w:r>
        <w:tab/>
      </w:r>
      <w:r>
        <w:rPr>
          <w:noProof/>
        </w:rPr>
        <w:t>V skladu s členom 8(5) Sporazuma Skupni odbor sprejme svoj poslovnik.</w:t>
      </w:r>
    </w:p>
    <w:p>
      <w:pPr>
        <w:pStyle w:val="ManualConsidrant"/>
        <w:rPr>
          <w:noProof/>
        </w:rPr>
      </w:pPr>
      <w:r>
        <w:t>(4)</w:t>
      </w:r>
      <w:r>
        <w:tab/>
      </w:r>
      <w:r>
        <w:rPr>
          <w:noProof/>
        </w:rPr>
        <w:t>Da se zagotovi ustrezno izvajanje Sporazuma, bi bilo treba sprejeti poslovnik Skupnega odbora.</w:t>
      </w:r>
    </w:p>
    <w:p>
      <w:pPr>
        <w:pStyle w:val="ManualConsidrant"/>
        <w:rPr>
          <w:noProof/>
        </w:rPr>
      </w:pPr>
      <w:r>
        <w:t>(5)</w:t>
      </w:r>
      <w:r>
        <w:tab/>
      </w:r>
      <w:r>
        <w:rPr>
          <w:noProof/>
        </w:rPr>
        <w:t>Primerno je, da se določi stališče, ki se v imenu Unije zastopa v Skupnem odboru glede njegovega poslovnika, saj bo ta za Unijo zavezujoč –</w:t>
      </w:r>
    </w:p>
    <w:p>
      <w:pPr>
        <w:pStyle w:val="Formuledadoption"/>
        <w:rPr>
          <w:noProof/>
        </w:rPr>
      </w:pPr>
      <w:r>
        <w:rPr>
          <w:noProof/>
        </w:rPr>
        <w:t xml:space="preserve">SPREJEL NASLEDNJI SKLEP: </w:t>
      </w:r>
    </w:p>
    <w:p>
      <w:pPr>
        <w:pStyle w:val="Titrearticle"/>
        <w:rPr>
          <w:noProof/>
        </w:rPr>
      </w:pPr>
      <w:r>
        <w:rPr>
          <w:noProof/>
        </w:rPr>
        <w:t>Člen 1</w:t>
      </w:r>
    </w:p>
    <w:p>
      <w:pPr>
        <w:spacing w:line="237" w:lineRule="auto"/>
        <w:ind w:right="266"/>
        <w:rPr>
          <w:rFonts w:eastAsia="Times New Roman"/>
          <w:noProof/>
        </w:rPr>
      </w:pPr>
      <w:r>
        <w:rPr>
          <w:noProof/>
        </w:rPr>
        <w:t>Stališče, ki se v imenu Unije zastopa v Skupnem odboru za ekološke proizvode, ustanovljenem s Sporazumom med Evropsko unijo in Republiko Čile o trgovini z ekološkimi proizvodi, v zvezi s sprejetjem njegovega poslovnika, temelji na osnutku sklepa navedenega skupnega odbora v skladu s Prilogo k temu sklepu.</w:t>
      </w:r>
    </w:p>
    <w:p>
      <w:pPr>
        <w:pStyle w:val="Titrearticle"/>
        <w:rPr>
          <w:noProof/>
        </w:rPr>
      </w:pPr>
      <w:r>
        <w:rPr>
          <w:noProof/>
        </w:rPr>
        <w:lastRenderedPageBreak/>
        <w:t>Člen 2</w:t>
      </w:r>
    </w:p>
    <w:p>
      <w:pPr>
        <w:keepNext/>
        <w:keepLines/>
        <w:rPr>
          <w:noProof/>
        </w:rPr>
      </w:pPr>
      <w:r>
        <w:rPr>
          <w:noProof/>
        </w:rPr>
        <w:t>Ta sklep je naslovljen na Komisijo.</w:t>
      </w:r>
    </w:p>
    <w:p>
      <w:pPr>
        <w:pStyle w:val="Fait"/>
        <w:rPr>
          <w:noProof/>
        </w:rPr>
      </w:pPr>
      <w:r>
        <w:t>V Bruslju,</w:t>
      </w:r>
    </w:p>
    <w:p>
      <w:pPr>
        <w:pStyle w:val="Institutionquisigne"/>
        <w:rPr>
          <w:noProof/>
        </w:rPr>
      </w:pPr>
      <w:r>
        <w:rPr>
          <w:noProof/>
        </w:rPr>
        <w:tab/>
        <w:t>Za Svet</w:t>
      </w:r>
    </w:p>
    <w:p>
      <w:pPr>
        <w:pStyle w:val="Personnequisigne"/>
        <w:keepNext/>
        <w:rPr>
          <w:noProof/>
        </w:rPr>
      </w:pPr>
      <w:r>
        <w:rPr>
          <w:noProof/>
        </w:rPr>
        <w:tab/>
        <w:t>Predsednik</w:t>
      </w:r>
    </w:p>
    <w:p>
      <w:pPr>
        <w:pStyle w:val="Personnequisigne"/>
        <w:rPr>
          <w:noProof/>
        </w:rPr>
      </w:pPr>
      <w:r>
        <w:rPr>
          <w:noProof/>
        </w:rPr>
        <w:tab/>
      </w:r>
    </w:p>
    <w:sectPr>
      <w:footnotePr>
        <w:numRestart w:val="eachPage"/>
      </w:footnotePr>
      <w:pgSz w:w="11900" w:h="16838"/>
      <w:pgMar w:top="1440" w:right="1440" w:bottom="851" w:left="1440" w:header="0" w:footer="621" w:gutter="0"/>
      <w:cols w:space="0" w:equalWidth="0">
        <w:col w:w="902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Arial"/>
    <w:panose1 w:val="00000000000000000000"/>
    <w:charset w:val="00"/>
    <w:family w:val="roman"/>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UL L 67, 14.3.2017, str. 33.</w:t>
      </w:r>
    </w:p>
  </w:footnote>
  <w:footnote w:id="2">
    <w:p>
      <w:pPr>
        <w:pStyle w:val="FootnoteText"/>
      </w:pPr>
      <w:r>
        <w:rPr>
          <w:rStyle w:val="FootnoteReference"/>
        </w:rPr>
        <w:footnoteRef/>
      </w:r>
      <w:r>
        <w:tab/>
        <w:t>UL L 331, 14.12.2017, str. 1.</w:t>
      </w:r>
    </w:p>
  </w:footnote>
  <w:footnote w:id="3">
    <w:p>
      <w:pPr>
        <w:pStyle w:val="FootnoteText"/>
      </w:pPr>
      <w:r>
        <w:rPr>
          <w:rStyle w:val="FootnoteReference"/>
        </w:rPr>
        <w:footnoteRef/>
      </w:r>
      <w:r>
        <w:tab/>
        <w:t>UL L 331, 14.12.2017, str. 4.</w:t>
      </w:r>
    </w:p>
  </w:footnote>
  <w:footnote w:id="4">
    <w:p>
      <w:pPr>
        <w:pStyle w:val="FootnoteText"/>
      </w:pPr>
      <w:r>
        <w:rPr>
          <w:rStyle w:val="FootnoteReference"/>
        </w:rPr>
        <w:footnoteRef/>
      </w:r>
      <w:r>
        <w:tab/>
        <w:t>Sodba Sodišča z dne 7. oktobra 2014, Nemčija/Svet, C-399/12, ECLI:EU:C:2014:2258, točke 61 do 64.</w:t>
      </w:r>
    </w:p>
  </w:footnote>
  <w:footnote w:id="5">
    <w:p>
      <w:pPr>
        <w:pStyle w:val="FootnoteText"/>
      </w:pPr>
      <w:r>
        <w:rPr>
          <w:rStyle w:val="FootnoteReference"/>
        </w:rPr>
        <w:footnoteRef/>
      </w:r>
      <w:r>
        <w:tab/>
        <w:t xml:space="preserve">Sklep Sveta (EU) 2017/2307 z dne 9. oktobra 2017 o sklenitvi Sporazuma med Evropsko unijo in Republiko Čile o trgovini z ekološkimi proizvodi (UL L 331,  </w:t>
      </w:r>
    </w:p>
    <w:p>
      <w:pPr>
        <w:pStyle w:val="FootnoteText"/>
      </w:pPr>
      <w:r>
        <w:t xml:space="preserve">              14.12.2017,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58884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DDA4E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41C2349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AF0BE6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81ABB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51CDE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154DE60"/>
    <w:lvl w:ilvl="0">
      <w:start w:val="1"/>
      <w:numFmt w:val="decimal"/>
      <w:pStyle w:val="ListNumber"/>
      <w:lvlText w:val="%1."/>
      <w:lvlJc w:val="left"/>
      <w:pPr>
        <w:tabs>
          <w:tab w:val="num" w:pos="360"/>
        </w:tabs>
        <w:ind w:left="360" w:hanging="360"/>
      </w:pPr>
    </w:lvl>
  </w:abstractNum>
  <w:abstractNum w:abstractNumId="7">
    <w:nsid w:val="FFFFFF89"/>
    <w:multiLevelType w:val="singleLevel"/>
    <w:tmpl w:val="93326CF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17 11:03:1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6F7733B0-E7B6-4792-A7AB-DC13DF203FAC"/>
    <w:docVar w:name="LW_COVERPAGE_TYPE" w:val="1"/>
    <w:docVar w:name="LW_CROSSREFERENCE" w:val="&lt;UNUSED&gt;"/>
    <w:docVar w:name="LW_DocType" w:val="COM"/>
    <w:docVar w:name="LW_EMISSION" w:val="26.3.2021"/>
    <w:docVar w:name="LW_EMISSION_ISODATE" w:val="2021-03-26"/>
    <w:docVar w:name="LW_EMISSION_LOCATION" w:val="BRX"/>
    <w:docVar w:name="LW_EMISSION_PREFIX" w:val="Bruselj,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072"/>
    <w:docVar w:name="LW_REF.II.NEW.CP_YEAR" w:val="2021"/>
    <w:docVar w:name="LW_REF.INST.NEW" w:val="COM"/>
    <w:docVar w:name="LW_REF.INST.NEW_ADOPTED" w:val="final"/>
    <w:docVar w:name="LW_REF.INST.NEW_TEXT" w:val="(2021) 1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stali\u353?\u269?u, ki se v imenu Evropske unije zastopa v Skupnem odboru za ekolo\u353?ke proizvode, ustanovljenem s Sporazumom med Evropsko unijo in Republiko \u268?ile o trgovini z ekolo\u353?kimi proizvodi, v zvezi s sprejetjem njegovega poslovnika"/>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
    <w:name w:val="CM1"/>
    <w:basedOn w:val="Default"/>
    <w:next w:val="Default"/>
    <w:uiPriority w:val="99"/>
    <w:rPr>
      <w:rFonts w:eastAsiaTheme="minorHAnsi" w:cstheme="minorBidi"/>
      <w:color w:val="auto"/>
      <w:lang w:eastAsia="en-US"/>
    </w:rPr>
  </w:style>
  <w:style w:type="paragraph" w:customStyle="1" w:styleId="CM3">
    <w:name w:val="CM3"/>
    <w:basedOn w:val="Default"/>
    <w:next w:val="Default"/>
    <w:uiPriority w:val="99"/>
    <w:rPr>
      <w:rFonts w:eastAsiaTheme="minorHAnsi" w:cstheme="minorBidi"/>
      <w:color w:val="auto"/>
      <w:lang w:eastAsia="en-US"/>
    </w:rPr>
  </w:style>
  <w:style w:type="paragraph" w:customStyle="1" w:styleId="CM4">
    <w:name w:val="CM4"/>
    <w:basedOn w:val="Default"/>
    <w:next w:val="Default"/>
    <w:uiPriority w:val="99"/>
    <w:rPr>
      <w:rFonts w:eastAsiaTheme="minorHAnsi" w:cstheme="minorBidi"/>
      <w:color w:val="auto"/>
      <w:lang w:eastAsia="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
    <w:name w:val="CM1"/>
    <w:basedOn w:val="Default"/>
    <w:next w:val="Default"/>
    <w:uiPriority w:val="99"/>
    <w:rPr>
      <w:rFonts w:eastAsiaTheme="minorHAnsi" w:cstheme="minorBidi"/>
      <w:color w:val="auto"/>
      <w:lang w:eastAsia="en-US"/>
    </w:rPr>
  </w:style>
  <w:style w:type="paragraph" w:customStyle="1" w:styleId="CM3">
    <w:name w:val="CM3"/>
    <w:basedOn w:val="Default"/>
    <w:next w:val="Default"/>
    <w:uiPriority w:val="99"/>
    <w:rPr>
      <w:rFonts w:eastAsiaTheme="minorHAnsi" w:cstheme="minorBidi"/>
      <w:color w:val="auto"/>
      <w:lang w:eastAsia="en-US"/>
    </w:rPr>
  </w:style>
  <w:style w:type="paragraph" w:customStyle="1" w:styleId="CM4">
    <w:name w:val="CM4"/>
    <w:basedOn w:val="Default"/>
    <w:next w:val="Default"/>
    <w:uiPriority w:val="99"/>
    <w:rPr>
      <w:rFonts w:eastAsiaTheme="minorHAnsi" w:cstheme="minorBidi"/>
      <w:color w:val="auto"/>
      <w:lang w:eastAsia="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6826">
      <w:bodyDiv w:val="1"/>
      <w:marLeft w:val="0"/>
      <w:marRight w:val="0"/>
      <w:marTop w:val="0"/>
      <w:marBottom w:val="0"/>
      <w:divBdr>
        <w:top w:val="none" w:sz="0" w:space="0" w:color="auto"/>
        <w:left w:val="none" w:sz="0" w:space="0" w:color="auto"/>
        <w:bottom w:val="none" w:sz="0" w:space="0" w:color="auto"/>
        <w:right w:val="none" w:sz="0" w:space="0" w:color="auto"/>
      </w:divBdr>
    </w:div>
    <w:div w:id="1346908024">
      <w:bodyDiv w:val="1"/>
      <w:marLeft w:val="0"/>
      <w:marRight w:val="0"/>
      <w:marTop w:val="0"/>
      <w:marBottom w:val="0"/>
      <w:divBdr>
        <w:top w:val="none" w:sz="0" w:space="0" w:color="auto"/>
        <w:left w:val="none" w:sz="0" w:space="0" w:color="auto"/>
        <w:bottom w:val="none" w:sz="0" w:space="0" w:color="auto"/>
        <w:right w:val="none" w:sz="0" w:space="0" w:color="auto"/>
      </w:divBdr>
    </w:div>
    <w:div w:id="147517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073D769-E6A6-40FB-AB2D-D520D7F9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Pages>
  <Words>789</Words>
  <Characters>4420</Characters>
  <Application>Microsoft Office Word</Application>
  <DocSecurity>0</DocSecurity>
  <Lines>98</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2021-03-10T08:28:00Z</dcterms:created>
  <dcterms:modified xsi:type="dcterms:W3CDTF">2021-03-17T10:03:00Z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