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A8EB3F9-FD80-407B-B4BC-83B2F254E565" style="width:450pt;height:411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Παράρτημα</w:t>
      </w:r>
    </w:p>
    <w:p>
      <w:pPr>
        <w:spacing w:line="0" w:lineRule="atLeast"/>
        <w:ind w:left="180"/>
        <w:rPr>
          <w:rFonts w:eastAsia="Times New Roman"/>
          <w:noProof/>
          <w:sz w:val="23"/>
        </w:rPr>
      </w:pPr>
      <w:r>
        <w:rPr>
          <w:noProof/>
          <w:sz w:val="23"/>
        </w:rPr>
        <w:t xml:space="preserve">ΑΠΟΦΑΣΗ αριθ. 1 της μεικτής επιτροπής για τα βιολογικά προϊόντα </w:t>
      </w:r>
    </w:p>
    <w:p>
      <w:pPr>
        <w:spacing w:line="0" w:lineRule="atLeast"/>
        <w:ind w:left="180"/>
        <w:rPr>
          <w:rFonts w:eastAsia="Times New Roman"/>
          <w:noProof/>
          <w:sz w:val="23"/>
        </w:rPr>
      </w:pPr>
      <w:r>
        <w:rPr>
          <w:noProof/>
          <w:sz w:val="23"/>
        </w:rPr>
        <w:t>της … 2021</w:t>
      </w:r>
    </w:p>
    <w:p>
      <w:pPr>
        <w:spacing w:line="0" w:lineRule="atLeast"/>
        <w:ind w:left="180"/>
        <w:rPr>
          <w:rFonts w:eastAsia="Times New Roman"/>
          <w:noProof/>
          <w:sz w:val="23"/>
        </w:rPr>
      </w:pPr>
      <w:r>
        <w:rPr>
          <w:noProof/>
          <w:sz w:val="23"/>
        </w:rPr>
        <w:t>για τη θέσπιση του εσωτερικού της κανονισμού</w:t>
      </w:r>
    </w:p>
    <w:p>
      <w:pPr>
        <w:rPr>
          <w:b/>
          <w:noProof/>
        </w:rPr>
      </w:pPr>
      <w:r>
        <w:rPr>
          <w:noProof/>
          <w:sz w:val="23"/>
        </w:rPr>
        <w:t>Η ΜΕΙΚΤΗ ΕΠΙΤΡΟΠΗ ΓΙΑ ΤΑ ΒΙΟΛΟΓΙΚΑ ΠΡΟΪΟΝΤΑ</w:t>
      </w:r>
      <w:r>
        <w:rPr>
          <w:b/>
          <w:noProof/>
        </w:rPr>
        <w:t>,</w:t>
      </w:r>
    </w:p>
    <w:p>
      <w:pPr>
        <w:rPr>
          <w:noProof/>
        </w:rPr>
      </w:pPr>
      <w:r>
        <w:rPr>
          <w:noProof/>
        </w:rPr>
        <w:t>Έχοντας υπόψη τη συμφωνία μεταξύ της Ευρωπαϊκής Ένωσης και της Δημοκρατίας της Χιλής σχετικά με το εμπόριο βιολογικών προϊόντων</w:t>
      </w:r>
      <w:r>
        <w:rPr>
          <w:rStyle w:val="FootnoteReference"/>
          <w:noProof/>
        </w:rPr>
        <w:footnoteReference w:id="1"/>
      </w:r>
      <w:r>
        <w:rPr>
          <w:noProof/>
        </w:rPr>
        <w:t xml:space="preserve"> (στο εξής: συμφωνία), και ιδίως το άρθρο 8,</w:t>
      </w:r>
    </w:p>
    <w:p>
      <w:pPr>
        <w:rPr>
          <w:noProof/>
        </w:rPr>
      </w:pPr>
      <w:r>
        <w:rPr>
          <w:noProof/>
        </w:rPr>
        <w:t>Εκτιμώντας τα ακόλουθα:</w:t>
      </w:r>
    </w:p>
    <w:p>
      <w:pPr>
        <w:pStyle w:val="Considrant"/>
        <w:numPr>
          <w:ilvl w:val="0"/>
          <w:numId w:val="17"/>
        </w:numPr>
        <w:rPr>
          <w:noProof/>
        </w:rPr>
      </w:pPr>
      <w:r>
        <w:rPr>
          <w:noProof/>
        </w:rPr>
        <w:t>Σύμφωνα με το άρθρο 8 παράγραφος 5 της συμφωνίας, η μεικτή επιτροπή για τα βιολογικά προϊόντα θεσπίζει τον εσωτερικό της κανονισμό.</w:t>
      </w:r>
    </w:p>
    <w:p>
      <w:pPr>
        <w:pStyle w:val="Considrant"/>
        <w:rPr>
          <w:noProof/>
        </w:rPr>
      </w:pPr>
      <w:r>
        <w:rPr>
          <w:noProof/>
        </w:rPr>
        <w:t>Ως εκ τούτου, ο εσωτερικός κανονισμός θα πρέπει να εγκριθεί,</w:t>
      </w:r>
    </w:p>
    <w:p>
      <w:pPr>
        <w:rPr>
          <w:noProof/>
        </w:rPr>
      </w:pPr>
    </w:p>
    <w:p>
      <w:pPr>
        <w:rPr>
          <w:noProof/>
        </w:rPr>
      </w:pPr>
      <w:r>
        <w:rPr>
          <w:noProof/>
        </w:rPr>
        <w:t>ΕΞΕΔΩΣΕ ΤΗΝ ΠΑΡΟΥΣΑ ΑΠΟΦΑΣΗ:</w:t>
      </w:r>
    </w:p>
    <w:p>
      <w:pPr>
        <w:spacing w:line="0" w:lineRule="atLeast"/>
        <w:ind w:left="180"/>
        <w:rPr>
          <w:rFonts w:eastAsia="Times New Roman"/>
          <w:noProof/>
          <w:sz w:val="23"/>
        </w:rPr>
      </w:pPr>
    </w:p>
    <w:p>
      <w:pPr>
        <w:spacing w:line="0" w:lineRule="atLeast"/>
        <w:ind w:left="180"/>
        <w:rPr>
          <w:rFonts w:eastAsia="Times New Roman"/>
          <w:noProof/>
          <w:sz w:val="23"/>
        </w:rPr>
      </w:pPr>
      <w:r>
        <w:rPr>
          <w:noProof/>
          <w:sz w:val="23"/>
        </w:rPr>
        <w:t>ΕΣΩΤΕΡΙΚΟΣ ΚΑΝΟΝΙΣΜΟΣ ΤΗΣ ΜΕΙΚΤΗΣ ΕΠΙΤΡΟΠΗΣ ΓΙΑ ΤΑ ΒΙΟΛΟΓΙΚΑ ΠΡΟΪΟΝΤΑ</w:t>
      </w:r>
    </w:p>
    <w:p>
      <w:pPr>
        <w:pStyle w:val="Titrearticle"/>
        <w:rPr>
          <w:noProof/>
        </w:rPr>
      </w:pPr>
      <w:r>
        <w:rPr>
          <w:noProof/>
        </w:rPr>
        <w:t>Άρθρο 1</w:t>
      </w:r>
    </w:p>
    <w:p>
      <w:pPr>
        <w:pStyle w:val="Titrearticle"/>
        <w:rPr>
          <w:b/>
          <w:noProof/>
        </w:rPr>
      </w:pPr>
      <w:r>
        <w:rPr>
          <w:b/>
          <w:noProof/>
        </w:rPr>
        <w:t>Σύνθεση και προεδρία</w:t>
      </w:r>
    </w:p>
    <w:p>
      <w:pPr>
        <w:spacing w:line="276" w:lineRule="exact"/>
        <w:rPr>
          <w:rFonts w:eastAsia="Times New Roman"/>
          <w:noProof/>
        </w:rPr>
      </w:pPr>
    </w:p>
    <w:p>
      <w:pPr>
        <w:pStyle w:val="NumPar1"/>
        <w:numPr>
          <w:ilvl w:val="0"/>
          <w:numId w:val="9"/>
        </w:numPr>
        <w:rPr>
          <w:noProof/>
        </w:rPr>
      </w:pPr>
      <w:r>
        <w:rPr>
          <w:noProof/>
        </w:rPr>
        <w:t>Η μεικτή επιτροπή για τα βιολογικά προϊόντα (στο εξής: μεικτή επιτροπή) που έχει συγκροτηθεί δυνάμει του άρθρου 8 της συμφωνίας μεταξύ της Ευρωπαϊκής Ένωσης (στο εξής: ΕΕ) και της Δημοκρατίας της Χιλής (στο εξής: Χιλή) εκτελεί τα καθήκοντά της όπως προβλέπονται στο άρθρο 8 παράγραφος 3 της συμφωνίας.</w:t>
      </w:r>
    </w:p>
    <w:p>
      <w:pPr>
        <w:pStyle w:val="NumPar1"/>
        <w:rPr>
          <w:noProof/>
        </w:rPr>
      </w:pPr>
      <w:r>
        <w:rPr>
          <w:noProof/>
        </w:rPr>
        <w:t>Η μεικτή επιτροπή έχει έναν συμπρόεδρο από την ΕΕ και έναν από τη Χιλή.</w:t>
      </w:r>
    </w:p>
    <w:p>
      <w:pPr>
        <w:pStyle w:val="NumPar1"/>
        <w:rPr>
          <w:noProof/>
        </w:rPr>
      </w:pPr>
      <w:r>
        <w:rPr>
          <w:noProof/>
        </w:rPr>
        <w:t>Κάθε συμπρόεδρος μπορεί να αναθέτει όλα τα καθήκοντά του συμπροέδρου ή ορισμένα από αυτά σε διορισμένο αναπληρωτή· στην περίπτωση αυτή, κάθε αναφορά στον συμπρόεδρο ισχύει εξίσου για τον διορισμένο αναπληρωτή.</w:t>
      </w:r>
    </w:p>
    <w:p>
      <w:pPr>
        <w:pStyle w:val="NumPar1"/>
        <w:rPr>
          <w:noProof/>
        </w:rPr>
      </w:pPr>
      <w:r>
        <w:rPr>
          <w:noProof/>
        </w:rPr>
        <w:t>Κάθε συμπρόεδρος ορίζει ένα πρόσωπο το οποίο είναι αρμόδιο επικοινωνίας για όλα τα θέματα που αφορούν τη μεικτή επιτροπή. Οι αρμόδιοι/-ες επικοινωνίας που ορίζονται από τους συμπροέδρους είναι συνυπεύθυνοι/-ες για τη γραμματειακή υποστήριξη της μεικτής επιτροπής.</w:t>
      </w:r>
    </w:p>
    <w:p>
      <w:pPr>
        <w:pStyle w:val="Titrearticle"/>
        <w:rPr>
          <w:rFonts w:eastAsia="Times New Roman"/>
          <w:i w:val="0"/>
          <w:noProof/>
        </w:rPr>
      </w:pPr>
      <w:r>
        <w:rPr>
          <w:noProof/>
        </w:rPr>
        <w:lastRenderedPageBreak/>
        <w:t>Άρθρο 2</w:t>
      </w:r>
    </w:p>
    <w:p>
      <w:pPr>
        <w:pStyle w:val="Titrearticle"/>
        <w:rPr>
          <w:rFonts w:eastAsia="Times New Roman"/>
          <w:b/>
          <w:noProof/>
        </w:rPr>
      </w:pPr>
      <w:r>
        <w:rPr>
          <w:b/>
          <w:noProof/>
        </w:rPr>
        <w:t>Συνεδριάσεις</w:t>
      </w:r>
    </w:p>
    <w:p>
      <w:pPr>
        <w:rPr>
          <w:noProof/>
        </w:rPr>
      </w:pPr>
      <w:r>
        <w:rPr>
          <w:noProof/>
        </w:rPr>
        <w:t>Η μεικτή επιτροπή συνεδριάζει μία φορά το χρόνο, είτε με φυσική παρουσία, εκ περιτροπής στην ΕΕ και στη Χιλή, είτε με ηλεκτρονικό τρόπο, μέσω εικονοτηλεδιάσκεψης ή τηλεδιάσκεψης. Ο τόπος και ο τρόπος καθορίζονται με αμοιβαία συμφωνία των συμβαλλόμενων μερών, εντός 90 ημερών από την υποβολή αιτήματος ενός από τα δύο συμβαλλόμενα μέρη.</w:t>
      </w:r>
    </w:p>
    <w:p>
      <w:pPr>
        <w:pStyle w:val="Titrearticle"/>
        <w:rPr>
          <w:rFonts w:eastAsia="Times New Roman"/>
          <w:i w:val="0"/>
          <w:noProof/>
        </w:rPr>
      </w:pPr>
      <w:r>
        <w:rPr>
          <w:noProof/>
        </w:rPr>
        <w:t>Άρθρο 3</w:t>
      </w:r>
    </w:p>
    <w:p>
      <w:pPr>
        <w:pStyle w:val="Titrearticle"/>
        <w:rPr>
          <w:rFonts w:eastAsia="Times New Roman"/>
          <w:b/>
          <w:noProof/>
        </w:rPr>
      </w:pPr>
      <w:r>
        <w:rPr>
          <w:b/>
          <w:noProof/>
        </w:rPr>
        <w:t>Γραμματεία</w:t>
      </w:r>
    </w:p>
    <w:p>
      <w:pPr>
        <w:spacing w:line="237" w:lineRule="auto"/>
        <w:ind w:left="140" w:right="266"/>
        <w:rPr>
          <w:rFonts w:eastAsia="Times New Roman"/>
          <w:noProof/>
        </w:rPr>
      </w:pPr>
      <w:r>
        <w:rPr>
          <w:noProof/>
        </w:rPr>
        <w:t xml:space="preserve">Ένας υπάλληλος της Ευρωπαϊκής Επιτροπής και ένας υπάλληλος της </w:t>
      </w:r>
      <w:bookmarkStart w:id="1" w:name="_Hlk18663991"/>
      <w:r>
        <w:rPr>
          <w:noProof/>
        </w:rPr>
        <w:t>γραμματείας διεθνών οικονομικών σχέσεων της Χιλής</w:t>
      </w:r>
      <w:bookmarkEnd w:id="1"/>
      <w:r>
        <w:rPr>
          <w:noProof/>
        </w:rPr>
        <w:t xml:space="preserve"> ενεργούν από κοινού ως γραμματείες της μεικτής επιτροπής.</w:t>
      </w:r>
    </w:p>
    <w:p>
      <w:pPr>
        <w:pStyle w:val="Titrearticle"/>
        <w:rPr>
          <w:rFonts w:eastAsia="Times New Roman"/>
          <w:i w:val="0"/>
          <w:noProof/>
        </w:rPr>
      </w:pPr>
      <w:r>
        <w:rPr>
          <w:noProof/>
        </w:rPr>
        <w:t>Άρθρο 4</w:t>
      </w:r>
    </w:p>
    <w:p>
      <w:pPr>
        <w:pStyle w:val="Titrearticle"/>
        <w:rPr>
          <w:rFonts w:eastAsia="Times New Roman"/>
          <w:b/>
          <w:noProof/>
        </w:rPr>
      </w:pPr>
      <w:r>
        <w:rPr>
          <w:b/>
          <w:noProof/>
        </w:rPr>
        <w:t>Αλληλογραφία</w:t>
      </w:r>
    </w:p>
    <w:p>
      <w:pPr>
        <w:pStyle w:val="NumPar1"/>
        <w:numPr>
          <w:ilvl w:val="0"/>
          <w:numId w:val="10"/>
        </w:numPr>
        <w:rPr>
          <w:noProof/>
        </w:rPr>
      </w:pPr>
      <w:r>
        <w:rPr>
          <w:noProof/>
        </w:rPr>
        <w:t>Αντίγραφο του συνόλου της αλληλογραφίας που αφορά τη μεικτή επιτροπή αποστέλλεται στις δύο γραμματείες.</w:t>
      </w:r>
    </w:p>
    <w:p>
      <w:pPr>
        <w:pStyle w:val="NumPar1"/>
        <w:rPr>
          <w:noProof/>
        </w:rPr>
      </w:pPr>
      <w:bookmarkStart w:id="2" w:name="page3"/>
      <w:bookmarkEnd w:id="2"/>
      <w:r>
        <w:rPr>
          <w:noProof/>
        </w:rPr>
        <w:t>Η αλληλογραφία μπορεί να διεκπεραιώνεται με οποιοδήποτε γραπτό μέσο, συμπεριλαμβανομένου του ηλεκτρονικού ταχυδρομείου.</w:t>
      </w:r>
    </w:p>
    <w:p>
      <w:pPr>
        <w:pStyle w:val="Titrearticle"/>
        <w:rPr>
          <w:rFonts w:eastAsia="Times New Roman"/>
          <w:i w:val="0"/>
          <w:noProof/>
        </w:rPr>
      </w:pPr>
      <w:r>
        <w:rPr>
          <w:noProof/>
        </w:rPr>
        <w:t>Άρθρο 5</w:t>
      </w:r>
    </w:p>
    <w:p>
      <w:pPr>
        <w:pStyle w:val="Titrearticle"/>
        <w:rPr>
          <w:b/>
          <w:noProof/>
        </w:rPr>
      </w:pPr>
      <w:r>
        <w:rPr>
          <w:b/>
          <w:noProof/>
        </w:rPr>
        <w:t>Ημερήσια διάταξη των συνεδριάσεων</w:t>
      </w:r>
    </w:p>
    <w:p>
      <w:pPr>
        <w:pStyle w:val="NumPar1"/>
        <w:numPr>
          <w:ilvl w:val="0"/>
          <w:numId w:val="11"/>
        </w:numPr>
        <w:rPr>
          <w:noProof/>
        </w:rPr>
      </w:pPr>
      <w:r>
        <w:rPr>
          <w:noProof/>
        </w:rPr>
        <w:t>Πριν από κάθε συνεδρίαση, οι γραμματείες καταρτίζουν σχέδιο ημερήσιας διάταξης. Το σχέδιο ημερήσιας διάταξης περιλαμβάνει οποιοδήποτε θέμα καλύπτεται από το άρθρο 8 παράγραφος 3 της συμφωνίας. Το σχέδιο ημερήσιας διάταξης αποστέλλεται στους συμπροέδρους το αργότερο 20 εργάσιμες ημέρες πριν από την έναρξη της συνεδρίασης.</w:t>
      </w:r>
    </w:p>
    <w:p>
      <w:pPr>
        <w:pStyle w:val="NumPar1"/>
        <w:rPr>
          <w:noProof/>
        </w:rPr>
      </w:pPr>
      <w:r>
        <w:rPr>
          <w:noProof/>
        </w:rPr>
        <w:t>Η τελική ημερήσια διάταξη διανέμεται στους συμπροέδρους τουλάχιστον πέντε εργάσιμες ημέρες πριν από την έναρξη της συνεδρίασης.</w:t>
      </w:r>
    </w:p>
    <w:p>
      <w:pPr>
        <w:pStyle w:val="NumPar1"/>
        <w:rPr>
          <w:noProof/>
        </w:rPr>
      </w:pPr>
      <w:r>
        <w:rPr>
          <w:noProof/>
        </w:rPr>
        <w:t>Η ημερήσια διάταξη εγκρίνεται με αμοιβαία συμφωνία των συμπροέδρων κατά την έναρξη κάθε συνεδρίασης. Στην ημερήσια διάταξη μπορεί να εγγραφεί κάθε θέμα πέραν αυτών που ήδη περιλαμβάνονται, εφόσον συμφωνήσουν οι συμπρόεδροι.</w:t>
      </w:r>
    </w:p>
    <w:p>
      <w:pPr>
        <w:pStyle w:val="Titrearticle"/>
        <w:rPr>
          <w:rFonts w:eastAsia="Times New Roman"/>
          <w:i w:val="0"/>
          <w:noProof/>
        </w:rPr>
      </w:pPr>
      <w:r>
        <w:rPr>
          <w:noProof/>
        </w:rPr>
        <w:t>Άρθρο 6</w:t>
      </w:r>
    </w:p>
    <w:p>
      <w:pPr>
        <w:pStyle w:val="Titrearticle"/>
        <w:rPr>
          <w:b/>
          <w:noProof/>
        </w:rPr>
      </w:pPr>
      <w:r>
        <w:rPr>
          <w:b/>
          <w:noProof/>
        </w:rPr>
        <w:t>Τροποποίηση του παραρτήματος I ή του παραρτήματος II της συμφωνίας</w:t>
      </w:r>
    </w:p>
    <w:p>
      <w:pPr>
        <w:pStyle w:val="NumPar1"/>
        <w:numPr>
          <w:ilvl w:val="0"/>
          <w:numId w:val="12"/>
        </w:numPr>
        <w:rPr>
          <w:noProof/>
        </w:rPr>
      </w:pPr>
      <w:r>
        <w:rPr>
          <w:noProof/>
        </w:rPr>
        <w:t>Κάθε συμβαλλόμενο μέρος μπορεί να ζητήσει να προστεθούν, να διαγραφούν ή να επικαιροποιηθούν τα προϊόντα στον κατάλογο προϊόντων του παραρτήματος I ή του παραρτήματος II της συμφωνίας.</w:t>
      </w:r>
    </w:p>
    <w:p>
      <w:pPr>
        <w:pStyle w:val="NumPar1"/>
        <w:rPr>
          <w:noProof/>
        </w:rPr>
      </w:pPr>
      <w:r>
        <w:rPr>
          <w:noProof/>
        </w:rPr>
        <w:t>Το αίτημα αποστέλλεται στους συμπροέδρους τουλάχιστον 10 εργάσιμες ημέρες πριν από την έναρξη της συνεδρίασης.</w:t>
      </w:r>
    </w:p>
    <w:p>
      <w:pPr>
        <w:pStyle w:val="NumPar1"/>
        <w:rPr>
          <w:noProof/>
        </w:rPr>
      </w:pPr>
      <w:r>
        <w:rPr>
          <w:noProof/>
        </w:rPr>
        <w:t>Το αίτημα περιλαμβάνει πλήρη φάκελο που περιέχει τα κύρια επιχειρήματα για την προσθήκη, τη διαγραφή ή την επικαιροποίηση προϊόντων του καταλόγου.</w:t>
      </w:r>
    </w:p>
    <w:p>
      <w:pPr>
        <w:pStyle w:val="NumPar1"/>
        <w:rPr>
          <w:noProof/>
        </w:rPr>
      </w:pPr>
      <w:r>
        <w:rPr>
          <w:noProof/>
        </w:rPr>
        <w:t>Κάθε μέρος εξετάζει το αίτημα του άλλου μέρους με την επιφύλαξη των αντίστοιχων εφαρμοστέων νομικών απαιτήσεων και διαδικασιών.</w:t>
      </w:r>
    </w:p>
    <w:p>
      <w:pPr>
        <w:pStyle w:val="Titrearticle"/>
        <w:rPr>
          <w:rFonts w:eastAsia="Times New Roman"/>
          <w:i w:val="0"/>
          <w:noProof/>
        </w:rPr>
      </w:pPr>
      <w:r>
        <w:rPr>
          <w:noProof/>
        </w:rPr>
        <w:t>Άρθρο 7</w:t>
      </w:r>
    </w:p>
    <w:p>
      <w:pPr>
        <w:pStyle w:val="Titrearticle"/>
        <w:rPr>
          <w:b/>
          <w:noProof/>
        </w:rPr>
      </w:pPr>
      <w:r>
        <w:rPr>
          <w:b/>
          <w:noProof/>
        </w:rPr>
        <w:t>Αποφάσεις και συστάσεις</w:t>
      </w:r>
    </w:p>
    <w:p>
      <w:pPr>
        <w:pStyle w:val="NumPar1"/>
        <w:numPr>
          <w:ilvl w:val="0"/>
          <w:numId w:val="13"/>
        </w:numPr>
        <w:rPr>
          <w:noProof/>
        </w:rPr>
      </w:pPr>
      <w:r>
        <w:rPr>
          <w:noProof/>
        </w:rPr>
        <w:t>Σύμφωνα με το άρθρο 8 παράγραφος 5 της συμφωνίας, η μεικτή επιτροπή μπορεί να διατυπώνει συστάσεις και να εγκρίνει αποφάσεις με συναίνεση.</w:t>
      </w:r>
    </w:p>
    <w:p>
      <w:pPr>
        <w:pStyle w:val="NumPar1"/>
        <w:rPr>
          <w:noProof/>
        </w:rPr>
      </w:pPr>
      <w:r>
        <w:rPr>
          <w:noProof/>
        </w:rPr>
        <w:t>Η μεικτή επιτροπή εκδίδει απόφαση για την τροποποίηση του παραρτήματος I ή του παραρτήματος II της συμφωνίας σύμφωνα με το άρθρο 8 παράγραφος 3 στοιχείο β) της συμφωνίας, εφόσον η ισοδυναμία αναγνωρίζεται από το άλλο μέρος.</w:t>
      </w:r>
    </w:p>
    <w:p>
      <w:pPr>
        <w:pStyle w:val="NumPar1"/>
        <w:rPr>
          <w:noProof/>
        </w:rPr>
      </w:pPr>
      <w:bookmarkStart w:id="3" w:name="page4"/>
      <w:bookmarkEnd w:id="3"/>
      <w:r>
        <w:rPr>
          <w:noProof/>
        </w:rPr>
        <w:t>Οι συστάσεις της μεικτής επιτροπής για την αναθεώρηση της συμφωνίας σύμφωνα με το άρθρο 11 παράγραφος 2 της συμφωνίας απευθύνονται στα συμβαλλόμενα μέρη και φέρουν τις υπογραφές των συμπροέδρων.</w:t>
      </w:r>
    </w:p>
    <w:p>
      <w:pPr>
        <w:pStyle w:val="Titrearticle"/>
        <w:rPr>
          <w:rFonts w:eastAsia="Times New Roman"/>
          <w:i w:val="0"/>
          <w:noProof/>
        </w:rPr>
      </w:pPr>
      <w:r>
        <w:rPr>
          <w:noProof/>
        </w:rPr>
        <w:t>Άρθρο 8</w:t>
      </w:r>
    </w:p>
    <w:p>
      <w:pPr>
        <w:pStyle w:val="Titrearticle"/>
        <w:rPr>
          <w:b/>
          <w:noProof/>
        </w:rPr>
      </w:pPr>
      <w:r>
        <w:rPr>
          <w:b/>
          <w:noProof/>
        </w:rPr>
        <w:t>Πρακτικά</w:t>
      </w:r>
    </w:p>
    <w:p>
      <w:pPr>
        <w:pStyle w:val="NumPar1"/>
        <w:numPr>
          <w:ilvl w:val="0"/>
          <w:numId w:val="14"/>
        </w:numPr>
        <w:rPr>
          <w:noProof/>
        </w:rPr>
      </w:pPr>
      <w:r>
        <w:rPr>
          <w:noProof/>
        </w:rPr>
        <w:t>Οι γραμματείες καταρτίζουν το σχέδιο πρακτικών κάθε συνεδρίασης εντός 30 ημερών από τη λήξη της συνεδρίασης. Στο σχέδιο πρακτικών αναφέρονται οι συστάσεις και/ή οι αποφάσεις που λαμβάνονται και επισημαίνονται τυχόν άλλα συμπεράσματα.</w:t>
      </w:r>
    </w:p>
    <w:p>
      <w:pPr>
        <w:pStyle w:val="NumPar1"/>
        <w:rPr>
          <w:noProof/>
        </w:rPr>
      </w:pPr>
      <w:r>
        <w:rPr>
          <w:noProof/>
        </w:rPr>
        <w:t>Τα πρακτικά εγκρίνονται εγγράφως από αμφότερα τα συμβαλλόμενα μέρη εντός 60 ημερών από την ημερομηνία της συνεδρίασης ή έως όποια άλλη ημερομηνία συμφωνήσουν τα συμβαλλόμενα μέρη. Αφού εγκριθούν τα πρακτικά, δύο πρωτότυπα αντίγραφά τους υπογράφονται από τους συμπροέδρους. Κάθε συμπρόεδρος διατηρεί ένα πρωτότυπο αντίγραφο των πρακτικών.</w:t>
      </w:r>
    </w:p>
    <w:p>
      <w:pPr>
        <w:pStyle w:val="Titrearticle"/>
        <w:rPr>
          <w:rFonts w:eastAsia="Times New Roman"/>
          <w:i w:val="0"/>
          <w:noProof/>
        </w:rPr>
      </w:pPr>
      <w:r>
        <w:rPr>
          <w:noProof/>
        </w:rPr>
        <w:t>Άρθρο 9</w:t>
      </w:r>
    </w:p>
    <w:p>
      <w:pPr>
        <w:pStyle w:val="Titrearticle"/>
        <w:rPr>
          <w:b/>
          <w:noProof/>
        </w:rPr>
      </w:pPr>
      <w:r>
        <w:rPr>
          <w:b/>
          <w:noProof/>
        </w:rPr>
        <w:t>Δαπάνες</w:t>
      </w:r>
    </w:p>
    <w:p>
      <w:pPr>
        <w:pStyle w:val="NumPar1"/>
        <w:numPr>
          <w:ilvl w:val="0"/>
          <w:numId w:val="15"/>
        </w:numPr>
        <w:rPr>
          <w:noProof/>
        </w:rPr>
      </w:pPr>
      <w:r>
        <w:rPr>
          <w:noProof/>
        </w:rPr>
        <w:t>Κάθε συμβαλλόμενο μέρος βαρύνεται με τα έξοδα που συνεπάγεται η συμμετοχή του στις συνεδριάσεις της μεικτής επιτροπής.</w:t>
      </w:r>
    </w:p>
    <w:p>
      <w:pPr>
        <w:pStyle w:val="NumPar1"/>
        <w:numPr>
          <w:ilvl w:val="0"/>
          <w:numId w:val="15"/>
        </w:numPr>
        <w:rPr>
          <w:noProof/>
        </w:rPr>
      </w:pPr>
      <w:r>
        <w:rPr>
          <w:noProof/>
        </w:rPr>
        <w:t>Τις δαπάνες για τη διοργάνωση των συνεδριάσεων και την αναπαραγωγή εγγράφων αναλαμβάνει το συμβαλλόμενο μέρος που φιλοξενεί τη συνεδρίαση.</w:t>
      </w:r>
    </w:p>
    <w:p>
      <w:pPr>
        <w:pStyle w:val="Titrearticle"/>
        <w:rPr>
          <w:rFonts w:eastAsia="Times New Roman"/>
          <w:i w:val="0"/>
          <w:noProof/>
        </w:rPr>
      </w:pPr>
      <w:r>
        <w:rPr>
          <w:noProof/>
        </w:rPr>
        <w:t>Άρθρο 10</w:t>
      </w:r>
    </w:p>
    <w:p>
      <w:pPr>
        <w:pStyle w:val="Titrearticle"/>
        <w:rPr>
          <w:b/>
          <w:noProof/>
        </w:rPr>
      </w:pPr>
      <w:r>
        <w:rPr>
          <w:b/>
          <w:noProof/>
        </w:rPr>
        <w:t>Δημοσιότητα και εμπιστευτικότητα</w:t>
      </w:r>
    </w:p>
    <w:p>
      <w:pPr>
        <w:pStyle w:val="NumPar1"/>
        <w:numPr>
          <w:ilvl w:val="0"/>
          <w:numId w:val="16"/>
        </w:numPr>
        <w:rPr>
          <w:noProof/>
        </w:rPr>
      </w:pPr>
      <w:r>
        <w:rPr>
          <w:noProof/>
        </w:rPr>
        <w:t>Οι συζητήσεις της μεικτής επιτροπής είναι εμπιστευτικές.</w:t>
      </w:r>
    </w:p>
    <w:p>
      <w:pPr>
        <w:pStyle w:val="NumPar1"/>
        <w:numPr>
          <w:ilvl w:val="0"/>
          <w:numId w:val="14"/>
        </w:numPr>
        <w:rPr>
          <w:noProof/>
        </w:rPr>
      </w:pPr>
      <w:r>
        <w:rPr>
          <w:noProof/>
        </w:rPr>
        <w:t>Οι συνεδριάσεις της μεικτής επιτροπής δεν είναι δημόσιες, εκτός εάν οι συμπρόεδροι αποφασίσουν διαφορετικά.</w:t>
      </w:r>
    </w:p>
    <w:p>
      <w:pPr>
        <w:pStyle w:val="NumPar1"/>
        <w:numPr>
          <w:ilvl w:val="0"/>
          <w:numId w:val="14"/>
        </w:numPr>
        <w:rPr>
          <w:noProof/>
        </w:rPr>
      </w:pPr>
      <w:r>
        <w:rPr>
          <w:noProof/>
        </w:rPr>
        <w:t>Όταν ένα συμβαλλόμενο μέρος υποβάλλει πληροφορίες που θεωρούνται εμπιστευτικές σύμφωνα με τους νόμους του, το άλλο συμβαλλόμενο μέρος αντιμετωπίζει τις πληροφορίες αυτές ως εμπιστευτικές, όπως προβλέπεται στο άρθρο 10 της συμφωνίας.</w:t>
      </w:r>
    </w:p>
    <w:p>
      <w:pPr>
        <w:pStyle w:val="NumPar1"/>
        <w:numPr>
          <w:ilvl w:val="0"/>
          <w:numId w:val="14"/>
        </w:numPr>
        <w:rPr>
          <w:noProof/>
        </w:rPr>
      </w:pPr>
      <w:r>
        <w:rPr>
          <w:noProof/>
        </w:rPr>
        <w:t>Κάθε μέρος μπορεί να αποφασίσει να δημοσιεύσει τις αποφάσεις και τις συστάσεις της μεικτής επιτροπής στην αντίστοιχη επίσημη εφημερίδα του.</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331 της 14.12.2017, σ.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1F897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A6D0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846A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5E8A5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0E46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0CC1E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2A97AE"/>
    <w:lvl w:ilvl="0">
      <w:start w:val="1"/>
      <w:numFmt w:val="decimal"/>
      <w:pStyle w:val="ListNumber"/>
      <w:lvlText w:val="%1."/>
      <w:lvlJc w:val="left"/>
      <w:pPr>
        <w:tabs>
          <w:tab w:val="num" w:pos="360"/>
        </w:tabs>
        <w:ind w:left="360" w:hanging="360"/>
      </w:pPr>
    </w:lvl>
  </w:abstractNum>
  <w:abstractNum w:abstractNumId="7">
    <w:nsid w:val="FFFFFF89"/>
    <w:multiLevelType w:val="singleLevel"/>
    <w:tmpl w:val="663EC9E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1:03: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1"/>
    <w:docVar w:name="LW_ANNEX_UNIQUE" w:val="1"/>
    <w:docVar w:name="LW_CORRIGENDUM" w:val="&lt;UNUSED&gt;"/>
    <w:docVar w:name="LW_COVERPAGE_EXISTS" w:val="True"/>
    <w:docVar w:name="LW_COVERPAGE_GUID" w:val="2A8EB3F9-FD80-407B-B4BC-83B2F254E565"/>
    <w:docVar w:name="LW_COVERPAGE_TYPE" w:val="1"/>
    <w:docVar w:name="LW_CROSSREFERENCE" w:val="&lt;UNUSED&gt;"/>
    <w:docVar w:name="LW_DocType" w:val="ANNEX"/>
    <w:docVar w:name="LW_EMISSION" w:val="26.3.2021"/>
    <w:docVar w:name="LW_EMISSION_ISODATE" w:val="2021-03-26"/>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47?\u953?\u945? \u964?\u951? \u952?\u941?\u963?\u951? \u960?\u959?\u965? \u960?\u961?\u941?\u960?\u949?\u953? \u957?\u945? \u955?\u951?\u966?\u952?\u949?\u943? \u949?\u958? \u959?\u957?\u972?\u956?\u945?\u964?\u959?\u962? \u964?\u951?\u962? \u917?\u965?\u961?\u969?\u960?\u945?\u970?\u954?\u942?\u962? \u904?\u957?\u969?\u963?\u951?\u962? \u963?\u964?\u959? \u960?\u955?\u945?\u943?\u963?\u953?\u959? \u964?\u951?\u962? \u956?\u949?\u953?\u954?\u964?\u942?\u962? \u949?\u960?\u953?\u964?\u961?\u959?\u960?\u942?\u962? \u947?\u953?\u945? \u964?\u945? \u946?\u953?\u959?\u955?\u959?\u947?\u953?\u954?\u940? \u960?\u961?\u959?\u970?\u972?\u957?\u964?\u945? \u960?\u959?\u965? \u963?\u965?\u947?\u954?\u961?\u959?\u964?\u942?\u952?\u951?\u954?\u949? \u956?\u949? \u964?\u951? \u963?\u965?\u956?\u966?\u969?\u957?\u943?\u945? \u956?\u949?\u964?\u945?\u958?\u973? \u964?\u951?\u962? \u917?\u965?\u961?\u969?\u960?\u945?\u970?\u954?\u942?\u962? \u904?\u957?\u969?\u963?\u951?\u962? \u954?\u945?\u953? \u964?\u951?\u962? \u916?\u951?\u956?\u959?\u954?\u961?\u945?\u964?\u943?\u945?\u962? \u964?\u951?\u962? \u935?\u953?\u955?\u942?\u962? \u963?\u967?\u949?\u964?\u953?\u954?\u940? \u956?\u949? \u964?\u959? \u949?\u956?\u960?\u972?\u961?\u953?\u959? \u946?\u953?\u959?\u955?\u959?\u947?\u953?\u954?\u974?\u957? \u960?\u961?\u959?\u970?\u972?\u957?\u964?\u969?\u957? \u972?\u963?\u959?\u957? \u945?\u966?\u959?\u961?\u940? \u964?\u951? \u952?\u941?\u963?\u960?\u953?\u963?\u951? \u964?\u959?\u965? \u949?\u963?\u969?\u964?\u949?\u961?\u953?\u954?\u959?\u973? \u964?\u951?\u962? \u954?\u945?\u957?\u959?\u957?\u953?\u963?\u956?\u959?\u973?"/>
    <w:docVar w:name="LW_OBJETACTEPRINCIPAL.CP" w:val="\u947?\u953?\u945? \u964?\u951? \u952?\u941?\u963?\u951? \u960?\u959?\u965? \u960?\u961?\u941?\u960?\u949?\u953? \u957?\u945? \u955?\u951?\u966?\u952?\u949?\u943? \u949?\u958? \u959?\u957?\u972?\u956?\u945?\u964?\u959?\u962? \u964?\u951?\u962? \u917?\u965?\u961?\u969?\u960?\u945?\u970?\u954?\u942?\u962? \u904?\u957?\u969?\u963?\u951?\u962? \u963?\u964?\u959? \u960?\u955?\u945?\u943?\u963?\u953?\u959? \u964?\u951?\u962? \u956?\u949?\u953?\u954?\u964?\u942?\u962? \u949?\u960?\u953?\u964?\u961?\u959?\u960?\u942?\u962? \u947?\u953?\u945? \u964?\u945? \u946?\u953?\u959?\u955?\u959?\u947?\u953?\u954?\u940? \u960?\u961?\u959?\u970?\u972?\u957?\u964?\u945? \u960?\u959?\u965? \u963?\u965?\u947?\u954?\u961?\u959?\u964?\u942?\u952?\u951?\u954?\u949? \u956?\u949? \u964?\u951? \u963?\u965?\u956?\u966?\u969?\u957?\u943?\u945? \u956?\u949?\u964?\u945?\u958?\u973? \u964?\u951?\u962? \u917?\u965?\u961?\u969?\u960?\u945?\u970?\u954?\u942?\u962? \u904?\u957?\u969?\u963?\u951?\u962? \u954?\u945?\u953? \u964?\u951?\u962? \u916?\u951?\u956?\u959?\u954?\u961?\u945?\u964?\u943?\u945?\u962? \u964?\u951?\u962? \u935?\u953?\u955?\u942?\u962? \u963?\u967?\u949?\u964?\u953?\u954?\u940? \u956?\u949? \u964?\u959? \u949?\u956?\u960?\u972?\u961?\u953?\u959? \u946?\u953?\u959?\u955?\u959?\u947?\u953?\u954?\u974?\u957? \u960?\u961?\u959?\u970?\u972?\u957?\u964?\u969?\u957? \u972?\u963?\u959?\u957? \u945?\u966?\u959?\u961?\u940? \u964?\u951? \u952?\u941?\u963?\u960?\u953?\u963?\u951? \u964?\u959?\u965? \u949?\u963?\u969?\u964?\u949?\u961?\u953?\u954?\u959?\u973? \u964?\u951?\u962? \u954?\u945?\u957?\u959?\u957?\u953?\u963?\u956?\u959?\u973?"/>
    <w:docVar w:name="LW_PART_NBR" w:val="1"/>
    <w:docVar w:name="LW_PART_NBR_TOTAL" w:val="1"/>
    <w:docVar w:name="LW_REF.INST.NEW" w:val="COM"/>
    <w:docVar w:name="LW_REF.INST.NEW_ADOPTED" w:val="final"/>
    <w:docVar w:name="LW_REF.INST.NEW_TEXT" w:val="(2021)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28?\u961?\u972?\u964?\u945?\u963?\u951?\u962? \u945?\u960?\u972?\u966?\u945?\u963?\u951?\u962? \u964?\u959?\u965? \u931?\u965?\u956?\u946?\u959?\u965?\u955?\u943?\u959?\u965?"/>
    <w:docVar w:name="LW_TYPEACTEPRINCIPAL.CP" w:val="\u928?\u961?\u972?\u964?\u945?\u963?\u951?\u962? \u945?\u960?\u972?\u966?\u945?\u963?\u951?\u962?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A0D1B-B3D1-46E6-9B54-29582E28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Pages>
  <Words>842</Words>
  <Characters>4894</Characters>
  <Application>Microsoft Office Word</Application>
  <DocSecurity>0</DocSecurity>
  <Lines>113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Stefanie (AGRI)</dc:creator>
  <cp:keywords/>
  <dc:description/>
  <cp:lastModifiedBy>DIGIT/C6</cp:lastModifiedBy>
  <cp:revision>9</cp:revision>
  <dcterms:created xsi:type="dcterms:W3CDTF">2021-03-12T12:21:00Z</dcterms:created>
  <dcterms:modified xsi:type="dcterms:W3CDTF">2021-03-17T10:03:00Z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