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572DCBC-71C9-488B-895D-CC7BCB339BC2" style="width:450.5pt;height:411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w:t>
      </w:r>
    </w:p>
    <w:p>
      <w:pPr>
        <w:spacing w:line="0" w:lineRule="atLeast"/>
        <w:ind w:left="180"/>
        <w:rPr>
          <w:rFonts w:eastAsia="Times New Roman"/>
          <w:noProof/>
          <w:sz w:val="23"/>
        </w:rPr>
      </w:pPr>
      <w:r>
        <w:rPr>
          <w:noProof/>
          <w:sz w:val="23"/>
        </w:rPr>
        <w:t xml:space="preserve">BESLUT nr 1 av gemensamma kommittén för ekologiska produkter </w:t>
      </w:r>
    </w:p>
    <w:p>
      <w:pPr>
        <w:spacing w:line="0" w:lineRule="atLeast"/>
        <w:ind w:left="180"/>
        <w:rPr>
          <w:rFonts w:eastAsia="Times New Roman"/>
          <w:noProof/>
          <w:sz w:val="23"/>
        </w:rPr>
      </w:pPr>
      <w:r>
        <w:rPr>
          <w:noProof/>
          <w:sz w:val="23"/>
        </w:rPr>
        <w:t>av den … 2021</w:t>
      </w:r>
    </w:p>
    <w:p>
      <w:pPr>
        <w:spacing w:line="0" w:lineRule="atLeast"/>
        <w:ind w:left="180"/>
        <w:rPr>
          <w:rFonts w:eastAsia="Times New Roman"/>
          <w:noProof/>
          <w:sz w:val="23"/>
        </w:rPr>
      </w:pPr>
      <w:r>
        <w:rPr>
          <w:noProof/>
          <w:sz w:val="23"/>
        </w:rPr>
        <w:t>om antagande av dess arbetsordning</w:t>
      </w:r>
    </w:p>
    <w:p>
      <w:pPr>
        <w:rPr>
          <w:b/>
          <w:noProof/>
        </w:rPr>
      </w:pPr>
      <w:r>
        <w:rPr>
          <w:noProof/>
          <w:sz w:val="23"/>
        </w:rPr>
        <w:t>GEMENSAMMA KOMMITTÉN FÖR EKOLOGISKA PRODUKTER HAR ANTAGIT DETTA BESLUT</w:t>
      </w:r>
    </w:p>
    <w:p>
      <w:pPr>
        <w:rPr>
          <w:noProof/>
        </w:rPr>
      </w:pPr>
      <w:r>
        <w:rPr>
          <w:noProof/>
        </w:rPr>
        <w:t>med beaktande av avtalet mellan Europeiska unionen och Republiken Chile om handel med ekologiska produkter</w:t>
      </w:r>
      <w:r>
        <w:rPr>
          <w:rStyle w:val="FootnoteReference"/>
          <w:noProof/>
        </w:rPr>
        <w:footnoteReference w:id="1"/>
      </w:r>
      <w:r>
        <w:rPr>
          <w:noProof/>
        </w:rPr>
        <w:t xml:space="preserve"> (</w:t>
      </w:r>
      <w:r>
        <w:rPr>
          <w:i/>
          <w:iCs/>
          <w:noProof/>
        </w:rPr>
        <w:t>avtalet</w:t>
      </w:r>
      <w:r>
        <w:rPr>
          <w:noProof/>
        </w:rPr>
        <w:t>), särskilt artikel 8, och</w:t>
      </w:r>
    </w:p>
    <w:p>
      <w:pPr>
        <w:rPr>
          <w:noProof/>
        </w:rPr>
      </w:pPr>
      <w:r>
        <w:rPr>
          <w:noProof/>
        </w:rPr>
        <w:t>av följande skäl:</w:t>
      </w:r>
    </w:p>
    <w:p>
      <w:pPr>
        <w:pStyle w:val="Considrant"/>
        <w:numPr>
          <w:ilvl w:val="0"/>
          <w:numId w:val="17"/>
        </w:numPr>
        <w:rPr>
          <w:noProof/>
        </w:rPr>
      </w:pPr>
      <w:r>
        <w:rPr>
          <w:noProof/>
        </w:rPr>
        <w:t>Enligt artikel 8.5 i avtalet ska gemensamma kommittén för ekologiska produkter anta sin egen arbetsordning.</w:t>
      </w:r>
    </w:p>
    <w:p>
      <w:pPr>
        <w:pStyle w:val="Considrant"/>
        <w:rPr>
          <w:noProof/>
        </w:rPr>
      </w:pPr>
      <w:r>
        <w:rPr>
          <w:noProof/>
        </w:rPr>
        <w:t>Arbetsordningen bör därför antas.</w:t>
      </w:r>
    </w:p>
    <w:p>
      <w:pPr>
        <w:rPr>
          <w:noProof/>
        </w:rPr>
      </w:pPr>
    </w:p>
    <w:p>
      <w:pPr>
        <w:rPr>
          <w:noProof/>
        </w:rPr>
      </w:pPr>
      <w:r>
        <w:rPr>
          <w:noProof/>
        </w:rPr>
        <w:t>HÄRIGENOM FÖRESKRIVS FÖLJANDE.</w:t>
      </w:r>
    </w:p>
    <w:p>
      <w:pPr>
        <w:spacing w:line="0" w:lineRule="atLeast"/>
        <w:ind w:left="180"/>
        <w:rPr>
          <w:rFonts w:eastAsia="Times New Roman"/>
          <w:noProof/>
          <w:sz w:val="23"/>
        </w:rPr>
      </w:pPr>
    </w:p>
    <w:p>
      <w:pPr>
        <w:spacing w:line="0" w:lineRule="atLeast"/>
        <w:ind w:left="180"/>
        <w:rPr>
          <w:rFonts w:eastAsia="Times New Roman"/>
          <w:noProof/>
          <w:sz w:val="23"/>
        </w:rPr>
      </w:pPr>
      <w:r>
        <w:rPr>
          <w:noProof/>
          <w:sz w:val="23"/>
        </w:rPr>
        <w:t>ARBETSORDNING FÖR GEMENSAMMA KOMMITTÉN FÖR EKOLOGISKA PRODUKTER</w:t>
      </w:r>
    </w:p>
    <w:p>
      <w:pPr>
        <w:pStyle w:val="Titrearticle"/>
        <w:rPr>
          <w:noProof/>
        </w:rPr>
      </w:pPr>
      <w:r>
        <w:rPr>
          <w:noProof/>
        </w:rPr>
        <w:t>Artikel 1</w:t>
      </w:r>
    </w:p>
    <w:p>
      <w:pPr>
        <w:pStyle w:val="Titrearticle"/>
        <w:rPr>
          <w:b/>
          <w:noProof/>
        </w:rPr>
      </w:pPr>
      <w:r>
        <w:rPr>
          <w:b/>
          <w:noProof/>
        </w:rPr>
        <w:t>Sammansättning och ordförandeskap</w:t>
      </w:r>
    </w:p>
    <w:p>
      <w:pPr>
        <w:spacing w:line="276" w:lineRule="exact"/>
        <w:rPr>
          <w:rFonts w:eastAsia="Times New Roman"/>
          <w:noProof/>
        </w:rPr>
      </w:pPr>
    </w:p>
    <w:p>
      <w:pPr>
        <w:pStyle w:val="NumPar1"/>
        <w:numPr>
          <w:ilvl w:val="0"/>
          <w:numId w:val="9"/>
        </w:numPr>
        <w:rPr>
          <w:noProof/>
        </w:rPr>
      </w:pPr>
      <w:r>
        <w:rPr>
          <w:noProof/>
        </w:rPr>
        <w:t>Gemensamma kommittén för ekologiska produkter (</w:t>
      </w:r>
      <w:r>
        <w:rPr>
          <w:i/>
          <w:iCs/>
          <w:noProof/>
        </w:rPr>
        <w:t>gemensamma kommittén</w:t>
      </w:r>
      <w:r>
        <w:rPr>
          <w:noProof/>
        </w:rPr>
        <w:t>) som inrättats i enlighet med artikel 8 i avtalet mellan Europeiska unionen och Republiken Chile ska fullgöra sina skyldigheter enligt artikel 8.3 i avtalet.</w:t>
      </w:r>
    </w:p>
    <w:p>
      <w:pPr>
        <w:pStyle w:val="NumPar1"/>
        <w:rPr>
          <w:noProof/>
        </w:rPr>
      </w:pPr>
      <w:r>
        <w:rPr>
          <w:noProof/>
        </w:rPr>
        <w:t>Gemensamma kommittén ska ha en medordförande från EU och en från Chile.</w:t>
      </w:r>
    </w:p>
    <w:p>
      <w:pPr>
        <w:pStyle w:val="NumPar1"/>
        <w:rPr>
          <w:noProof/>
        </w:rPr>
      </w:pPr>
      <w:r>
        <w:rPr>
          <w:noProof/>
        </w:rPr>
        <w:t>Varje medordförande får delegera samtliga eller delar av sina arbetsuppgifter som medordförande till ett utsett ombud, i vilket fall alla hänvisningar till medordföranden nedan gäller även det utsedda ombudet.</w:t>
      </w:r>
    </w:p>
    <w:p>
      <w:pPr>
        <w:pStyle w:val="NumPar1"/>
        <w:rPr>
          <w:noProof/>
        </w:rPr>
      </w:pPr>
      <w:r>
        <w:rPr>
          <w:noProof/>
        </w:rPr>
        <w:t>Varje medordförande ska utnämna en person som ska vara kontaktperson för alla frågor som rör gemensamma kommittén. De kontaktpersoner som utnämns av medordförandena ska vara gemensamt ansvariga för gemensamma kommitténs sekretariatsuppgifter.</w:t>
      </w:r>
    </w:p>
    <w:p>
      <w:pPr>
        <w:pStyle w:val="Titrearticle"/>
        <w:rPr>
          <w:rFonts w:eastAsia="Times New Roman"/>
          <w:i w:val="0"/>
          <w:noProof/>
        </w:rPr>
      </w:pPr>
      <w:r>
        <w:rPr>
          <w:noProof/>
        </w:rPr>
        <w:t>Artikel 2</w:t>
      </w:r>
    </w:p>
    <w:p>
      <w:pPr>
        <w:pStyle w:val="Titrearticle"/>
        <w:rPr>
          <w:rFonts w:eastAsia="Times New Roman"/>
          <w:b/>
          <w:noProof/>
        </w:rPr>
      </w:pPr>
      <w:r>
        <w:rPr>
          <w:b/>
          <w:noProof/>
        </w:rPr>
        <w:t>Sammanträden</w:t>
      </w:r>
    </w:p>
    <w:p>
      <w:pPr>
        <w:rPr>
          <w:noProof/>
        </w:rPr>
      </w:pPr>
      <w:r>
        <w:rPr>
          <w:noProof/>
        </w:rPr>
        <w:t>Gemensamma kommittén ska sammanträda en gång per år, antingen på plats i EU eller i Chile, eller digitalt via video- eller telefonkonferens. Parterna ska gemensamt komma överens om plats och sätt, dock senast 90 dagar från det att begäran ingavs av någon av parterna.</w:t>
      </w:r>
    </w:p>
    <w:p>
      <w:pPr>
        <w:pStyle w:val="Titrearticle"/>
        <w:rPr>
          <w:rFonts w:eastAsia="Times New Roman"/>
          <w:i w:val="0"/>
          <w:noProof/>
        </w:rPr>
      </w:pPr>
      <w:r>
        <w:rPr>
          <w:noProof/>
        </w:rPr>
        <w:lastRenderedPageBreak/>
        <w:t>Artikel 3</w:t>
      </w:r>
    </w:p>
    <w:p>
      <w:pPr>
        <w:pStyle w:val="Titrearticle"/>
        <w:rPr>
          <w:rFonts w:eastAsia="Times New Roman"/>
          <w:b/>
          <w:noProof/>
        </w:rPr>
      </w:pPr>
      <w:r>
        <w:rPr>
          <w:b/>
          <w:noProof/>
        </w:rPr>
        <w:t>Sekretariat</w:t>
      </w:r>
    </w:p>
    <w:p>
      <w:pPr>
        <w:spacing w:line="237" w:lineRule="auto"/>
        <w:ind w:left="140" w:right="266"/>
        <w:rPr>
          <w:rFonts w:eastAsia="Times New Roman"/>
          <w:noProof/>
        </w:rPr>
      </w:pPr>
      <w:r>
        <w:rPr>
          <w:noProof/>
        </w:rPr>
        <w:t xml:space="preserve">En tjänsteperson vid Europeiska kommissionen och en tjänsteperson vid </w:t>
      </w:r>
      <w:bookmarkStart w:id="1" w:name="_Hlk18663991"/>
      <w:r>
        <w:rPr>
          <w:noProof/>
        </w:rPr>
        <w:t>sekretariatet för Chiles internationella ekonomiska förbindelser</w:t>
      </w:r>
      <w:bookmarkEnd w:id="1"/>
      <w:r>
        <w:rPr>
          <w:noProof/>
        </w:rPr>
        <w:t xml:space="preserve"> ska gemensamt fungera som sekretariat för gemensamma kommittén.</w:t>
      </w:r>
    </w:p>
    <w:p>
      <w:pPr>
        <w:pStyle w:val="Titrearticle"/>
        <w:rPr>
          <w:rFonts w:eastAsia="Times New Roman"/>
          <w:i w:val="0"/>
          <w:noProof/>
        </w:rPr>
      </w:pPr>
      <w:r>
        <w:rPr>
          <w:noProof/>
        </w:rPr>
        <w:t>Artikel 4</w:t>
      </w:r>
    </w:p>
    <w:p>
      <w:pPr>
        <w:pStyle w:val="Titrearticle"/>
        <w:rPr>
          <w:rFonts w:eastAsia="Times New Roman"/>
          <w:b/>
          <w:noProof/>
        </w:rPr>
      </w:pPr>
      <w:r>
        <w:rPr>
          <w:b/>
          <w:noProof/>
        </w:rPr>
        <w:t>Korrespondens</w:t>
      </w:r>
    </w:p>
    <w:p>
      <w:pPr>
        <w:pStyle w:val="NumPar1"/>
        <w:numPr>
          <w:ilvl w:val="0"/>
          <w:numId w:val="10"/>
        </w:numPr>
        <w:rPr>
          <w:noProof/>
        </w:rPr>
      </w:pPr>
      <w:r>
        <w:rPr>
          <w:noProof/>
        </w:rPr>
        <w:t>En kopia över alla korrespondens med koppling till gemensamma kommittén ska sändas till de två sekretariaten.</w:t>
      </w:r>
    </w:p>
    <w:p>
      <w:pPr>
        <w:pStyle w:val="NumPar1"/>
        <w:rPr>
          <w:noProof/>
        </w:rPr>
      </w:pPr>
      <w:bookmarkStart w:id="2" w:name="page3"/>
      <w:bookmarkEnd w:id="2"/>
      <w:r>
        <w:rPr>
          <w:noProof/>
        </w:rPr>
        <w:t>Korrespondensen kan framföras i valfritt skriftligt format, även e-post.</w:t>
      </w:r>
    </w:p>
    <w:p>
      <w:pPr>
        <w:pStyle w:val="Titrearticle"/>
        <w:rPr>
          <w:rFonts w:eastAsia="Times New Roman"/>
          <w:i w:val="0"/>
          <w:noProof/>
        </w:rPr>
      </w:pPr>
      <w:r>
        <w:rPr>
          <w:noProof/>
        </w:rPr>
        <w:t>Artikel 5</w:t>
      </w:r>
    </w:p>
    <w:p>
      <w:pPr>
        <w:pStyle w:val="Titrearticle"/>
        <w:rPr>
          <w:b/>
          <w:noProof/>
        </w:rPr>
      </w:pPr>
      <w:r>
        <w:rPr>
          <w:b/>
          <w:noProof/>
        </w:rPr>
        <w:t>Dagordning för sammanträdena</w:t>
      </w:r>
    </w:p>
    <w:p>
      <w:pPr>
        <w:pStyle w:val="NumPar1"/>
        <w:numPr>
          <w:ilvl w:val="0"/>
          <w:numId w:val="11"/>
        </w:numPr>
        <w:rPr>
          <w:noProof/>
        </w:rPr>
      </w:pPr>
      <w:r>
        <w:rPr>
          <w:noProof/>
        </w:rPr>
        <w:t>Sekretariaten ska upprätta ett förslag till dagordning före varje sammanträde. Alla punkter som omfattas av artikel 8.3 i avtalet ska tas upp på förslaget till dagordning. Förslaget till dagordning ska sändas till medordförandena senast 20 arbetsdagar före sammanträdet.</w:t>
      </w:r>
    </w:p>
    <w:p>
      <w:pPr>
        <w:pStyle w:val="NumPar1"/>
        <w:rPr>
          <w:noProof/>
        </w:rPr>
      </w:pPr>
      <w:r>
        <w:rPr>
          <w:noProof/>
        </w:rPr>
        <w:t>Den slutliga dagordningen ska sändas till medordförandena senast fem arbetsdagar före sammanträdet.</w:t>
      </w:r>
    </w:p>
    <w:p>
      <w:pPr>
        <w:pStyle w:val="NumPar1"/>
        <w:rPr>
          <w:noProof/>
        </w:rPr>
      </w:pPr>
      <w:r>
        <w:rPr>
          <w:noProof/>
        </w:rPr>
        <w:t>Dagordningen ska antas gemensamt av medordförandena i början av varje sammanträde. Andra punkter än de som är uppsatta på dagordningen får, om medordförandena är överens om det, föras upp på dagordningen.</w:t>
      </w:r>
    </w:p>
    <w:p>
      <w:pPr>
        <w:pStyle w:val="Titrearticle"/>
        <w:rPr>
          <w:rFonts w:eastAsia="Times New Roman"/>
          <w:i w:val="0"/>
          <w:noProof/>
        </w:rPr>
      </w:pPr>
      <w:r>
        <w:rPr>
          <w:noProof/>
        </w:rPr>
        <w:t>Artikel 6</w:t>
      </w:r>
    </w:p>
    <w:p>
      <w:pPr>
        <w:pStyle w:val="Titrearticle"/>
        <w:rPr>
          <w:b/>
          <w:noProof/>
        </w:rPr>
      </w:pPr>
      <w:r>
        <w:rPr>
          <w:b/>
          <w:noProof/>
        </w:rPr>
        <w:t>Ändring av bilaga I eller bilaga II till avtalet</w:t>
      </w:r>
    </w:p>
    <w:p>
      <w:pPr>
        <w:pStyle w:val="NumPar1"/>
        <w:numPr>
          <w:ilvl w:val="0"/>
          <w:numId w:val="12"/>
        </w:numPr>
        <w:rPr>
          <w:noProof/>
        </w:rPr>
      </w:pPr>
      <w:r>
        <w:rPr>
          <w:noProof/>
        </w:rPr>
        <w:t>Någon av parterna kan begära att lägga till, ta bort eller uppdatera produkter i produktförteckningen i bilaga I eller bilaga II till avtalet.</w:t>
      </w:r>
    </w:p>
    <w:p>
      <w:pPr>
        <w:pStyle w:val="NumPar1"/>
        <w:rPr>
          <w:noProof/>
        </w:rPr>
      </w:pPr>
      <w:r>
        <w:rPr>
          <w:noProof/>
        </w:rPr>
        <w:t>Begäran ska sändas till medordförandena minst 10 arbetsdagar före sammanträdet.</w:t>
      </w:r>
    </w:p>
    <w:p>
      <w:pPr>
        <w:pStyle w:val="NumPar1"/>
        <w:rPr>
          <w:noProof/>
        </w:rPr>
      </w:pPr>
      <w:r>
        <w:rPr>
          <w:noProof/>
        </w:rPr>
        <w:t>Begäran ska inbegripa fullständig dokumentation som innehåller de huvudsakliga anledningarna att lägga till, ta bort eller uppdatera produkterna i förteckningen.</w:t>
      </w:r>
    </w:p>
    <w:p>
      <w:pPr>
        <w:pStyle w:val="NumPar1"/>
        <w:rPr>
          <w:noProof/>
        </w:rPr>
      </w:pPr>
      <w:r>
        <w:rPr>
          <w:noProof/>
        </w:rPr>
        <w:t>Parterna ska undersöka den andra partens begäran i enlighet med sina respektive tillämpliga rättsliga krav och förfaranden.</w:t>
      </w:r>
    </w:p>
    <w:p>
      <w:pPr>
        <w:pStyle w:val="Titrearticle"/>
        <w:rPr>
          <w:rFonts w:eastAsia="Times New Roman"/>
          <w:i w:val="0"/>
          <w:noProof/>
        </w:rPr>
      </w:pPr>
      <w:r>
        <w:rPr>
          <w:noProof/>
        </w:rPr>
        <w:t>Artikel 7</w:t>
      </w:r>
    </w:p>
    <w:p>
      <w:pPr>
        <w:pStyle w:val="Titrearticle"/>
        <w:rPr>
          <w:b/>
          <w:noProof/>
        </w:rPr>
      </w:pPr>
      <w:r>
        <w:rPr>
          <w:b/>
          <w:noProof/>
        </w:rPr>
        <w:t>Beslut och rekommendationer</w:t>
      </w:r>
    </w:p>
    <w:p>
      <w:pPr>
        <w:pStyle w:val="NumPar1"/>
        <w:numPr>
          <w:ilvl w:val="0"/>
          <w:numId w:val="13"/>
        </w:numPr>
        <w:rPr>
          <w:noProof/>
        </w:rPr>
      </w:pPr>
      <w:r>
        <w:rPr>
          <w:noProof/>
        </w:rPr>
        <w:t>Gemensamma kommittén får utfärda rekommendationer och anta beslut med enhällighet i enlighet med artikel 8.5 i avtalet.</w:t>
      </w:r>
    </w:p>
    <w:p>
      <w:pPr>
        <w:pStyle w:val="NumPar1"/>
        <w:rPr>
          <w:noProof/>
        </w:rPr>
      </w:pPr>
      <w:r>
        <w:rPr>
          <w:noProof/>
        </w:rPr>
        <w:t>Gemensamma kommittén ska anta ett beslut om ändring av bilaga I eller bilaga II till avtalet i enlighet med artikel 8.3 b i avtalet om likvärdigheten erkänns av den andra parten.</w:t>
      </w:r>
    </w:p>
    <w:p>
      <w:pPr>
        <w:pStyle w:val="NumPar1"/>
        <w:rPr>
          <w:noProof/>
        </w:rPr>
      </w:pPr>
      <w:bookmarkStart w:id="3" w:name="page4"/>
      <w:bookmarkEnd w:id="3"/>
      <w:r>
        <w:rPr>
          <w:noProof/>
        </w:rPr>
        <w:t>Gemensamma kommitténs rekommendationer för att granska avtalet i enlighet med artikel 11.2 i avtalet ska sändas till parterna och vara undertecknade av medordförandena.</w:t>
      </w:r>
    </w:p>
    <w:p>
      <w:pPr>
        <w:pStyle w:val="Titrearticle"/>
        <w:rPr>
          <w:rFonts w:eastAsia="Times New Roman"/>
          <w:i w:val="0"/>
          <w:noProof/>
        </w:rPr>
      </w:pPr>
      <w:r>
        <w:rPr>
          <w:noProof/>
        </w:rPr>
        <w:t>Artikel 8</w:t>
      </w:r>
    </w:p>
    <w:p>
      <w:pPr>
        <w:pStyle w:val="Titrearticle"/>
        <w:rPr>
          <w:b/>
          <w:noProof/>
        </w:rPr>
      </w:pPr>
      <w:r>
        <w:rPr>
          <w:b/>
          <w:noProof/>
        </w:rPr>
        <w:t>Protokoll</w:t>
      </w:r>
    </w:p>
    <w:p>
      <w:pPr>
        <w:pStyle w:val="NumPar1"/>
        <w:numPr>
          <w:ilvl w:val="0"/>
          <w:numId w:val="14"/>
        </w:numPr>
        <w:rPr>
          <w:noProof/>
        </w:rPr>
      </w:pPr>
      <w:r>
        <w:rPr>
          <w:noProof/>
        </w:rPr>
        <w:t>Ett utkast till protokoll ska utarbetas av sekretariaten senast 30 dagar efter sammanträdets slut. De rekommendationer som utfärdats och/eller de beslut som antagits samt alla andra slutsatser som nåtts ska noteras i utkastet till protokoll.</w:t>
      </w:r>
    </w:p>
    <w:p>
      <w:pPr>
        <w:pStyle w:val="NumPar1"/>
        <w:rPr>
          <w:noProof/>
        </w:rPr>
      </w:pPr>
      <w:r>
        <w:rPr>
          <w:noProof/>
        </w:rPr>
        <w:t>Protokollet ska godkännas skriftligt av båda parterna inom 60 dagar efter sammanträdet eller inom en annan tidsfrist som parterna har enats om. När protokollet godkänts ska två exemplar av originalet undertecknas av medordförandena. Vardera medordförande ska behålla ett exemplar av originalet.</w:t>
      </w:r>
    </w:p>
    <w:p>
      <w:pPr>
        <w:pStyle w:val="Titrearticle"/>
        <w:rPr>
          <w:rFonts w:eastAsia="Times New Roman"/>
          <w:i w:val="0"/>
          <w:noProof/>
        </w:rPr>
      </w:pPr>
      <w:r>
        <w:rPr>
          <w:noProof/>
        </w:rPr>
        <w:t>Artikel 9</w:t>
      </w:r>
    </w:p>
    <w:p>
      <w:pPr>
        <w:pStyle w:val="Titrearticle"/>
        <w:rPr>
          <w:b/>
          <w:noProof/>
        </w:rPr>
      </w:pPr>
      <w:r>
        <w:rPr>
          <w:b/>
          <w:noProof/>
        </w:rPr>
        <w:t>Kostnader</w:t>
      </w:r>
    </w:p>
    <w:p>
      <w:pPr>
        <w:pStyle w:val="NumPar1"/>
        <w:numPr>
          <w:ilvl w:val="0"/>
          <w:numId w:val="15"/>
        </w:numPr>
        <w:rPr>
          <w:noProof/>
        </w:rPr>
      </w:pPr>
      <w:r>
        <w:rPr>
          <w:noProof/>
        </w:rPr>
        <w:t>Parterna ska själva stå för de kostnader som uppstår för deltagandet i gemensamma kommitténs sammanträden.</w:t>
      </w:r>
    </w:p>
    <w:p>
      <w:pPr>
        <w:pStyle w:val="NumPar1"/>
        <w:numPr>
          <w:ilvl w:val="0"/>
          <w:numId w:val="15"/>
        </w:numPr>
        <w:rPr>
          <w:noProof/>
        </w:rPr>
      </w:pPr>
      <w:r>
        <w:rPr>
          <w:noProof/>
        </w:rPr>
        <w:t>Den part som är värd för ett sammanträde ska stå för kostnaderna för att anordna sammanträdet och för mångfaldigandet av handlingar.</w:t>
      </w:r>
    </w:p>
    <w:p>
      <w:pPr>
        <w:pStyle w:val="Titrearticle"/>
        <w:rPr>
          <w:rFonts w:eastAsia="Times New Roman"/>
          <w:i w:val="0"/>
          <w:noProof/>
        </w:rPr>
      </w:pPr>
      <w:r>
        <w:rPr>
          <w:noProof/>
        </w:rPr>
        <w:t>Artikel 10</w:t>
      </w:r>
    </w:p>
    <w:p>
      <w:pPr>
        <w:pStyle w:val="Titrearticle"/>
        <w:rPr>
          <w:b/>
          <w:noProof/>
        </w:rPr>
      </w:pPr>
      <w:r>
        <w:rPr>
          <w:b/>
          <w:noProof/>
        </w:rPr>
        <w:t>Offentliggörande och konfidentiell behandling</w:t>
      </w:r>
    </w:p>
    <w:p>
      <w:pPr>
        <w:pStyle w:val="NumPar1"/>
        <w:numPr>
          <w:ilvl w:val="0"/>
          <w:numId w:val="16"/>
        </w:numPr>
        <w:rPr>
          <w:noProof/>
        </w:rPr>
      </w:pPr>
      <w:r>
        <w:rPr>
          <w:noProof/>
        </w:rPr>
        <w:t>Gemensamma kommitténs överläggningar ska vara konfidentiella.</w:t>
      </w:r>
    </w:p>
    <w:p>
      <w:pPr>
        <w:pStyle w:val="NumPar1"/>
        <w:numPr>
          <w:ilvl w:val="0"/>
          <w:numId w:val="14"/>
        </w:numPr>
        <w:rPr>
          <w:noProof/>
        </w:rPr>
      </w:pPr>
      <w:r>
        <w:rPr>
          <w:noProof/>
        </w:rPr>
        <w:t>Om inget annat beslutas av medordförandena ska gemensamma kommitténs möten inte vara offentliga.</w:t>
      </w:r>
    </w:p>
    <w:p>
      <w:pPr>
        <w:pStyle w:val="NumPar1"/>
        <w:numPr>
          <w:ilvl w:val="0"/>
          <w:numId w:val="14"/>
        </w:numPr>
        <w:rPr>
          <w:noProof/>
        </w:rPr>
      </w:pPr>
      <w:r>
        <w:rPr>
          <w:noProof/>
        </w:rPr>
        <w:t>Om en part överlämnar uppgifter som betraktas som konfidentiella enligt partens lagar, ska den andra parten, i enlighet med artikel 10 i avtalet, iaktta konfidentialitet beträffande dessa uppgifter.</w:t>
      </w:r>
    </w:p>
    <w:p>
      <w:pPr>
        <w:pStyle w:val="NumPar1"/>
        <w:numPr>
          <w:ilvl w:val="0"/>
          <w:numId w:val="14"/>
        </w:numPr>
        <w:rPr>
          <w:noProof/>
        </w:rPr>
      </w:pPr>
      <w:r>
        <w:rPr>
          <w:noProof/>
        </w:rPr>
        <w:t>Varje part får besluta om offentliggörande av gemensamma kommitténs beslut och rekommendationer i sin respektive officiella tidning.</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331, 14.12.2017, 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1F89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A6D0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846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E8A5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0E46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CC1E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2A97AE"/>
    <w:lvl w:ilvl="0">
      <w:start w:val="1"/>
      <w:numFmt w:val="decimal"/>
      <w:pStyle w:val="ListNumber"/>
      <w:lvlText w:val="%1."/>
      <w:lvlJc w:val="left"/>
      <w:pPr>
        <w:tabs>
          <w:tab w:val="num" w:pos="360"/>
        </w:tabs>
        <w:ind w:left="360" w:hanging="360"/>
      </w:pPr>
    </w:lvl>
  </w:abstractNum>
  <w:abstractNum w:abstractNumId="7">
    <w:nsid w:val="FFFFFF89"/>
    <w:multiLevelType w:val="singleLevel"/>
    <w:tmpl w:val="663EC9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1:04: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9572DCBC-71C9-488B-895D-CC7BCB339BC2"/>
    <w:docVar w:name="LW_COVERPAGE_TYPE" w:val="1"/>
    <w:docVar w:name="LW_CROSSREFERENCE" w:val="&lt;UNUSED&gt;"/>
    <w:docVar w:name="LW_DocType" w:val="ANNEX"/>
    <w:docVar w:name="LW_EMISSION" w:val="26.3.2021"/>
    <w:docVar w:name="LW_EMISSION_ISODATE" w:val="2021-03-26"/>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lt;FMT:Bold&gt;om den ståndpunkt som ska intas på Europeiska unionens vägnar i gemensamma kommittén för ekologiska produkter som inrättats genom avtalet mellan Europeiska unionen och Republiken Chile om handel med ekologiska produkter vad gäller antagandet av kommitténs arbetsordning&lt;/FMT&gt;"/>
    <w:docVar w:name="LW_OBJETACTEPRINCIPAL.CP" w:val="&lt;FMT:Bold&gt;om den ståndpunkt som ska intas på Europeiska unionens vägnar i gemensamma kommittén för ekologiska produkter som inrättats genom avtalet mellan Europeiska unionen och Republiken Chile om handel med ekologiska produkter vad gäller antagandet av kommitténs arbetsordning&lt;/FMT&gt;"/>
    <w:docVar w:name="LW_PART_NBR" w:val="1"/>
    <w:docVar w:name="LW_PART_NBR_TOTAL" w:val="1"/>
    <w:docVar w:name="LW_REF.INST.NEW" w:val="COM"/>
    <w:docVar w:name="LW_REF.INST.NEW_ADOPTED" w:val="final"/>
    <w:docVar w:name="LW_REF.INST.NEW_TEXT" w:val="(2021)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6FF8C6-696B-46D5-8A86-1584A5CD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736</Words>
  <Characters>4425</Characters>
  <Application>Microsoft Office Word</Application>
  <DocSecurity>0</DocSecurity>
  <Lines>102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Stina (DGT)</dc:creator>
  <cp:keywords/>
  <dc:description/>
  <cp:lastModifiedBy>WES PDFC Administrator</cp:lastModifiedBy>
  <cp:revision>9</cp:revision>
  <dcterms:created xsi:type="dcterms:W3CDTF">2021-03-12T14:07:00Z</dcterms:created>
  <dcterms:modified xsi:type="dcterms:W3CDTF">2021-03-17T10:04:00Z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