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21040CE-0F05-41B1-A86A-FAAE9904E8B8" style="width:451.25pt;height:352.45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widowControl w:val="0"/>
        <w:shd w:val="clear" w:color="auto" w:fill="FFFFFF"/>
        <w:autoSpaceDE w:val="0"/>
        <w:autoSpaceDN w:val="0"/>
        <w:adjustRightInd w:val="0"/>
        <w:spacing w:before="230" w:after="0" w:line="269" w:lineRule="exact"/>
        <w:rPr>
          <w:noProof/>
        </w:rPr>
      </w:pPr>
      <w:r>
        <w:rPr>
          <w:noProof/>
        </w:rPr>
        <w:t>În conformitate cu articolul 395 alineatul (1) din Directiva 2006/112/CE a Consiliului din 28 noiembrie 2006 privind sistemul comun al taxei pe valoarea adăugată</w:t>
      </w:r>
      <w:r>
        <w:rPr>
          <w:rStyle w:val="FootnoteReference"/>
          <w:noProof/>
        </w:rPr>
        <w:footnoteReference w:id="2"/>
      </w:r>
      <w:r>
        <w:rPr>
          <w:noProof/>
        </w:rPr>
        <w:t xml:space="preserve"> (denumită în continuare „Directiva TVA”), Consiliul, hotărând în unanimitate la propunerea Comisiei, poate autoriza orice stat membru să aplice măsuri speciale de derogare de la dispozițiile directivei respective pentru a simplifica procedura de colectare a TVA sau pentru a preveni anumite forme de evaziune fiscală sau de evitare a obligațiilor fiscale.</w:t>
      </w:r>
    </w:p>
    <w:p>
      <w:pPr>
        <w:widowControl w:val="0"/>
        <w:shd w:val="clear" w:color="auto" w:fill="FFFFFF"/>
        <w:autoSpaceDE w:val="0"/>
        <w:autoSpaceDN w:val="0"/>
        <w:adjustRightInd w:val="0"/>
        <w:spacing w:before="230" w:after="0" w:line="269" w:lineRule="exact"/>
        <w:rPr>
          <w:noProof/>
        </w:rPr>
      </w:pPr>
      <w:r>
        <w:rPr>
          <w:noProof/>
        </w:rPr>
        <w:t>Prin scrisoarea înregistrată de Comisie la 20 octombrie 2020, Malta a solicitat autorizarea de beneficia, până la 31 decembrie 2024, de un prag majorat pentru o măsură existentă de derogare de la articolul 287 din Directiva TVA care îi permite Maltei să scutească de la plata TVA persoanele impozabile a căror cifră de afaceri anuală nu depășește 30 000 EUR. Comisia a solicitat informații suplimentare referitoare la cerere, care au fost furnizate prin scrisoarea înregistrată de Comisie la 9 noiembrie 2020.</w:t>
      </w:r>
    </w:p>
    <w:p>
      <w:pPr>
        <w:widowControl w:val="0"/>
        <w:shd w:val="clear" w:color="auto" w:fill="FFFFFF"/>
        <w:autoSpaceDE w:val="0"/>
        <w:autoSpaceDN w:val="0"/>
        <w:adjustRightInd w:val="0"/>
        <w:spacing w:before="230" w:after="0" w:line="269" w:lineRule="exact"/>
        <w:rPr>
          <w:noProof/>
        </w:rPr>
      </w:pPr>
      <w:r>
        <w:rPr>
          <w:noProof/>
        </w:rPr>
        <w:t>În conformitate cu articolul 395 alineatul (2) din Directiva TVA, Comisia a informat celelalte state membre, printr-o scrisoare din data de 17 decembrie 2020, cu privire la cererea înaintată de Malta. Printr-o scrisoare din data de 18 decembrie 2020, Comisia a informat Malta că dispune de toate informațiile necesare pentru a analiza cererea.</w:t>
      </w:r>
    </w:p>
    <w:p>
      <w:pPr>
        <w:rPr>
          <w:noProof/>
        </w:rPr>
      </w:pP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t>Motivele și obiectivele propunerii</w:t>
      </w:r>
    </w:p>
    <w:p>
      <w:pPr>
        <w:pBdr>
          <w:top w:val="nil"/>
          <w:left w:val="nil"/>
          <w:bottom w:val="nil"/>
          <w:right w:val="nil"/>
          <w:between w:val="nil"/>
          <w:bar w:val="nil"/>
        </w:pBdr>
        <w:spacing w:before="0" w:after="240"/>
        <w:rPr>
          <w:rFonts w:eastAsia="Arial Unicode MS"/>
          <w:noProof/>
        </w:rPr>
      </w:pPr>
      <w:r>
        <w:rPr>
          <w:noProof/>
        </w:rPr>
        <w:t>Titlul XII capitolul 1 din Directiva TVA prevede posibilitatea ca statele membre să aplice regimuri speciale pentru întreprinderile mici, inclusiv posibilitatea de a scuti persoanele impozabile a căror cifră de afaceri anuală se situează sub un anumit prag. Această scutire presupune că o persoană impozabilă nu este obligată să perceapă TVA pentru livrările sale și, în consecință, nu poate deduce TVA aferentă achizițiilor sale.</w:t>
      </w:r>
    </w:p>
    <w:p>
      <w:pPr>
        <w:rPr>
          <w:noProof/>
        </w:rPr>
      </w:pPr>
      <w:r>
        <w:rPr>
          <w:noProof/>
        </w:rPr>
        <w:t xml:space="preserve">În conformitate cu articolul 287 din Directiva TVA, unele state membre care au aderat după 1 ianuarie 1978 pot scuti persoanele impozabile a căror cifră de afaceri anuală este egală cu cel mult echivalentul în monedă națională al sumelor menționate în dispoziția respectivă, la cursul de schimb din ziua aderării lor. Malta a început să utilizeze moneda euro la 1 ianuarie 2008. </w:t>
      </w:r>
    </w:p>
    <w:p>
      <w:pPr>
        <w:rPr>
          <w:noProof/>
        </w:rPr>
      </w:pPr>
      <w:r>
        <w:rPr>
          <w:noProof/>
        </w:rPr>
        <w:t>În conformitate cu articolul 287 punctul 13 din Directiva TVA, Malta poate acorda scutire de la plata TVA pentru trei categorii de persoane impozabile: persoanele impozabile a căror cifră de afaceri anuală nu depășește 37 000 EUR, în cazul în care activitatea economică constă în principal în livrarea de bunuri; 24 300 EUR, în cazul în care activitatea economică constă în principal în prestarea de servicii cu o valoare adăugată scăzută (inputuri ridicate); și 14 600 EUR în alte cazuri, și anume prestările de servicii cu o valoare adăugată ridicată (inputuri scăzute).</w:t>
      </w:r>
    </w:p>
    <w:p>
      <w:pPr>
        <w:rPr>
          <w:noProof/>
        </w:rPr>
      </w:pPr>
      <w:r>
        <w:rPr>
          <w:noProof/>
        </w:rPr>
        <w:t xml:space="preserve">De la aderare, Malta a făcut uz de această dispoziție pentru a ajuta întreprinderile mici și pentru a încuraja înființarea de noi întreprinderi. Această măsură de simplificare s-a dovedit utilă, deoarece înlătură multe dintre obligațiile în materie de TVA ale întreprinderilor cu cifre de afaceri anuale sub un anumit nivel, fapt care diminuează costurile de funcționare ale </w:t>
      </w:r>
      <w:r>
        <w:rPr>
          <w:noProof/>
        </w:rPr>
        <w:lastRenderedPageBreak/>
        <w:t>acestor întreprinderi. În același timp, efectul asupra veniturilor a fost nesemnificativ. Guvernul maltez este hotărât să continue aplicarea unor măsuri de simplificare a obligațiilor micilor operatori, în conformitate cu obiectivele Uniunii Europene pentru întreprinderile mici, prezentate în Comunicarea Comisiei intitulată „«Gândiți mai întâi la scară mică» – Un «Small Business Act» pentru Europa”</w:t>
      </w:r>
      <w:r>
        <w:rPr>
          <w:rStyle w:val="FootnoteReference"/>
          <w:noProof/>
        </w:rPr>
        <w:footnoteReference w:id="3"/>
      </w:r>
      <w:r>
        <w:rPr>
          <w:noProof/>
        </w:rPr>
        <w:t>.</w:t>
      </w:r>
    </w:p>
    <w:p>
      <w:pPr>
        <w:rPr>
          <w:noProof/>
        </w:rPr>
      </w:pPr>
      <w:r>
        <w:rPr>
          <w:noProof/>
        </w:rPr>
        <w:t>În acest scop, prin Decizia de punere în aplicare (UE) 2018/279 din 20 februarie 2018, Malta a fost autorizată să majoreze pragul pentru categoria cu cea mai mică cifră de afaceri, și anume 14 600 EUR, la 20 000 EUR. Prin Decizia de punere în aplicare (UE) 2020/1662 a Consiliului din 3 noiembrie 2020</w:t>
      </w:r>
      <w:r>
        <w:rPr>
          <w:rStyle w:val="FootnoteReference"/>
          <w:noProof/>
        </w:rPr>
        <w:footnoteReference w:id="4"/>
      </w:r>
      <w:r>
        <w:rPr>
          <w:noProof/>
        </w:rPr>
        <w:t xml:space="preserve">, Malta a fost autorizată să prelungească aplicarea acestei măsuri până la 31 decembrie 2024. </w:t>
      </w:r>
    </w:p>
    <w:p>
      <w:pPr>
        <w:rPr>
          <w:noProof/>
        </w:rPr>
      </w:pPr>
      <w:r>
        <w:rPr>
          <w:noProof/>
        </w:rPr>
        <w:t>Adoptarea și transpunerea ulterioară a acestei măsuri speciale</w:t>
      </w:r>
      <w:r>
        <w:rPr>
          <w:rStyle w:val="FootnoteReference"/>
          <w:noProof/>
        </w:rPr>
        <w:footnoteReference w:id="5"/>
      </w:r>
      <w:r>
        <w:rPr>
          <w:noProof/>
        </w:rPr>
        <w:t xml:space="preserve"> în dreptul intern la 1 iulie 2018 a făcut ca peste 1 262 de întreprinderi mici să beneficieze de pragul majorat pentru cifra de afaceri anuală în cadrul unei astfel de categorii relative a regimului simplificat pentru IMM-uri.</w:t>
      </w:r>
    </w:p>
    <w:p>
      <w:pPr>
        <w:pBdr>
          <w:top w:val="nil"/>
          <w:left w:val="nil"/>
          <w:bottom w:val="nil"/>
          <w:right w:val="nil"/>
          <w:between w:val="nil"/>
          <w:bar w:val="nil"/>
        </w:pBdr>
        <w:spacing w:before="0" w:after="240"/>
        <w:rPr>
          <w:rFonts w:eastAsia="Arial Unicode MS"/>
          <w:noProof/>
        </w:rPr>
      </w:pPr>
      <w:r>
        <w:rPr>
          <w:noProof/>
        </w:rPr>
        <w:t xml:space="preserve">Prin majorarea la 30 000 EUR a pragului pentru persoanele impozabile a căror activitate economică constă în principal în prestări de servicii cu o valoare adăugată scăzută (inputuri ridicate) sau prestări de servicii cu o valoare adăugată ridicată (inputuri scăzute), se consideră că măsura va reduce în mod semnificativ sarcina administrativă care le revine întreprinderilor eligibile pentru acest regim și, în special, microîntreprinderilor, datorită faptului că acestea vor fi scutite de obligațiile aferente impuse de regimul normal de TVA, precum ținerea de evidențe în scopuri de TVA sau depunerea de declarații privind TVA. </w:t>
      </w:r>
    </w:p>
    <w:p>
      <w:pPr>
        <w:rPr>
          <w:noProof/>
        </w:rPr>
      </w:pPr>
      <w:r>
        <w:rPr>
          <w:noProof/>
        </w:rPr>
        <w:t>Măsura specială a redus în mod semnificativ sarcina administrativă și costurile aferente pentru numărul substanțial de întreprinderi mici din Malta menționat mai sus. Mai mult, aplicarea măsurii speciale a permis Maltei să aloce mai multe resurse pentru combaterea fraudelor în materie de TVA și pentru consolidarea aplicării sistemului actual de TVA.</w:t>
      </w:r>
    </w:p>
    <w:p>
      <w:pPr>
        <w:rPr>
          <w:noProof/>
        </w:rPr>
      </w:pPr>
      <w:r>
        <w:rPr>
          <w:noProof/>
        </w:rPr>
        <w:t>Măsura de derogare, care simplifică obligațiile micilor operatori, este în conformitate cu obiectivele stabilite de Uniunea Europeană pentru întreprinderile mici.</w:t>
      </w:r>
    </w:p>
    <w:p>
      <w:pPr>
        <w:pBdr>
          <w:top w:val="nil"/>
          <w:left w:val="nil"/>
          <w:bottom w:val="nil"/>
          <w:right w:val="nil"/>
          <w:between w:val="nil"/>
          <w:bar w:val="nil"/>
        </w:pBdr>
        <w:spacing w:before="0" w:after="240"/>
        <w:rPr>
          <w:rFonts w:eastAsia="Arial Unicode MS"/>
          <w:noProof/>
        </w:rPr>
      </w:pPr>
      <w:r>
        <w:rPr>
          <w:noProof/>
        </w:rPr>
        <w:t xml:space="preserve">Prin urmare, este oportun ca Malta să fie autorizată să aplice măsura de derogare până la 31 decembrie 2024. </w:t>
      </w:r>
    </w:p>
    <w:p>
      <w:pPr>
        <w:pStyle w:val="ManualHeading2"/>
        <w:rPr>
          <w:rFonts w:eastAsia="Arial Unicode MS"/>
          <w:noProof/>
          <w:color w:val="000000"/>
          <w:u w:color="000000"/>
          <w:bdr w:val="nil"/>
        </w:rPr>
      </w:pPr>
      <w:r>
        <w:rPr>
          <w:noProof/>
          <w:color w:val="000000"/>
          <w:u w:color="000000"/>
          <w:bdr w:val="nil"/>
        </w:rPr>
        <w:t>•</w:t>
      </w:r>
      <w:r>
        <w:rPr>
          <w:noProof/>
        </w:rPr>
        <w:tab/>
        <w:t>Coerența cu dispozițiile deja existente în domeniul de politică vizat</w:t>
      </w:r>
    </w:p>
    <w:p>
      <w:pPr>
        <w:pBdr>
          <w:top w:val="nil"/>
          <w:left w:val="nil"/>
          <w:bottom w:val="nil"/>
          <w:right w:val="nil"/>
          <w:between w:val="nil"/>
          <w:bar w:val="nil"/>
        </w:pBdr>
        <w:spacing w:before="0" w:after="240"/>
        <w:rPr>
          <w:noProof/>
        </w:rPr>
      </w:pPr>
      <w:r>
        <w:rPr>
          <w:noProof/>
        </w:rPr>
        <w:t>Măsura de derogare este în conformitate cu filosofia Directivei (UE) 2020/285 a Consiliului</w:t>
      </w:r>
      <w:r>
        <w:rPr>
          <w:rStyle w:val="FootnoteReference"/>
          <w:noProof/>
        </w:rPr>
        <w:footnoteReference w:id="6"/>
      </w:r>
      <w:r>
        <w:rPr>
          <w:noProof/>
        </w:rPr>
        <w:t xml:space="preserve">, care modifică articolele 281-294 din Directiva TVA privind un regim special pentru </w:t>
      </w:r>
      <w:r>
        <w:rPr>
          <w:noProof/>
        </w:rPr>
        <w:lastRenderedPageBreak/>
        <w:t>întreprinderile mici și care a rezultat din planul de acțiune privind TVA</w:t>
      </w:r>
      <w:r>
        <w:rPr>
          <w:rStyle w:val="FootnoteReference"/>
          <w:rFonts w:eastAsia="Arial Unicode MS"/>
          <w:noProof/>
        </w:rPr>
        <w:footnoteReference w:id="7"/>
      </w:r>
      <w:r>
        <w:rPr>
          <w:noProof/>
        </w:rPr>
        <w:t xml:space="preserve"> și are ca scop crearea unui regim modern și simplificat pentru aceste întreprinderi. Această inițiativă urmărește, în special, să scadă costurile de asigurare a conformității în materie de TVA și denaturările concurenței atât la nivel național, cât și la nivelul UE, să reducă impactul negativ al efectului de prag și să faciliteze respectarea normelor de către întreprinderi, precum și monitorizarea de către administrațiile fiscale.</w:t>
      </w:r>
    </w:p>
    <w:p>
      <w:pPr>
        <w:pBdr>
          <w:top w:val="nil"/>
          <w:left w:val="nil"/>
          <w:bottom w:val="nil"/>
          <w:right w:val="nil"/>
          <w:between w:val="nil"/>
          <w:bar w:val="nil"/>
        </w:pBdr>
        <w:spacing w:before="0" w:after="240"/>
        <w:rPr>
          <w:noProof/>
        </w:rPr>
      </w:pPr>
      <w:r>
        <w:rPr>
          <w:noProof/>
        </w:rPr>
        <w:t>În plus, pragul de 30 000 EUR este conform cu Directiva (UE) 2020/285, dat fiind că aceasta permite statelor membre să stabilească pragul privind cifra de afaceri anuală necesară pentru scutirea de TVA la un nivel care să nu depășească 85 000 EUR (sau echivalentul în moneda națională).</w:t>
      </w:r>
    </w:p>
    <w:p>
      <w:pPr>
        <w:pBdr>
          <w:top w:val="nil"/>
          <w:left w:val="nil"/>
          <w:bottom w:val="nil"/>
          <w:right w:val="nil"/>
          <w:between w:val="nil"/>
          <w:bar w:val="nil"/>
        </w:pBdr>
        <w:spacing w:before="0" w:after="240"/>
        <w:rPr>
          <w:noProof/>
        </w:rPr>
      </w:pPr>
      <w:r>
        <w:rPr>
          <w:noProof/>
        </w:rPr>
        <w:t>Derogări similare, care scutesc de plata TVA persoanele impozabile a căror cifră de afaceri anuală se situează sub un anumit prag, astfel cum se prevede la articolele 285 și 287 din Directiva TVA, au fost acordate și altor state membre. Țărilor de Jos</w:t>
      </w:r>
      <w:r>
        <w:rPr>
          <w:rStyle w:val="FootnoteReference"/>
          <w:rFonts w:eastAsia="Arial Unicode MS"/>
          <w:noProof/>
        </w:rPr>
        <w:footnoteReference w:id="8"/>
      </w:r>
      <w:r>
        <w:rPr>
          <w:noProof/>
        </w:rPr>
        <w:t xml:space="preserve"> li s-a acordat un prag de 25 000 EUR; Italiei</w:t>
      </w:r>
      <w:r>
        <w:rPr>
          <w:rStyle w:val="FootnoteReference"/>
          <w:noProof/>
        </w:rPr>
        <w:footnoteReference w:id="9"/>
      </w:r>
      <w:r>
        <w:rPr>
          <w:noProof/>
        </w:rPr>
        <w:t>, un prag de 30 000 EUR; Luxemburgului</w:t>
      </w:r>
      <w:r>
        <w:rPr>
          <w:rStyle w:val="FootnoteReference"/>
          <w:rFonts w:eastAsia="Arial Unicode MS"/>
          <w:noProof/>
        </w:rPr>
        <w:footnoteReference w:id="10"/>
      </w:r>
      <w:r>
        <w:rPr>
          <w:noProof/>
        </w:rPr>
        <w:t>, un prag de 35 000 EUR; Letoniei</w:t>
      </w:r>
      <w:r>
        <w:rPr>
          <w:rStyle w:val="FootnoteReference"/>
          <w:noProof/>
        </w:rPr>
        <w:footnoteReference w:id="11"/>
      </w:r>
      <w:r>
        <w:rPr>
          <w:noProof/>
        </w:rPr>
        <w:t>, Poloniei</w:t>
      </w:r>
      <w:r>
        <w:rPr>
          <w:rStyle w:val="FootnoteReference"/>
          <w:rFonts w:eastAsia="Arial Unicode MS"/>
          <w:noProof/>
        </w:rPr>
        <w:footnoteReference w:id="12"/>
      </w:r>
      <w:r>
        <w:rPr>
          <w:noProof/>
        </w:rPr>
        <w:t xml:space="preserve"> și Estoniei</w:t>
      </w:r>
      <w:r>
        <w:rPr>
          <w:rStyle w:val="FootnoteReference"/>
          <w:rFonts w:eastAsia="Arial Unicode MS"/>
          <w:noProof/>
        </w:rPr>
        <w:footnoteReference w:id="13"/>
      </w:r>
      <w:r>
        <w:rPr>
          <w:noProof/>
        </w:rPr>
        <w:t xml:space="preserve"> li s-a acordat un prag de 40 000 EUR; Croației</w:t>
      </w:r>
      <w:r>
        <w:rPr>
          <w:rStyle w:val="FootnoteReference"/>
          <w:rFonts w:eastAsia="Arial Unicode MS"/>
          <w:noProof/>
        </w:rPr>
        <w:footnoteReference w:id="14"/>
      </w:r>
      <w:r>
        <w:rPr>
          <w:noProof/>
        </w:rPr>
        <w:t xml:space="preserve">, un prag </w:t>
      </w:r>
      <w:r>
        <w:rPr>
          <w:noProof/>
        </w:rPr>
        <w:lastRenderedPageBreak/>
        <w:t>de 45 000 EUR, iar Lituaniei</w:t>
      </w:r>
      <w:r>
        <w:rPr>
          <w:rStyle w:val="FootnoteReference"/>
          <w:rFonts w:eastAsia="Arial Unicode MS"/>
          <w:noProof/>
        </w:rPr>
        <w:footnoteReference w:id="15"/>
      </w:r>
      <w:r>
        <w:rPr>
          <w:noProof/>
        </w:rPr>
        <w:t>, un prag de 55 000 EUR; Ungariei</w:t>
      </w:r>
      <w:r>
        <w:rPr>
          <w:rStyle w:val="FootnoteReference"/>
          <w:rFonts w:eastAsia="Arial Unicode MS"/>
          <w:noProof/>
        </w:rPr>
        <w:footnoteReference w:id="16"/>
      </w:r>
      <w:r>
        <w:rPr>
          <w:noProof/>
        </w:rPr>
        <w:t>, un prag de 48 000 EUR; Sloveniei</w:t>
      </w:r>
      <w:r>
        <w:rPr>
          <w:rStyle w:val="FootnoteReference"/>
          <w:rFonts w:eastAsia="Arial Unicode MS"/>
          <w:noProof/>
        </w:rPr>
        <w:footnoteReference w:id="17"/>
      </w:r>
      <w:r>
        <w:rPr>
          <w:noProof/>
        </w:rPr>
        <w:t>, un prag de 50 000 EUR; iar României</w:t>
      </w:r>
      <w:r>
        <w:rPr>
          <w:rStyle w:val="FootnoteReference"/>
          <w:rFonts w:eastAsia="Arial Unicode MS"/>
          <w:noProof/>
        </w:rPr>
        <w:footnoteReference w:id="18"/>
      </w:r>
      <w:r>
        <w:rPr>
          <w:noProof/>
        </w:rPr>
        <w:t>, un prag de 88 500 EUR.</w:t>
      </w:r>
    </w:p>
    <w:p>
      <w:pPr>
        <w:pBdr>
          <w:top w:val="nil"/>
          <w:left w:val="nil"/>
          <w:bottom w:val="nil"/>
          <w:right w:val="nil"/>
          <w:between w:val="nil"/>
          <w:bar w:val="nil"/>
        </w:pBdr>
        <w:spacing w:before="0" w:after="240"/>
        <w:rPr>
          <w:noProof/>
        </w:rPr>
      </w:pPr>
      <w:r>
        <w:rPr>
          <w:noProof/>
        </w:rPr>
        <w:t xml:space="preserve">După cum s-a menționat deja, derogările de la Directiva TVA trebuie să fie întotdeauna limitate în timp, astfel încât efectele lor să poată fi evaluate. Introducerea unei date de expirare a măsurii speciale, până la 31 decembrie 2024, astfel cum este solicitată de Malta, este aliniată la data de aplicare, de la 1 ianuarie 2025, a Directivei (UE) 2020/285 referitoare la simplificarea normelor în materie de TVA pentru întreprinderile mici și mijlocii. </w:t>
      </w:r>
    </w:p>
    <w:p>
      <w:pPr>
        <w:pBdr>
          <w:top w:val="nil"/>
          <w:left w:val="nil"/>
          <w:bottom w:val="nil"/>
          <w:right w:val="nil"/>
          <w:between w:val="nil"/>
          <w:bar w:val="nil"/>
        </w:pBdr>
        <w:spacing w:before="0" w:after="240"/>
        <w:rPr>
          <w:rFonts w:eastAsia="Arial Unicode MS"/>
          <w:noProof/>
        </w:rPr>
      </w:pPr>
      <w:r>
        <w:rPr>
          <w:noProof/>
        </w:rPr>
        <w:t>Prin urmare, măsura propusă este coerentă cu dispozițiile Directivei TVA.</w:t>
      </w:r>
    </w:p>
    <w:p>
      <w:pPr>
        <w:pStyle w:val="ManualHeading2"/>
        <w:rPr>
          <w:rFonts w:eastAsia="Arial Unicode MS"/>
          <w:noProof/>
        </w:rPr>
      </w:pPr>
      <w:r>
        <w:rPr>
          <w:noProof/>
          <w:color w:val="000000"/>
          <w:u w:color="000000"/>
          <w:bdr w:val="nil"/>
        </w:rPr>
        <w:t>•</w:t>
      </w:r>
      <w:r>
        <w:rPr>
          <w:noProof/>
        </w:rPr>
        <w:tab/>
        <w:t>Coerența cu alte politici ale Uniunii</w:t>
      </w:r>
    </w:p>
    <w:p>
      <w:pPr>
        <w:pBdr>
          <w:top w:val="nil"/>
          <w:left w:val="nil"/>
          <w:bottom w:val="nil"/>
          <w:right w:val="nil"/>
          <w:between w:val="nil"/>
          <w:bar w:val="nil"/>
        </w:pBdr>
        <w:spacing w:before="0" w:after="240"/>
        <w:rPr>
          <w:noProof/>
        </w:rPr>
      </w:pPr>
      <w:r>
        <w:rPr>
          <w:noProof/>
        </w:rPr>
        <w:t>În programele sale anuale de lucru, Comisia a subliniat în mod constant necesitatea simplificării normelor aplicabile întreprinderilor mici. În această privință, Programul de lucru al Comisiei pentru 2020</w:t>
      </w:r>
      <w:r>
        <w:rPr>
          <w:rStyle w:val="FootnoteReference"/>
          <w:rFonts w:eastAsia="Arial Unicode MS"/>
          <w:noProof/>
        </w:rPr>
        <w:footnoteReference w:id="19"/>
      </w:r>
      <w:r>
        <w:rPr>
          <w:noProof/>
        </w:rPr>
        <w:t xml:space="preserve"> se referă la „o strategie specifică pentru IMM-uri, care le va permite întreprinderilor mici și mijlocii să funcționeze mai ușor, să își sporească capacitatea de producție și să se extindă”. Măsura de derogare este în conformitate cu aceste obiective, în ceea ce privește normele fiscale. Mai exact, ea este conformă cu programul de lucru al Comisiei pentru 2017</w:t>
      </w:r>
      <w:r>
        <w:rPr>
          <w:rStyle w:val="FootnoteReference"/>
          <w:rFonts w:eastAsia="Arial Unicode MS"/>
          <w:noProof/>
        </w:rPr>
        <w:footnoteReference w:id="20"/>
      </w:r>
      <w:r>
        <w:rPr>
          <w:noProof/>
        </w:rPr>
        <w:t>, care se referea în mod specific la TVA, subliniind faptul că sarcina administrativă aferentă respectării normelor în materie de TVA pentru întreprinderile mici este ridicată și că inovațiile tehnice dau naștere unor noi provocări în ceea ce privește colectarea în mod eficace a impozitelor, și evidenția necesitatea de a simplifica regimul de TVA pentru întreprinderile mai mici.</w:t>
      </w:r>
    </w:p>
    <w:p>
      <w:pPr>
        <w:pBdr>
          <w:top w:val="nil"/>
          <w:left w:val="nil"/>
          <w:bottom w:val="nil"/>
          <w:right w:val="nil"/>
          <w:between w:val="nil"/>
          <w:bar w:val="nil"/>
        </w:pBdr>
        <w:spacing w:before="0" w:after="240"/>
        <w:rPr>
          <w:noProof/>
        </w:rPr>
      </w:pPr>
      <w:r>
        <w:rPr>
          <w:noProof/>
        </w:rPr>
        <w:t>De asemenea, măsura este coerentă cu strategia din 2015 privind piața unică</w:t>
      </w:r>
      <w:r>
        <w:rPr>
          <w:rStyle w:val="FootnoteReference"/>
          <w:rFonts w:eastAsia="Arial Unicode MS"/>
          <w:noProof/>
        </w:rPr>
        <w:footnoteReference w:id="21"/>
      </w:r>
      <w:r>
        <w:rPr>
          <w:noProof/>
        </w:rPr>
        <w:t xml:space="preserve">, prin care Comisia își propunea să ajute întreprinderile mici și mijlocii să se dezvolte, printre altele prin reducerea sarcinilor administrative care le împiedică să profite din plin de piața unică. Ea se bazează totodată pe ideile enunțate în Comunicarea Comisiei din 2013 intitulată „Planul de </w:t>
      </w:r>
      <w:r>
        <w:rPr>
          <w:noProof/>
        </w:rPr>
        <w:lastRenderedPageBreak/>
        <w:t>acțiune Antreprenoriat 2020: Relansarea spiritului de întreprindere în Europa”</w:t>
      </w:r>
      <w:r>
        <w:rPr>
          <w:rStyle w:val="FootnoteReference"/>
          <w:rFonts w:eastAsia="Arial Unicode MS"/>
          <w:noProof/>
        </w:rPr>
        <w:footnoteReference w:id="22"/>
      </w:r>
      <w:r>
        <w:rPr>
          <w:noProof/>
        </w:rPr>
        <w:t>, care sublinia necesitatea simplificării legislației fiscale pentru întreprinderile mici.</w:t>
      </w:r>
    </w:p>
    <w:p>
      <w:pPr>
        <w:pBdr>
          <w:top w:val="nil"/>
          <w:left w:val="nil"/>
          <w:bottom w:val="nil"/>
          <w:right w:val="nil"/>
          <w:between w:val="nil"/>
          <w:bar w:val="nil"/>
        </w:pBdr>
        <w:spacing w:before="0" w:after="240"/>
        <w:rPr>
          <w:rFonts w:eastAsia="Arial Unicode MS"/>
          <w:noProof/>
        </w:rPr>
      </w:pPr>
      <w:r>
        <w:rPr>
          <w:noProof/>
        </w:rPr>
        <w:t>În fine, măsura este conformă cu politicile UE privind întreprinderile mici și mijlocii prezentate în Comunicarea din 2016 privind întreprinderile nou-înființate</w:t>
      </w:r>
      <w:r>
        <w:rPr>
          <w:rStyle w:val="FootnoteReference"/>
          <w:rFonts w:eastAsia="Arial Unicode MS"/>
          <w:noProof/>
        </w:rPr>
        <w:footnoteReference w:id="23"/>
      </w:r>
      <w:r>
        <w:rPr>
          <w:noProof/>
        </w:rPr>
        <w:t xml:space="preserve"> și în Comunicarea din 2008 intitulată „Gândiți mai întâi la scară mică – Un «Small Business Act» pentru Europa”</w:t>
      </w:r>
      <w:r>
        <w:rPr>
          <w:rStyle w:val="FootnoteReference"/>
          <w:rFonts w:eastAsia="Arial Unicode MS"/>
          <w:noProof/>
        </w:rPr>
        <w:footnoteReference w:id="24"/>
      </w:r>
      <w:r>
        <w:rPr>
          <w:noProof/>
        </w:rPr>
        <w:t>, care invita statele membre să țină cont de caracteristicile speciale ale IMM-urilor atunci când elaborează legislația și să simplifice cadrul de reglementare existent.</w:t>
      </w:r>
    </w:p>
    <w:p>
      <w:pPr>
        <w:pStyle w:val="ManualHeading1"/>
        <w:rPr>
          <w:noProof/>
        </w:rPr>
      </w:pPr>
      <w:r>
        <w:rPr>
          <w:noProof/>
        </w:rPr>
        <w:t>2.</w:t>
      </w:r>
      <w:r>
        <w:rPr>
          <w:noProof/>
        </w:rPr>
        <w:tab/>
        <w:t>TEMEIUL JURIDIC, SUBSIDIARITATEA ȘI PROPORȚIONALITATEA</w:t>
      </w:r>
    </w:p>
    <w:p>
      <w:pPr>
        <w:pStyle w:val="ManualHeading2"/>
        <w:rPr>
          <w:rFonts w:eastAsia="Arial Unicode MS"/>
          <w:noProof/>
          <w:u w:color="000000"/>
          <w:bdr w:val="nil"/>
        </w:rPr>
      </w:pPr>
      <w:r>
        <w:rPr>
          <w:noProof/>
          <w:u w:color="000000"/>
          <w:bdr w:val="nil"/>
        </w:rPr>
        <w:t>•</w:t>
      </w:r>
      <w:r>
        <w:rPr>
          <w:noProof/>
        </w:rPr>
        <w:tab/>
      </w:r>
      <w:r>
        <w:rPr>
          <w:noProof/>
          <w:u w:color="000000"/>
          <w:bdr w:val="nil"/>
        </w:rPr>
        <w:t>Temei juridic</w:t>
      </w:r>
    </w:p>
    <w:p>
      <w:pPr>
        <w:pStyle w:val="Text1"/>
        <w:ind w:left="0"/>
        <w:rPr>
          <w:rFonts w:eastAsia="Arial Unicode MS"/>
          <w:noProof/>
        </w:rPr>
      </w:pPr>
      <w:r>
        <w:rPr>
          <w:noProof/>
        </w:rPr>
        <w:t>Articolul 395 din Directiva TVA.</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Subsidiaritatea (pentru competența neexclusivă) </w:t>
      </w:r>
    </w:p>
    <w:p>
      <w:pPr>
        <w:pBdr>
          <w:top w:val="nil"/>
          <w:left w:val="nil"/>
          <w:bottom w:val="nil"/>
          <w:right w:val="nil"/>
          <w:between w:val="nil"/>
          <w:bar w:val="nil"/>
        </w:pBdr>
        <w:spacing w:before="0" w:after="240"/>
        <w:rPr>
          <w:rFonts w:eastAsia="Arial Unicode MS"/>
          <w:noProof/>
        </w:rPr>
      </w:pPr>
      <w:r>
        <w:rPr>
          <w:noProof/>
        </w:rPr>
        <w:t>Având în vedere dispoziția din Directiva TVA pe care se întemeiază, propunerea intră în sfera competenței exclusive a Uniunii Europene. În consecință, principiul subsidiarității nu se aplică.</w:t>
      </w:r>
    </w:p>
    <w:p>
      <w:pPr>
        <w:pStyle w:val="ManualHeading2"/>
        <w:rPr>
          <w:rFonts w:eastAsia="Arial Unicode MS"/>
          <w:noProof/>
          <w:u w:color="000000"/>
          <w:bdr w:val="nil"/>
        </w:rPr>
      </w:pPr>
      <w:r>
        <w:rPr>
          <w:noProof/>
          <w:u w:color="000000"/>
          <w:bdr w:val="nil"/>
        </w:rPr>
        <w:t>•</w:t>
      </w:r>
      <w:r>
        <w:rPr>
          <w:noProof/>
        </w:rPr>
        <w:tab/>
      </w:r>
      <w:r>
        <w:rPr>
          <w:noProof/>
          <w:u w:color="000000"/>
          <w:bdr w:val="nil"/>
        </w:rPr>
        <w:t>Proporționalitatea</w:t>
      </w:r>
    </w:p>
    <w:p>
      <w:pPr>
        <w:pStyle w:val="Text1"/>
        <w:ind w:left="0"/>
        <w:rPr>
          <w:noProof/>
        </w:rPr>
      </w:pPr>
      <w:r>
        <w:rPr>
          <w:noProof/>
        </w:rPr>
        <w:t>Decizia se referă la o autorizație acordată unui stat membru la solicitarea acestuia și nu constituie o obligație.</w:t>
      </w:r>
    </w:p>
    <w:p>
      <w:pPr>
        <w:pStyle w:val="Text1"/>
        <w:ind w:left="0"/>
        <w:rPr>
          <w:noProof/>
        </w:rPr>
      </w:pPr>
      <w:r>
        <w:rPr>
          <w:noProof/>
        </w:rPr>
        <w:t>Având în vedere domeniul de aplicare limitat al derogării, măsura specială este proporțională cu obiectivul urmărit, și anume simplificarea colectării impozitelor în beneficiul persoanelor impozabile mici și al administrației fiscale.</w:t>
      </w:r>
    </w:p>
    <w:p>
      <w:pPr>
        <w:pStyle w:val="ManualHeading2"/>
        <w:rPr>
          <w:rFonts w:eastAsia="Arial Unicode MS"/>
          <w:noProof/>
          <w:u w:color="000000"/>
          <w:bdr w:val="nil"/>
        </w:rPr>
      </w:pPr>
      <w:r>
        <w:rPr>
          <w:noProof/>
          <w:u w:color="000000"/>
          <w:bdr w:val="nil"/>
        </w:rPr>
        <w:t>•</w:t>
      </w:r>
      <w:r>
        <w:rPr>
          <w:noProof/>
        </w:rPr>
        <w:tab/>
      </w:r>
      <w:r>
        <w:rPr>
          <w:noProof/>
          <w:u w:color="000000"/>
          <w:bdr w:val="nil"/>
        </w:rPr>
        <w:t>Alegerea instrumentului</w:t>
      </w:r>
    </w:p>
    <w:p>
      <w:pPr>
        <w:pBdr>
          <w:top w:val="nil"/>
          <w:left w:val="nil"/>
          <w:bottom w:val="nil"/>
          <w:right w:val="nil"/>
          <w:between w:val="nil"/>
          <w:bar w:val="nil"/>
        </w:pBdr>
        <w:spacing w:before="0" w:after="240"/>
        <w:rPr>
          <w:noProof/>
        </w:rPr>
      </w:pPr>
      <w:r>
        <w:rPr>
          <w:noProof/>
        </w:rPr>
        <w:t>Instrumentul propus este o decizie de punere în aplicare a Consiliului.</w:t>
      </w:r>
    </w:p>
    <w:p>
      <w:pPr>
        <w:pBdr>
          <w:top w:val="nil"/>
          <w:left w:val="nil"/>
          <w:bottom w:val="nil"/>
          <w:right w:val="nil"/>
          <w:between w:val="nil"/>
          <w:bar w:val="nil"/>
        </w:pBdr>
        <w:spacing w:before="0" w:after="240"/>
        <w:rPr>
          <w:rFonts w:eastAsia="Arial Unicode MS"/>
          <w:noProof/>
        </w:rPr>
      </w:pPr>
      <w:r>
        <w:rPr>
          <w:noProof/>
        </w:rPr>
        <w:t>În conformitate cu articolul 395 din Directiva TVA, derogarea de la normele comune în materie de TVA este posibilă numai cu autorizarea Consiliului, hotărând în unanimitate la propunerea Comisiei. O decizie de punere în aplicare a Consiliului este instrumentul cel mai adecvat, deoarece poate fi adresată unui singur stat membru.</w:t>
      </w:r>
    </w:p>
    <w:p>
      <w:pPr>
        <w:pStyle w:val="ManualHeading1"/>
        <w:rPr>
          <w:noProof/>
        </w:rPr>
      </w:pPr>
      <w:r>
        <w:rPr>
          <w:noProof/>
        </w:rPr>
        <w:t>3.</w:t>
      </w:r>
      <w:r>
        <w:rPr>
          <w:noProof/>
        </w:rPr>
        <w:tab/>
        <w:t>REZULTATELE EVALUĂRILOR EX POST, ALE CONSULTĂRILOR CU PĂRȚILE INTERESATE ȘI ALE EVALUĂRII IMPACTULUI</w:t>
      </w:r>
    </w:p>
    <w:p>
      <w:pPr>
        <w:pStyle w:val="ManualHeading2"/>
        <w:rPr>
          <w:rFonts w:eastAsia="Arial Unicode MS"/>
          <w:noProof/>
          <w:u w:color="000000"/>
          <w:bdr w:val="nil"/>
        </w:rPr>
      </w:pPr>
      <w:r>
        <w:rPr>
          <w:noProof/>
          <w:u w:color="000000"/>
          <w:bdr w:val="nil"/>
        </w:rPr>
        <w:t>•</w:t>
      </w:r>
      <w:r>
        <w:rPr>
          <w:noProof/>
        </w:rPr>
        <w:tab/>
      </w:r>
      <w:r>
        <w:rPr>
          <w:noProof/>
          <w:u w:color="000000"/>
          <w:bdr w:val="nil"/>
        </w:rPr>
        <w:t>Consultări cu părțile interesate</w:t>
      </w:r>
    </w:p>
    <w:p>
      <w:pPr>
        <w:pBdr>
          <w:top w:val="nil"/>
          <w:left w:val="nil"/>
          <w:bottom w:val="nil"/>
          <w:right w:val="nil"/>
          <w:between w:val="nil"/>
          <w:bar w:val="nil"/>
        </w:pBdr>
        <w:spacing w:before="0" w:after="240"/>
        <w:rPr>
          <w:rFonts w:eastAsia="Arial Unicode MS"/>
          <w:noProof/>
        </w:rPr>
      </w:pPr>
      <w:r>
        <w:rPr>
          <w:noProof/>
        </w:rPr>
        <w:t>Nu s-a efectuat nicio consultare a părților interesate. Prezenta propunere se bazează pe o cerere depusă de Malta și privește numai acest stat membru.</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Obținerea și utilizarea expertizei</w:t>
      </w:r>
    </w:p>
    <w:p>
      <w:pPr>
        <w:pBdr>
          <w:top w:val="nil"/>
          <w:left w:val="nil"/>
          <w:bottom w:val="nil"/>
          <w:right w:val="nil"/>
          <w:between w:val="nil"/>
          <w:bar w:val="nil"/>
        </w:pBdr>
        <w:spacing w:before="0" w:after="240"/>
        <w:rPr>
          <w:rFonts w:eastAsia="Arial Unicode MS"/>
          <w:noProof/>
        </w:rPr>
      </w:pPr>
      <w:r>
        <w:rPr>
          <w:noProof/>
        </w:rPr>
        <w:t>Nu a fost necesar să se recurgă la expertiză externă.</w:t>
      </w:r>
    </w:p>
    <w:p>
      <w:pPr>
        <w:pStyle w:val="ManualHeading2"/>
        <w:rPr>
          <w:rFonts w:eastAsia="Arial Unicode MS"/>
          <w:noProof/>
          <w:u w:color="000000"/>
          <w:bdr w:val="nil"/>
        </w:rPr>
      </w:pPr>
      <w:r>
        <w:rPr>
          <w:noProof/>
          <w:u w:color="000000"/>
          <w:bdr w:val="nil"/>
        </w:rPr>
        <w:t>•</w:t>
      </w:r>
      <w:r>
        <w:rPr>
          <w:noProof/>
        </w:rPr>
        <w:tab/>
      </w:r>
      <w:r>
        <w:rPr>
          <w:noProof/>
          <w:u w:color="000000"/>
          <w:bdr w:val="nil"/>
        </w:rPr>
        <w:t>Evaluarea impactului</w:t>
      </w:r>
    </w:p>
    <w:p>
      <w:pPr>
        <w:pBdr>
          <w:top w:val="nil"/>
          <w:left w:val="nil"/>
          <w:bottom w:val="nil"/>
          <w:right w:val="nil"/>
          <w:between w:val="nil"/>
          <w:bar w:val="nil"/>
        </w:pBdr>
        <w:spacing w:before="0" w:after="240"/>
        <w:rPr>
          <w:noProof/>
        </w:rPr>
      </w:pPr>
      <w:r>
        <w:rPr>
          <w:noProof/>
        </w:rPr>
        <w:t>Propunerea de decizie de punere în aplicare a Consiliului vizează majorarea pragului actual de scutire de la 20 000 EUR la 30 000 EUR. Această majorare a pragului constituie o măsură de simplificare, care înlătură multe dintre obligațiile în materie de TVA ale întreprinderilor cu o cifră de afaceri anuală ce nu depășește 30 000 EUR. Ea va avea, prin urmare, un impact potențial pozitiv asupra reducerii sarcinii administrative pentru un număr de persoane impozabile și, ulterior, pentru administrația fiscală.</w:t>
      </w:r>
    </w:p>
    <w:p>
      <w:pPr>
        <w:pBdr>
          <w:top w:val="nil"/>
          <w:left w:val="nil"/>
          <w:bottom w:val="nil"/>
          <w:right w:val="nil"/>
          <w:between w:val="nil"/>
          <w:bar w:val="nil"/>
        </w:pBdr>
        <w:spacing w:before="0" w:after="240"/>
        <w:rPr>
          <w:noProof/>
        </w:rPr>
      </w:pPr>
      <w:r>
        <w:rPr>
          <w:noProof/>
        </w:rPr>
        <w:t>Conform datelor pentru anul 2019, numărul contribuabililor potențiali care vor fi afectați de această majorare este de 1 764 pentru servicii cu valoare adăugată ridicată (inputuri scăzute) și de 237 pentru servicii cu valoare adăugată scăzută (inputuri ridicate).</w:t>
      </w:r>
    </w:p>
    <w:p>
      <w:pPr>
        <w:pBdr>
          <w:top w:val="nil"/>
          <w:left w:val="nil"/>
          <w:bottom w:val="nil"/>
          <w:right w:val="nil"/>
          <w:between w:val="nil"/>
          <w:bar w:val="nil"/>
        </w:pBdr>
        <w:spacing w:before="0" w:after="240"/>
        <w:rPr>
          <w:noProof/>
        </w:rPr>
      </w:pPr>
      <w:r>
        <w:rPr>
          <w:noProof/>
        </w:rPr>
        <w:t>Autoritățile malteze au raportat că numărul comercianților care utilizează în prezent schema pentru IMM-uri și scutirea este de 34 585 și că, prin ridicarea pragului, numărul acestora ar putea crește la 36 586 de contribuabili.</w:t>
      </w:r>
    </w:p>
    <w:p>
      <w:pPr>
        <w:pBdr>
          <w:top w:val="nil"/>
          <w:left w:val="nil"/>
          <w:bottom w:val="nil"/>
          <w:right w:val="nil"/>
          <w:between w:val="nil"/>
          <w:bar w:val="nil"/>
        </w:pBdr>
        <w:spacing w:before="0" w:after="240"/>
        <w:rPr>
          <w:noProof/>
        </w:rPr>
      </w:pPr>
      <w:r>
        <w:rPr>
          <w:noProof/>
        </w:rPr>
        <w:t>Procentul de utilizatori potențiali ai schemei pentru IMM-uri care aplică pragul de 30 000 EUR, în comparație cu numărul total de contribuabili din Malta, ar fi de 34 %.</w:t>
      </w:r>
    </w:p>
    <w:p>
      <w:pPr>
        <w:pBdr>
          <w:top w:val="nil"/>
          <w:left w:val="nil"/>
          <w:bottom w:val="nil"/>
          <w:right w:val="nil"/>
          <w:between w:val="nil"/>
          <w:bar w:val="nil"/>
        </w:pBdr>
        <w:spacing w:before="0" w:after="240"/>
        <w:rPr>
          <w:noProof/>
        </w:rPr>
      </w:pPr>
      <w:r>
        <w:rPr>
          <w:noProof/>
        </w:rPr>
        <w:t>Pe baza declarației simplificate privind cifra de afaceri în cadrul regimului pentru IMM-uri în 2019, valoarea totală estimată a TVA, calculată la cota standard și considerată ca nefiind colectată (deoarece a fost sub pragul de 20 000 EUR), se ridică la aproximativ 11,4 milioane EUR, ceea ce reprezintă 1,2 % din suma totală a veniturilor colectate din TVA în Malta în 2019 (944,7 milioane EUR), potrivit datelor oficiale disponibile.</w:t>
      </w:r>
    </w:p>
    <w:p>
      <w:pPr>
        <w:pBdr>
          <w:top w:val="nil"/>
          <w:left w:val="nil"/>
          <w:bottom w:val="nil"/>
          <w:right w:val="nil"/>
          <w:between w:val="nil"/>
          <w:bar w:val="nil"/>
        </w:pBdr>
        <w:spacing w:before="0" w:after="240"/>
        <w:rPr>
          <w:noProof/>
        </w:rPr>
      </w:pPr>
      <w:r>
        <w:rPr>
          <w:noProof/>
        </w:rPr>
        <w:t xml:space="preserve">Prin ridicarea pragului la 30 000 EUR atât pentru prestările de servicii cu o valoare adăugată scăzută (inputuri ridicate), cât și pentru prestările de servicii cu o valoare adăugată ridicată (inputuri scăzute), TVA-ul necolectat ar putea crește cu aproximativ 3,3 milioane EUR, care ar putea fi estimat la o creștere de 0,35 %. </w:t>
      </w:r>
    </w:p>
    <w:p>
      <w:pPr>
        <w:pBdr>
          <w:top w:val="nil"/>
          <w:left w:val="nil"/>
          <w:bottom w:val="nil"/>
          <w:right w:val="nil"/>
          <w:between w:val="nil"/>
          <w:bar w:val="nil"/>
        </w:pBdr>
        <w:spacing w:before="0" w:after="240"/>
        <w:rPr>
          <w:rFonts w:eastAsia="Arial Unicode MS"/>
          <w:noProof/>
        </w:rPr>
      </w:pPr>
      <w:r>
        <w:rPr>
          <w:noProof/>
        </w:rPr>
        <w:t xml:space="preserve">Persoanele impozabile a căror cifră de afaceri nu depășește pragul nu vor trebui să se înregistreze în scopuri de TVA și, astfel, sarcinile administrative care le revin vor fi reduse ca urmare a aplicării măsurii, deoarece ele nu vor trebui să țină evidențe în scopuri de TVA sau să depună declarații de TVA. De asemenea, măsura va genera o reducere a volumului de lucru pentru autoritățile fiscale. Acest lucru va avea un impact potențial pozitiv asupra reducerii sarcinii administrative pentru persoanele impozabile înregistrate în prezent în scopuri de TVA în Malta și, prin urmare, asupra administrației fiscale. </w:t>
      </w:r>
    </w:p>
    <w:p>
      <w:pPr>
        <w:rPr>
          <w:noProof/>
        </w:rPr>
      </w:pPr>
      <w:r>
        <w:rPr>
          <w:noProof/>
        </w:rPr>
        <w:t xml:space="preserve">Impactul bugetar în ceea ce privește veniturile din TVA pentru Malta nu a dus la o scădere a veniturilor la bugetul de stat. </w:t>
      </w:r>
    </w:p>
    <w:p>
      <w:pPr>
        <w:pStyle w:val="ManualHeading2"/>
        <w:rPr>
          <w:rFonts w:eastAsia="Arial Unicode MS"/>
          <w:noProof/>
          <w:u w:color="000000"/>
          <w:bdr w:val="nil"/>
        </w:rPr>
      </w:pPr>
      <w:r>
        <w:rPr>
          <w:noProof/>
          <w:u w:color="000000"/>
          <w:bdr w:val="nil"/>
        </w:rPr>
        <w:t>•</w:t>
      </w:r>
      <w:r>
        <w:rPr>
          <w:noProof/>
        </w:rPr>
        <w:tab/>
      </w:r>
      <w:r>
        <w:rPr>
          <w:noProof/>
          <w:u w:color="000000"/>
          <w:bdr w:val="nil"/>
        </w:rPr>
        <w:t>Drepturi fundamentale</w:t>
      </w:r>
    </w:p>
    <w:p>
      <w:pPr>
        <w:pBdr>
          <w:top w:val="nil"/>
          <w:left w:val="nil"/>
          <w:bottom w:val="nil"/>
          <w:right w:val="nil"/>
          <w:between w:val="nil"/>
          <w:bar w:val="nil"/>
        </w:pBdr>
        <w:spacing w:before="0" w:after="240"/>
        <w:rPr>
          <w:rFonts w:eastAsia="Arial Unicode MS"/>
          <w:noProof/>
        </w:rPr>
      </w:pPr>
      <w:r>
        <w:rPr>
          <w:noProof/>
        </w:rPr>
        <w:t>Propunerea nu are consecințe asupra protecției drepturilor fundamentale.</w:t>
      </w:r>
    </w:p>
    <w:p>
      <w:pPr>
        <w:pStyle w:val="ManualHeading1"/>
        <w:rPr>
          <w:noProof/>
        </w:rPr>
      </w:pPr>
      <w:r>
        <w:rPr>
          <w:noProof/>
        </w:rPr>
        <w:lastRenderedPageBreak/>
        <w:t>4.</w:t>
      </w:r>
      <w:r>
        <w:rPr>
          <w:noProof/>
        </w:rPr>
        <w:tab/>
        <w:t>IMPLICAȚIILE BUGETARE</w:t>
      </w:r>
    </w:p>
    <w:p>
      <w:pPr>
        <w:rPr>
          <w:noProof/>
        </w:rPr>
      </w:pPr>
      <w:r>
        <w:rPr>
          <w:noProof/>
        </w:rPr>
        <w:t>Propunerea nu are implicații asupra bugetului UE, deoarece Malta va efectua un calcul de compensare în conformitate cu articolul 6 din Regulamentul (CEE, Euratom) nr. 1553/89 al Consiliului.</w:t>
      </w:r>
    </w:p>
    <w:p>
      <w:pPr>
        <w:rPr>
          <w:noProof/>
        </w:rPr>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2021/0073 (NLE)</w:t>
      </w:r>
    </w:p>
    <w:p>
      <w:pPr>
        <w:pStyle w:val="Statut"/>
        <w:rPr>
          <w:noProof/>
        </w:rPr>
      </w:pPr>
      <w:r>
        <w:rPr>
          <w:noProof/>
        </w:rPr>
        <w:t>Propunere de</w:t>
      </w:r>
    </w:p>
    <w:p>
      <w:pPr>
        <w:pStyle w:val="Typedudocument"/>
        <w:rPr>
          <w:noProof/>
        </w:rPr>
      </w:pPr>
      <w:r>
        <w:rPr>
          <w:noProof/>
        </w:rPr>
        <w:t>DECIZIE DE PUNERE ÎN APLICARE A CONSILIULUI</w:t>
      </w:r>
    </w:p>
    <w:p>
      <w:pPr>
        <w:pStyle w:val="Titreobjet"/>
        <w:rPr>
          <w:noProof/>
        </w:rPr>
      </w:pPr>
      <w:r>
        <w:rPr>
          <w:noProof/>
        </w:rPr>
        <w:t>de autorizare a Maltei să aplice o măsură specială de derogare de la articolul 287 din Directiva 2006/112/CE privind sistemul comun al taxei pe valoarea adăugată</w:t>
      </w:r>
    </w:p>
    <w:p>
      <w:pPr>
        <w:pStyle w:val="Institutionquiagit"/>
        <w:rPr>
          <w:noProof/>
        </w:rPr>
      </w:pPr>
      <w:r>
        <w:rPr>
          <w:noProof/>
        </w:rPr>
        <w:t>CONSILIUL UNIUNII EUROPENE,</w:t>
      </w:r>
    </w:p>
    <w:p>
      <w:pPr>
        <w:rPr>
          <w:noProof/>
        </w:rPr>
      </w:pPr>
      <w:r>
        <w:rPr>
          <w:noProof/>
        </w:rPr>
        <w:t xml:space="preserve">având în vedere Tratatul privind funcționarea Uniunii Europene, </w:t>
      </w:r>
    </w:p>
    <w:p>
      <w:pPr>
        <w:rPr>
          <w:noProof/>
        </w:rPr>
      </w:pPr>
      <w:r>
        <w:rPr>
          <w:noProof/>
        </w:rPr>
        <w:t>având în vedere Directiva 2006/112/CE a Consiliului din 28 noiembrie 2006 privind sistemul comun al taxei pe valoarea adăugată</w:t>
      </w:r>
      <w:r>
        <w:rPr>
          <w:rStyle w:val="FooterChar"/>
          <w:noProof/>
        </w:rPr>
        <w:t xml:space="preserve"> </w:t>
      </w:r>
      <w:r>
        <w:rPr>
          <w:rStyle w:val="FootnoteReference"/>
          <w:noProof/>
        </w:rPr>
        <w:footnoteReference w:id="25"/>
      </w:r>
      <w:r>
        <w:rPr>
          <w:noProof/>
        </w:rPr>
        <w:t xml:space="preserve">, în special articolul 395 alineatul (1) primul paragraf, </w:t>
      </w:r>
    </w:p>
    <w:p>
      <w:pPr>
        <w:rPr>
          <w:noProof/>
        </w:rPr>
      </w:pPr>
      <w:r>
        <w:rPr>
          <w:noProof/>
        </w:rPr>
        <w:t>având în vedere propunerea Comisiei Europene,</w:t>
      </w:r>
    </w:p>
    <w:p>
      <w:pPr>
        <w:rPr>
          <w:noProof/>
        </w:rPr>
      </w:pPr>
      <w:r>
        <w:rPr>
          <w:noProof/>
        </w:rPr>
        <w:t>întrucât:</w:t>
      </w:r>
    </w:p>
    <w:p>
      <w:pPr>
        <w:pStyle w:val="ManualConsidrant"/>
        <w:rPr>
          <w:noProof/>
        </w:rPr>
      </w:pPr>
      <w:r>
        <w:t>(1)</w:t>
      </w:r>
      <w:r>
        <w:tab/>
      </w:r>
      <w:r>
        <w:rPr>
          <w:noProof/>
        </w:rPr>
        <w:t>În temeiul articolului 287 punctul 13 din Directiva 2006/112/CE, Malta poate acorda scutire de la plata taxei pe valoarea adăugată (TVA) pentru trei categorii de persoane impozabile: persoanele impozabile a căror cifră de afaceri anuală nu depășește 37 000 EUR, în cazul în care activitatea economică constă în principal în livrarea de bunuri; persoanele impozabile a căror cifră de afaceri anuală nu depășește 24 300 EUR, în cazul în care activitatea economică constă în principal în prestarea de servicii cu o valoare adăugată scăzută (inputuri ridicate); și persoanele impozabile a căror cifră de afaceri anuală nu depășește 14 600 EUR în alte cazuri, și anume prestările de servicii cu o valoare adăugată ridicată (inputuri scăzute).</w:t>
      </w:r>
    </w:p>
    <w:p>
      <w:pPr>
        <w:pStyle w:val="ManualConsidrant"/>
        <w:rPr>
          <w:noProof/>
        </w:rPr>
      </w:pPr>
      <w:r>
        <w:t>(2)</w:t>
      </w:r>
      <w:r>
        <w:tab/>
      </w:r>
      <w:r>
        <w:rPr>
          <w:noProof/>
        </w:rPr>
        <w:t>Prin Decizia de punere în aplicare (UE) 2018/279 a Consiliului</w:t>
      </w:r>
      <w:r>
        <w:rPr>
          <w:rStyle w:val="FootnoteReference"/>
          <w:noProof/>
        </w:rPr>
        <w:footnoteReference w:id="26"/>
      </w:r>
      <w:r>
        <w:rPr>
          <w:noProof/>
        </w:rPr>
        <w:t xml:space="preserve">, Malta a fost autorizată să introducă o măsură specială de derogare de la articolul 287 din Directiva 2006/112/CE pentru a scuti de la plata TVA persoanele impozabile a căror activitate economică constă în principal în prestări de servicii cu o valoare adăugată ridicată (inputuri scăzute) și a căror cifră de afaceri anuală nu depășește 20 000 EUR, până la 31 decembrie 2024. </w:t>
      </w:r>
    </w:p>
    <w:p>
      <w:pPr>
        <w:pStyle w:val="ManualConsidrant"/>
        <w:rPr>
          <w:noProof/>
        </w:rPr>
      </w:pPr>
      <w:r>
        <w:t>(3)</w:t>
      </w:r>
      <w:r>
        <w:tab/>
      </w:r>
      <w:r>
        <w:rPr>
          <w:noProof/>
        </w:rPr>
        <w:t>Prin scrisoarea înregistrată de Comisie la 20 octombrie 2020, Malta a solicitat autorizarea de a aplica o măsură de derogare de la articolul 287 din Directiva 2006/112/CE care permite Maltei să scutească de la plata TVA persoanele impozabile a căror activitate economică constă în principal în prestarea de servicii cu o valoare adăugată scăzută (inputuri ridicate) sau prestarea de servicii cu o valoare adăugată ridicată (inputuri scăzute) și a căror cifră de afaceri anuală nu depășește 30 000 EUR, până la 31 decembrie 2024 (denumită în continuare „măsura de derogare”). Comisia a solicitat informații suplimentare referitoare la cerere, care au fost furnizate prin scrisoarea înregistrată de Comisie la 9 noiembrie 2020.</w:t>
      </w:r>
    </w:p>
    <w:p>
      <w:pPr>
        <w:pStyle w:val="ManualConsidrant"/>
        <w:rPr>
          <w:noProof/>
        </w:rPr>
      </w:pPr>
      <w:r>
        <w:lastRenderedPageBreak/>
        <w:t>(4)</w:t>
      </w:r>
      <w:r>
        <w:tab/>
      </w:r>
      <w:r>
        <w:rPr>
          <w:noProof/>
        </w:rPr>
        <w:t>În conformitate cu articolul 395 alineatul (2) al doilea paragraf din Directiva 2006/112/CE, Comisia a transmis cererea Maltei celorlalte state membre prin scrisoarea din 17 decembrie 2020. Prin scrisoarea din 18 decembrie 2020, Comisia a informat Malta că deține toate informațiile necesare pentru a evalua cererea.</w:t>
      </w:r>
    </w:p>
    <w:p>
      <w:pPr>
        <w:pStyle w:val="ManualConsidrant"/>
        <w:rPr>
          <w:noProof/>
        </w:rPr>
      </w:pPr>
      <w:r>
        <w:t>(5)</w:t>
      </w:r>
      <w:r>
        <w:tab/>
      </w:r>
      <w:r>
        <w:rPr>
          <w:noProof/>
        </w:rPr>
        <w:t>Având în vedere că se preconizează că pragul majorat va reduce obligațiile în materie de TVA și, prin urmare, sarcina administrativă și costurile de asigurare a conformității pentru întreprinderile mici și va simplifica colectarea TVA pentru autoritățile fiscale, iar impactul asupra veniturilor totale din TVA ale Maltei colectate în etapa consumului final este neglijabil, Malta trebuie să fie autorizată să aplice măsura de derogare.</w:t>
      </w:r>
    </w:p>
    <w:p>
      <w:pPr>
        <w:pStyle w:val="ManualConsidrant"/>
        <w:rPr>
          <w:noProof/>
        </w:rPr>
      </w:pPr>
      <w:r>
        <w:t>(6)</w:t>
      </w:r>
      <w:r>
        <w:tab/>
      </w:r>
      <w:r>
        <w:rPr>
          <w:noProof/>
        </w:rPr>
        <w:t>Măsura de derogare nu are impact asupra resurselor proprii ale Uniunii care provin din TVA, deoarece Malta va efectua un calcul de compensare în conformitate cu articolul 6 din Regulamentul (CEE, Euratom) nr. 1553/89 al Consiliului</w:t>
      </w:r>
      <w:r>
        <w:rPr>
          <w:rStyle w:val="FootnoteReference"/>
          <w:noProof/>
        </w:rPr>
        <w:footnoteReference w:id="27"/>
      </w:r>
      <w:r>
        <w:rPr>
          <w:noProof/>
        </w:rPr>
        <w:t>.</w:t>
      </w:r>
    </w:p>
    <w:p>
      <w:pPr>
        <w:pStyle w:val="ManualConsidrant"/>
        <w:rPr>
          <w:noProof/>
        </w:rPr>
      </w:pPr>
      <w:r>
        <w:t>(7)</w:t>
      </w:r>
      <w:r>
        <w:tab/>
      </w:r>
      <w:r>
        <w:rPr>
          <w:noProof/>
        </w:rPr>
        <w:t>Autorizația de a aplica măsura de derogare trebuie să fie limitată în timp. Termenul trebuie să fie suficient pentru a permite evaluarea eficacității și a caracterului adecvat al pragului. În plus, articolul 287 din Directiva 2006/112/CE este eliminat prin Directiva (UE) 2020/285 a Consiliului</w:t>
      </w:r>
      <w:r>
        <w:rPr>
          <w:rStyle w:val="FootnoteReference"/>
          <w:noProof/>
        </w:rPr>
        <w:footnoteReference w:id="28"/>
      </w:r>
      <w:r>
        <w:rPr>
          <w:noProof/>
        </w:rPr>
        <w:t>, care stabilește norme mai simple în materie de TVA pentru întreprinderile mici, cu efect de la 1 ianuarie 2025. Prin urmare, este oportun ca Malta să fie autorizată să aplice măsura de derogare până la 31 decembrie 2024.</w:t>
      </w:r>
    </w:p>
    <w:p>
      <w:pPr>
        <w:pStyle w:val="ManualConsidrant"/>
        <w:rPr>
          <w:noProof/>
        </w:rPr>
      </w:pPr>
      <w:r>
        <w:t>(8)</w:t>
      </w:r>
      <w:r>
        <w:tab/>
      </w:r>
      <w:r>
        <w:rPr>
          <w:noProof/>
        </w:rPr>
        <w:t>Prin urmare, Decizia de punere în aplicare (UE) 2018/279 trebuie abrogată,</w:t>
      </w:r>
    </w:p>
    <w:p>
      <w:pPr>
        <w:rPr>
          <w:noProof/>
        </w:rPr>
      </w:pPr>
    </w:p>
    <w:p>
      <w:pPr>
        <w:pStyle w:val="Formuledadoption"/>
        <w:rPr>
          <w:noProof/>
        </w:rPr>
      </w:pPr>
      <w:r>
        <w:rPr>
          <w:noProof/>
        </w:rPr>
        <w:t xml:space="preserve">ADOPTĂ PREZENTA DECIZIE: </w:t>
      </w:r>
    </w:p>
    <w:p>
      <w:pPr>
        <w:pStyle w:val="Titrearticle"/>
        <w:rPr>
          <w:noProof/>
        </w:rPr>
      </w:pPr>
      <w:r>
        <w:rPr>
          <w:noProof/>
        </w:rPr>
        <w:t>Articolul 1</w:t>
      </w:r>
    </w:p>
    <w:p>
      <w:pPr>
        <w:rPr>
          <w:noProof/>
        </w:rPr>
      </w:pPr>
      <w:r>
        <w:rPr>
          <w:noProof/>
        </w:rPr>
        <w:t>Prin derogare de la articolul 287 punctul 13 din Directiva 2006/112/CE, Malta este autorizată să scutească de la plata TVA persoanele impozabile a căror activitate economică constă în principal în prestări de servicii cu o valoare adăugată scăzută (inputuri ridicate) sau prestări de servicii cu o valoare adăugată ridicată (inputuri scăzute) și a căror cifră de afaceri anuală nu depășește 30 000 EUR.</w:t>
      </w:r>
    </w:p>
    <w:p>
      <w:pPr>
        <w:jc w:val="center"/>
        <w:rPr>
          <w:noProof/>
        </w:rPr>
      </w:pPr>
      <w:r>
        <w:rPr>
          <w:i/>
          <w:noProof/>
        </w:rPr>
        <w:t>Articolul 2</w:t>
      </w:r>
    </w:p>
    <w:p>
      <w:pPr>
        <w:rPr>
          <w:noProof/>
        </w:rPr>
      </w:pPr>
      <w:r>
        <w:rPr>
          <w:noProof/>
        </w:rPr>
        <w:t xml:space="preserve">Se abrogă Decizia de punere în aplicare (UE) 2018/279. </w:t>
      </w:r>
    </w:p>
    <w:p>
      <w:pPr>
        <w:pStyle w:val="Titrearticle"/>
        <w:rPr>
          <w:noProof/>
        </w:rPr>
      </w:pPr>
      <w:r>
        <w:rPr>
          <w:noProof/>
        </w:rPr>
        <w:t>Articolul 3</w:t>
      </w:r>
    </w:p>
    <w:p>
      <w:pPr>
        <w:rPr>
          <w:noProof/>
        </w:rPr>
      </w:pPr>
      <w:r>
        <w:rPr>
          <w:noProof/>
        </w:rPr>
        <w:t>Prezenta decizie se aplică până la 31 decembrie 2024.</w:t>
      </w:r>
    </w:p>
    <w:p>
      <w:pPr>
        <w:rPr>
          <w:noProof/>
        </w:rPr>
      </w:pPr>
    </w:p>
    <w:p>
      <w:pPr>
        <w:pStyle w:val="Titrearticle"/>
        <w:rPr>
          <w:noProof/>
        </w:rPr>
      </w:pPr>
      <w:r>
        <w:rPr>
          <w:noProof/>
        </w:rPr>
        <w:lastRenderedPageBreak/>
        <w:t>Articolul 4</w:t>
      </w:r>
    </w:p>
    <w:p>
      <w:pPr>
        <w:rPr>
          <w:noProof/>
        </w:rPr>
      </w:pPr>
      <w:r>
        <w:rPr>
          <w:noProof/>
        </w:rPr>
        <w:t>Prezenta decizie se adresează Republicii Malta.</w:t>
      </w: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JO L 347, 11.12.2006, p. 1.</w:t>
      </w:r>
    </w:p>
  </w:footnote>
  <w:footnote w:id="3">
    <w:p>
      <w:pPr>
        <w:pStyle w:val="FootnoteText"/>
      </w:pPr>
      <w:r>
        <w:rPr>
          <w:rStyle w:val="FootnoteReference"/>
        </w:rPr>
        <w:footnoteRef/>
      </w:r>
      <w:r>
        <w:tab/>
        <w:t xml:space="preserve">Comunicarea Comisiei către Consiliu, Parlamentul European, Comitetul Economic și Social European și Comitetul Regiunilor - „«Gândiți mai întâi la scară mică»: Prioritate pentru IMM-uri - Un «Small Business Act» pentru Europa”, Bruxelles, 25.6.2008, </w:t>
      </w:r>
      <w:r>
        <w:rPr>
          <w:color w:val="000000"/>
          <w:szCs w:val="22"/>
        </w:rPr>
        <w:t>COM (2008) 394 final, 25 iunie 2008.</w:t>
      </w:r>
    </w:p>
  </w:footnote>
  <w:footnote w:id="4">
    <w:p>
      <w:pPr>
        <w:pStyle w:val="FootnoteText"/>
      </w:pPr>
      <w:r>
        <w:rPr>
          <w:rStyle w:val="FootnoteReference"/>
        </w:rPr>
        <w:footnoteRef/>
      </w:r>
      <w:r>
        <w:tab/>
        <w:t>Decizia de punere în aplicare (UE) 2020/1662 a Consiliului din 3 noiembrie 2020 de modificare a Deciziei de punere în aplicare (UE) 2018/279 de autorizare a Maltei să aplice o măsură specială de derogare de la articolul 287 din Directiva 2006/112/CE privind sistemul comun al taxei pe valoarea adăugată (JO L 374, 10.11.2020, p. 6-7).</w:t>
      </w:r>
    </w:p>
  </w:footnote>
  <w:footnote w:id="5">
    <w:p>
      <w:pPr>
        <w:pStyle w:val="FootnoteText"/>
      </w:pPr>
      <w:r>
        <w:rPr>
          <w:rStyle w:val="FootnoteReference"/>
        </w:rPr>
        <w:footnoteRef/>
      </w:r>
      <w:r>
        <w:tab/>
        <w:t>Decizia de punere în aplicare (UE) 2018/279 a Consiliului din 20 februarie 2018 de autorizare a Maltei să aplice o măsură specială de derogare de la articolul 287 din Directiva 2006/112/CE privind sistemul comun al taxei pe valoarea adăugată (JO L 54, 24.2.2018, p. 14-15).</w:t>
      </w:r>
    </w:p>
  </w:footnote>
  <w:footnote w:id="6">
    <w:p>
      <w:pPr>
        <w:pStyle w:val="FootnoteText"/>
      </w:pPr>
      <w:r>
        <w:rPr>
          <w:rStyle w:val="FootnoteReference"/>
        </w:rPr>
        <w:footnoteRef/>
      </w:r>
      <w:r>
        <w:tab/>
        <w:t>Directiva (UE) 2020/285 a Consiliului din 18 februarie 2020 de modificare a Directivei 2006/112/CE privind sistemul comun al taxei pe valoarea adăugată în ceea ce privește regimul special pentru întreprinderile mici și a Regulamentului (UE) nr. 904/2010 în ceea ce privește cooperarea administrativă și schimbul de informații în scopul monitorizării aplicării corecte a regimului special pentru întreprinderile mici (JO L 62, 2.3.2020, p. 13).</w:t>
      </w:r>
    </w:p>
  </w:footnote>
  <w:footnote w:id="7">
    <w:p>
      <w:pPr>
        <w:pStyle w:val="FootnoteText"/>
      </w:pPr>
      <w:r>
        <w:rPr>
          <w:rStyle w:val="FootnoteReference"/>
        </w:rPr>
        <w:footnoteRef/>
      </w:r>
      <w:r>
        <w:tab/>
        <w:t>Comunicarea Comisiei către Parlamentul European, Consiliu și Comitetul Economic și Social European referitoare la un plan de acțiune privind TVA – Către un spațiu unic pentru TVA în UE – Momentul deciziei, COM(2016)148 final.</w:t>
      </w:r>
    </w:p>
  </w:footnote>
  <w:footnote w:id="8">
    <w:p>
      <w:pPr>
        <w:pStyle w:val="FootnoteText"/>
      </w:pPr>
      <w:r>
        <w:rPr>
          <w:rStyle w:val="FootnoteReference"/>
        </w:rPr>
        <w:footnoteRef/>
      </w:r>
      <w:r>
        <w:tab/>
        <w:t>Decizia de punere în aplicare (UE) 2018/1904 a Consiliului din 4 decembrie 2018 de autorizare a Țărilor de Jos să introducă o măsură specială de derogare de la articolul 285 din Directiva 2006/112/CE privind sistemul comun al taxei pe valoarea adăugată (JO L 310, 6.12.2018, p. 25).</w:t>
      </w:r>
    </w:p>
  </w:footnote>
  <w:footnote w:id="9">
    <w:p>
      <w:pPr>
        <w:pStyle w:val="FootnoteText"/>
      </w:pPr>
      <w:r>
        <w:rPr>
          <w:rStyle w:val="FootnoteReference"/>
        </w:rPr>
        <w:footnoteRef/>
      </w:r>
      <w:r>
        <w:tab/>
        <w:t>Decizia de punere în aplicare (UE) 2016/1988 a Consiliului din 8 noiembrie 2016 de modificare a Deciziei de punere în aplicare 2013/678/UE de autorizare a Republicii Italiene pentru continuarea aplicării unei măsuri speciale de derogare de la articolul 285 din Directiva 2006/112/CE privind sistemul comun al taxei pe valoarea adăugată (JO L 306, 15.11.2016, p. 11-12).</w:t>
      </w:r>
    </w:p>
  </w:footnote>
  <w:footnote w:id="10">
    <w:p>
      <w:pPr>
        <w:pStyle w:val="FootnoteText"/>
      </w:pPr>
      <w:r>
        <w:rPr>
          <w:rStyle w:val="FootnoteReference"/>
        </w:rPr>
        <w:footnoteRef/>
      </w:r>
      <w:r>
        <w:tab/>
        <w:t>Decizia de punere în aplicare (UE) 2019/2210 a Consiliului din 19 decembrie 2019 de modificare a Deciziei de punere în aplicare 2013/677/UE de autorizare a Luxemburgului în vederea aplicării unei măsuri speciale de derogare de la articolul 285 din Directiva 2006/112/CE privind sistemul comun al taxei pe valoarea adăugată (JO L 332, 23.12.2019, p. 155).</w:t>
      </w:r>
    </w:p>
  </w:footnote>
  <w:footnote w:id="11">
    <w:p>
      <w:pPr>
        <w:pStyle w:val="FootnoteText"/>
      </w:pPr>
      <w:r>
        <w:rPr>
          <w:rStyle w:val="FootnoteReference"/>
        </w:rPr>
        <w:footnoteRef/>
      </w:r>
      <w:r>
        <w:tab/>
        <w:t>Decizia de punere în aplicare (UE) 2017/2408 a Consiliului din 18 decembrie 2017 de autorizare a Republicii Letonia de a aplica o măsură specială de derogare de la articolul 287 din Directiva 2006/112/CE privind sistemul comun al taxei pe valoarea adăugată (JO L 342, 21.12.2017, p. 8).</w:t>
      </w:r>
    </w:p>
  </w:footnote>
  <w:footnote w:id="12">
    <w:p>
      <w:pPr>
        <w:pStyle w:val="FootnoteText"/>
      </w:pPr>
      <w:r>
        <w:rPr>
          <w:rStyle w:val="FootnoteReference"/>
        </w:rPr>
        <w:footnoteRef/>
      </w:r>
      <w:r>
        <w:tab/>
        <w:t>Decizia de punere în aplicare (UE) 2018/1919 a Consiliului din 4 decembrie 2018 de modificare a Deciziei 2009/790/CE de autorizare a Republicii Polone de a aplica o măsură derogatorie de la dispozițiile articolului 287 din Directiva 2006/112/CE privind sistemul comun al taxei pe valoarea adăugată (JO L 311, 7.12.2018, p. 32).</w:t>
      </w:r>
    </w:p>
  </w:footnote>
  <w:footnote w:id="13">
    <w:p>
      <w:pPr>
        <w:pStyle w:val="FootnoteText"/>
      </w:pPr>
      <w:r>
        <w:rPr>
          <w:rStyle w:val="FootnoteReference"/>
        </w:rPr>
        <w:footnoteRef/>
      </w:r>
      <w:r>
        <w:tab/>
        <w:t>Decizia de punere în aplicare (UE) 2021/358 a Consiliului din 22 februarie 2021 de modificare a Deciziei de punere în aplicare (UE) 2017/563 prin care Republica Estonia este autorizată să aplice o măsură specială de derogare de la articolul 287 din Directiva 2006/112/CE privind sistemul comun al taxei pe valoarea adăugată (JO L 69, 26.2.2021, p. 4).</w:t>
      </w:r>
    </w:p>
  </w:footnote>
  <w:footnote w:id="14">
    <w:p>
      <w:pPr>
        <w:pStyle w:val="FootnoteText"/>
      </w:pPr>
      <w:r>
        <w:rPr>
          <w:rStyle w:val="FootnoteReference"/>
        </w:rPr>
        <w:footnoteRef/>
      </w:r>
      <w:r>
        <w:tab/>
        <w:t>Decizia de punere în aplicare (UE) 2017/1768 a Consiliului din 25 septembrie 2017 de autorizare a Republicii Croația să introducă o măsură specială de derogare de la articolul 287 din Directiva 2006/112/CE privind sistemul comun al taxei pe valoarea adăugată (JO L 250, 28.9.2017, p. 71).</w:t>
      </w:r>
    </w:p>
  </w:footnote>
  <w:footnote w:id="15">
    <w:p>
      <w:pPr>
        <w:pStyle w:val="FootnoteText"/>
      </w:pPr>
      <w:r>
        <w:rPr>
          <w:rStyle w:val="FootnoteReference"/>
        </w:rPr>
        <w:footnoteRef/>
      </w:r>
      <w:r>
        <w:tab/>
        <w:t xml:space="preserve">Decizia de punere în aplicare (UE) 2021/86 a Consiliului din 22 ianuarie 2021 prin care Republica Lituania este autorizată să aplice o măsură specială de derogare de la articolul 287 din Directiva 2006/112/CE privind sistemul comun al taxei pe valoarea adăugată (JO L 30, 28.1.2021, p. 2–3). </w:t>
      </w:r>
    </w:p>
  </w:footnote>
  <w:footnote w:id="16">
    <w:p>
      <w:pPr>
        <w:pStyle w:val="FootnoteText"/>
      </w:pPr>
      <w:r>
        <w:rPr>
          <w:rStyle w:val="FootnoteReference"/>
        </w:rPr>
        <w:footnoteRef/>
      </w:r>
      <w:r>
        <w:tab/>
        <w:t>Decizia de punere în aplicare (UE) 2018/1490 a Consiliului din 2 octombrie 2018 prin care Ungaria este autorizată să aplice o măsură specială de derogare de la articolul 287 din Directiva 2006/112/CE privind sistemul comun al taxei pe valoarea adăugată (JO L 252, 8.10.2018, p. 38).</w:t>
      </w:r>
    </w:p>
  </w:footnote>
  <w:footnote w:id="17">
    <w:p>
      <w:pPr>
        <w:pStyle w:val="FootnoteText"/>
      </w:pPr>
      <w:r>
        <w:rPr>
          <w:rStyle w:val="FootnoteReference"/>
        </w:rPr>
        <w:footnoteRef/>
      </w:r>
      <w:r>
        <w:tab/>
        <w:t>Decizia de punere în aplicare (UE) 2018/1700 a Consiliului din 6 noiembrie 2018 de modificare a Deciziei de punere în aplicare 2013/54/UE de autorizare a Republicii Slovenia să introducă o măsură specială de derogare de la articolul 287 din Directiva 2006/112/CE privind sistemul comun al taxei pe valoarea adăugată (JO L 285, 13.11.2018, p. 78).</w:t>
      </w:r>
    </w:p>
  </w:footnote>
  <w:footnote w:id="18">
    <w:p>
      <w:pPr>
        <w:pStyle w:val="FootnoteText"/>
      </w:pPr>
      <w:r>
        <w:rPr>
          <w:rStyle w:val="FootnoteReference"/>
        </w:rPr>
        <w:footnoteRef/>
      </w:r>
      <w:r>
        <w:tab/>
        <w:t>Decizia de punere în aplicare (UE) 2020/1260 a Consiliului din 4 septembrie 2020 de modificare a Deciziei de punere în aplicare (UE) 2017/1855 de autorizare a României să aplice o măsură specială de derogare de la articolul 287 din Directiva 2006/112/CE privind sistemul comun al taxei pe valoarea adăugată (JO L 296, 10.9.2020, p. 1-3).</w:t>
      </w:r>
      <w:r>
        <w:rPr>
          <w:highlight w:val="yellow"/>
        </w:rPr>
        <w:t xml:space="preserve"> </w:t>
      </w:r>
    </w:p>
  </w:footnote>
  <w:footnote w:id="19">
    <w:p>
      <w:pPr>
        <w:pStyle w:val="FootnoteText"/>
      </w:pPr>
      <w:r>
        <w:rPr>
          <w:rStyle w:val="FootnoteReference"/>
        </w:rPr>
        <w:footnoteRef/>
      </w:r>
      <w:r>
        <w:tab/>
        <w:t>Comunicarea Comisiei către Parlamentul European, Consiliu, Comitetul Economic și Social European și Comitetul Regiunilor – Programul de lucru al Comisiei pentru 2020 – O Uniune mai ambițioasă [COM(2020) 37 final].</w:t>
      </w:r>
    </w:p>
  </w:footnote>
  <w:footnote w:id="20">
    <w:p>
      <w:pPr>
        <w:pStyle w:val="FootnoteText"/>
      </w:pPr>
      <w:r>
        <w:rPr>
          <w:rStyle w:val="FootnoteReference"/>
        </w:rPr>
        <w:footnoteRef/>
      </w:r>
      <w:r>
        <w:tab/>
        <w:t>Comunicarea Comisiei către Parlamentul European, Consiliu, Comitetul Economic și Social European și Comitetul Regiunilor - Programul de lucru al Comisiei pentru 2017 [COM(2016) 710 final].</w:t>
      </w:r>
    </w:p>
  </w:footnote>
  <w:footnote w:id="21">
    <w:p>
      <w:pPr>
        <w:pStyle w:val="FootnoteText"/>
      </w:pPr>
      <w:r>
        <w:rPr>
          <w:rStyle w:val="FootnoteReference"/>
        </w:rPr>
        <w:footnoteRef/>
      </w:r>
      <w:r>
        <w:tab/>
        <w:t>Comunicarea Comisiei către Parlamentul European, Consiliu, Comitetul Economic și Social European și Comitetul Regiunilor – Ameliorarea pieței unice: mai multe oportunități pentru cetățeni și pentru întreprinderi [COM(2015) 550 final].</w:t>
      </w:r>
    </w:p>
  </w:footnote>
  <w:footnote w:id="22">
    <w:p>
      <w:pPr>
        <w:pStyle w:val="FootnoteText"/>
      </w:pPr>
      <w:r>
        <w:rPr>
          <w:rStyle w:val="FootnoteReference"/>
        </w:rPr>
        <w:footnoteRef/>
      </w:r>
      <w:r>
        <w:tab/>
        <w:t>Comunicarea Comisiei către Parlamentul European, Consiliu, Comitetul Economic și Social European și Comitetul Regiunilor – Planul de acțiune Antreprenoriat 2020: Relansarea spiritului de întreprindere în Europa [COM(2012) 795 final].</w:t>
      </w:r>
    </w:p>
  </w:footnote>
  <w:footnote w:id="23">
    <w:p>
      <w:pPr>
        <w:pStyle w:val="FootnoteText"/>
      </w:pPr>
      <w:r>
        <w:rPr>
          <w:rStyle w:val="FootnoteReference"/>
        </w:rPr>
        <w:footnoteRef/>
      </w:r>
      <w:r>
        <w:tab/>
        <w:t>Comunicarea Comisiei către Parlamentul European, Consiliu, Comitetul Economic și Social European și Comitetul Regiunilor – Viitorii lideri ai Europei: inițiativa privind întreprinderile nou-înființate și extinderea acestora [COM(2016) 733 final].</w:t>
      </w:r>
    </w:p>
  </w:footnote>
  <w:footnote w:id="24">
    <w:p>
      <w:pPr>
        <w:pStyle w:val="FootnoteText"/>
      </w:pPr>
      <w:r>
        <w:rPr>
          <w:rStyle w:val="FootnoteReference"/>
        </w:rPr>
        <w:footnoteRef/>
      </w:r>
      <w:r>
        <w:tab/>
        <w:t>Comunicarea Comisiei către Parlamentul European, Consiliu, Comitetul Economic și Social European și Comitetul Regiunilor – „Gândiți mai întâi la scară mică”: Prioritate pentru IMM-uri, Un „Small Business Act” pentru Europa [COM(2008) 394 final].</w:t>
      </w:r>
    </w:p>
  </w:footnote>
  <w:footnote w:id="25">
    <w:p>
      <w:pPr>
        <w:pStyle w:val="FootnoteText"/>
      </w:pPr>
      <w:r>
        <w:rPr>
          <w:rStyle w:val="FootnoteReference"/>
        </w:rPr>
        <w:footnoteRef/>
      </w:r>
      <w:r>
        <w:tab/>
        <w:t>JO L 347, 11.12.2006, p. 1.</w:t>
      </w:r>
    </w:p>
  </w:footnote>
  <w:footnote w:id="26">
    <w:p>
      <w:pPr>
        <w:pStyle w:val="FootnoteText"/>
      </w:pPr>
      <w:r>
        <w:rPr>
          <w:rStyle w:val="FootnoteReference"/>
        </w:rPr>
        <w:footnoteRef/>
      </w:r>
      <w:r>
        <w:tab/>
        <w:t>Decizia de punere în aplicare (UE) 2018/279 a Consiliului din 20 februarie 2018 de autorizare a Maltei să aplice o măsură specială de derogare de la articolul 287 din Directiva 2006/112/CE privind sistemul comun al taxei pe valoarea adăugată (JO L 54, 24.2.2018, p. 14).</w:t>
      </w:r>
    </w:p>
  </w:footnote>
  <w:footnote w:id="27">
    <w:p>
      <w:pPr>
        <w:pStyle w:val="FootnoteText"/>
      </w:pPr>
      <w:r>
        <w:rPr>
          <w:rStyle w:val="FootnoteReference"/>
        </w:rPr>
        <w:footnoteRef/>
      </w:r>
      <w:r>
        <w:tab/>
        <w:t>Regulamentul (CEE, Euratom) nr. 1553/89 al Consiliului din 29 mai 1989 privind regimul unitar definitiv de colectare a resurselor proprii provenite din taxa pe valoarea adăugată (JO L 155, 7.6.1989, p. 9).</w:t>
      </w:r>
    </w:p>
  </w:footnote>
  <w:footnote w:id="28">
    <w:p>
      <w:pPr>
        <w:pStyle w:val="FootnoteText"/>
      </w:pPr>
      <w:r>
        <w:rPr>
          <w:rStyle w:val="FootnoteReference"/>
        </w:rPr>
        <w:footnoteRef/>
      </w:r>
      <w:r>
        <w:tab/>
        <w:t>Directiva (UE) 2020/285 a Consiliului din 18 februarie 2020 de modificare a Directivei 2006/112/CE privind sistemul comun al taxei pe valoarea adăugată în ceea ce privește regimul special pentru întreprinderile mici și a Regulamentului (UE) nr. 904/2010 în ceea ce privește cooperarea administrativă și schimbul de informații în scopul monitorizării aplicării corecte a regimului special pentru întreprinderile mici (JO L 62, 2.3.2020, p.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BDC8A3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A7E0110"/>
    <w:lvl w:ilvl="0">
      <w:start w:val="1"/>
      <w:numFmt w:val="decimal"/>
      <w:pStyle w:val="ListNumber3"/>
      <w:lvlText w:val="%1."/>
      <w:lvlJc w:val="left"/>
      <w:pPr>
        <w:tabs>
          <w:tab w:val="num" w:pos="926"/>
        </w:tabs>
        <w:ind w:left="926" w:hanging="360"/>
      </w:pPr>
    </w:lvl>
  </w:abstractNum>
  <w:abstractNum w:abstractNumId="2">
    <w:nsid w:val="FFFFFF7F"/>
    <w:multiLevelType w:val="singleLevel"/>
    <w:tmpl w:val="D7F6A8D4"/>
    <w:lvl w:ilvl="0">
      <w:start w:val="1"/>
      <w:numFmt w:val="decimal"/>
      <w:pStyle w:val="ListNumber2"/>
      <w:lvlText w:val="%1."/>
      <w:lvlJc w:val="left"/>
      <w:pPr>
        <w:tabs>
          <w:tab w:val="num" w:pos="643"/>
        </w:tabs>
        <w:ind w:left="643" w:hanging="360"/>
      </w:pPr>
    </w:lvl>
  </w:abstractNum>
  <w:abstractNum w:abstractNumId="3">
    <w:nsid w:val="FFFFFF81"/>
    <w:multiLevelType w:val="singleLevel"/>
    <w:tmpl w:val="63A04C6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62C16A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AA2375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FBE43F4"/>
    <w:lvl w:ilvl="0">
      <w:start w:val="1"/>
      <w:numFmt w:val="decimal"/>
      <w:pStyle w:val="ListNumber"/>
      <w:lvlText w:val="%1."/>
      <w:lvlJc w:val="left"/>
      <w:pPr>
        <w:tabs>
          <w:tab w:val="num" w:pos="360"/>
        </w:tabs>
        <w:ind w:left="360" w:hanging="360"/>
      </w:pPr>
    </w:lvl>
  </w:abstractNum>
  <w:abstractNum w:abstractNumId="7">
    <w:nsid w:val="FFFFFF89"/>
    <w:multiLevelType w:val="singleLevel"/>
    <w:tmpl w:val="CC7AE2E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283"/>
  <w:characterSpacingControl w:val="doNotCompress"/>
  <w:hdrShapeDefaults>
    <o:shapedefaults v:ext="edit" spidmax="573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22 08:53:0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21040CE-0F05-41B1-A86A-FAAE9904E8B8"/>
    <w:docVar w:name="LW_COVERPAGE_TYPE" w:val="1"/>
    <w:docVar w:name="LW_CROSSREFERENCE" w:val="&lt;UNUSED&gt;"/>
    <w:docVar w:name="LW_DocType" w:val="COM"/>
    <w:docVar w:name="LW_EMISSION" w:val="29.3.2021"/>
    <w:docVar w:name="LW_EMISSION_ISODATE" w:val="2021-03-29"/>
    <w:docVar w:name="LW_EMISSION_LOCATION" w:val="BRX"/>
    <w:docVar w:name="LW_EMISSION_PREFIX" w:val="Bruxelles,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073"/>
    <w:docVar w:name="LW_REF.II.NEW.CP_YEAR" w:val="2021"/>
    <w:docVar w:name="LW_REF.INST.NEW" w:val="COM"/>
    <w:docVar w:name="LW_REF.INST.NEW_ADOPTED" w:val="final"/>
    <w:docVar w:name="LW_REF.INST.NEW_TEXT" w:val="(2021) 14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de"/>
    <w:docVar w:name="LW_SUPERTITRE" w:val="&lt;UNUSED&gt;"/>
    <w:docVar w:name="LW_TITRE.OBJ.CP" w:val="de autorizare a Maltei s\u259? aplice o m\u259?sur\u259? special\u259? de derogare de la articolul 287 din Directiva 2006/112/CE privind sistemul comun al taxei pe valoarea ad\u259?ugat\u259?"/>
    <w:docVar w:name="LW_TYPE.DOC.CP" w:val="DECIZIE DE PUNERE ÎN APLICARE A CONSILIULUI"/>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394865">
      <w:bodyDiv w:val="1"/>
      <w:marLeft w:val="0"/>
      <w:marRight w:val="0"/>
      <w:marTop w:val="0"/>
      <w:marBottom w:val="0"/>
      <w:divBdr>
        <w:top w:val="none" w:sz="0" w:space="0" w:color="auto"/>
        <w:left w:val="none" w:sz="0" w:space="0" w:color="auto"/>
        <w:bottom w:val="none" w:sz="0" w:space="0" w:color="auto"/>
        <w:right w:val="none" w:sz="0" w:space="0" w:color="auto"/>
      </w:divBdr>
    </w:div>
    <w:div w:id="927731724">
      <w:bodyDiv w:val="1"/>
      <w:marLeft w:val="0"/>
      <w:marRight w:val="0"/>
      <w:marTop w:val="0"/>
      <w:marBottom w:val="0"/>
      <w:divBdr>
        <w:top w:val="none" w:sz="0" w:space="0" w:color="auto"/>
        <w:left w:val="none" w:sz="0" w:space="0" w:color="auto"/>
        <w:bottom w:val="none" w:sz="0" w:space="0" w:color="auto"/>
        <w:right w:val="none" w:sz="0" w:space="0" w:color="auto"/>
      </w:divBdr>
    </w:div>
    <w:div w:id="949816716">
      <w:bodyDiv w:val="1"/>
      <w:marLeft w:val="0"/>
      <w:marRight w:val="0"/>
      <w:marTop w:val="0"/>
      <w:marBottom w:val="0"/>
      <w:divBdr>
        <w:top w:val="none" w:sz="0" w:space="0" w:color="auto"/>
        <w:left w:val="none" w:sz="0" w:space="0" w:color="auto"/>
        <w:bottom w:val="none" w:sz="0" w:space="0" w:color="auto"/>
        <w:right w:val="none" w:sz="0" w:space="0" w:color="auto"/>
      </w:divBdr>
    </w:div>
    <w:div w:id="132705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379A9C4-B612-4193-B975-94D416C7F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11</Pages>
  <Words>2919</Words>
  <Characters>16148</Characters>
  <Application>Microsoft Office Word</Application>
  <DocSecurity>0</DocSecurity>
  <Lines>260</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2021-03-19T08:57:00Z</dcterms:created>
  <dcterms:modified xsi:type="dcterms:W3CDTF">2021-03-22T07:53:00Z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