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F6CC311-B215-4B0D-8857-EE10781F97F4"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spacing w:before="100" w:beforeAutospacing="1" w:after="100" w:afterAutospacing="1"/>
        <w:rPr>
          <w:noProof/>
        </w:rPr>
      </w:pPr>
      <w:r>
        <w:rPr>
          <w:noProof/>
        </w:rPr>
        <w:t xml:space="preserve">Avtalet om ett gemensamt luftfartsområde mellan Europeiska unionen och dess medlemsstater, å ena sidan, och Republiken Armenien, å andra sidan, förhandlades fram av kommissionen i enlighet med rådets förhandlingsmandat av den 7 december 2015. </w:t>
      </w:r>
    </w:p>
    <w:p>
      <w:pPr>
        <w:spacing w:before="100" w:beforeAutospacing="1" w:after="100" w:afterAutospacing="1"/>
        <w:rPr>
          <w:noProof/>
        </w:rPr>
      </w:pPr>
      <w:r>
        <w:rPr>
          <w:noProof/>
        </w:rPr>
        <w:t xml:space="preserve">Lufttrafiken mellan EU och Armenien bedrivs idag på grundval av bilaterala avtal mellan enskilda medlemsstater och Armenien. </w:t>
      </w:r>
    </w:p>
    <w:p>
      <w:pPr>
        <w:spacing w:before="100" w:beforeAutospacing="1" w:after="100" w:afterAutospacing="1"/>
        <w:rPr>
          <w:noProof/>
        </w:rPr>
      </w:pPr>
      <w:r>
        <w:rPr>
          <w:noProof/>
        </w:rPr>
        <w:t>Det ingår i unionens yttre luftfartspolitik att förhandla fram omfattande luftfartsavtal med angränsande länder om det visat sig att sådana avtal skulle ge mervärde och ekonomiska fördelar. Avtalet syftar särskilt till</w:t>
      </w:r>
    </w:p>
    <w:p>
      <w:pPr>
        <w:autoSpaceDE w:val="0"/>
        <w:autoSpaceDN w:val="0"/>
        <w:adjustRightInd w:val="0"/>
        <w:spacing w:before="100" w:beforeAutospacing="1" w:after="100" w:afterAutospacing="1"/>
        <w:rPr>
          <w:noProof/>
        </w:rPr>
      </w:pPr>
      <w:r>
        <w:rPr>
          <w:noProof/>
        </w:rPr>
        <w:t>- att gradvis öppna marknaden när det gäller tillträde till flygvägar och kapacitet på ömsesidig grund,</w:t>
      </w:r>
    </w:p>
    <w:p>
      <w:pPr>
        <w:autoSpaceDE w:val="0"/>
        <w:autoSpaceDN w:val="0"/>
        <w:adjustRightInd w:val="0"/>
        <w:spacing w:before="100" w:beforeAutospacing="1" w:after="100" w:afterAutospacing="1"/>
        <w:rPr>
          <w:noProof/>
        </w:rPr>
      </w:pPr>
      <w:r>
        <w:rPr>
          <w:noProof/>
        </w:rPr>
        <w:t>- att säkerställa lagstiftningskonvergens och att Armenien i praktiken efterlever unionens lagstiftning på luftfartsområdet, och</w:t>
      </w:r>
    </w:p>
    <w:p>
      <w:pPr>
        <w:spacing w:before="100" w:beforeAutospacing="1" w:after="100" w:afterAutospacing="1"/>
        <w:rPr>
          <w:noProof/>
        </w:rPr>
      </w:pPr>
      <w:r>
        <w:rPr>
          <w:noProof/>
        </w:rPr>
        <w:t>- att man garanterar icke-diskriminering och lika villkor för alla ekonomiska aktörer.</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Allmän bakgrund</w:t>
      </w:r>
    </w:p>
    <w:p>
      <w:pPr>
        <w:rPr>
          <w:noProof/>
        </w:rPr>
      </w:pPr>
      <w:r>
        <w:rPr>
          <w:noProof/>
        </w:rPr>
        <w:t>I förhandlingsdirektiven anges som allmänt mål att förhandla fram ett omfattande luftfartsavtal i syfte att stegvis nå en ömsesidig marknadsöppning och lagstiftningskonvergens och en faktisk tillämpning av unionens krav och standarder.</w:t>
      </w:r>
    </w:p>
    <w:p>
      <w:pPr>
        <w:rPr>
          <w:noProof/>
        </w:rPr>
      </w:pPr>
      <w:r>
        <w:rPr>
          <w:noProof/>
        </w:rPr>
        <w:t>I enlighet med förhandlingsdirektiven paraferades ett utkast till avtal med Armenien av båda parterna den 24 november 2017.</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spacing w:before="100" w:beforeAutospacing="1" w:after="100" w:afterAutospacing="1"/>
        <w:rPr>
          <w:noProof/>
        </w:rPr>
      </w:pPr>
      <w:r>
        <w:rPr>
          <w:noProof/>
        </w:rPr>
        <w:t xml:space="preserve">Att ingå ett avtal om ett gemensamt europeiskt luftfartsområde med Armenien är ett viktigt led i utvecklingen av unionens yttre luftfartspolitik och en avgörande beståndsdel i unionens grannskapspolitik och skapandet av ett större gemensamt europeiskt luftfartsområde (se kommissionens meddelande COM(2012) 556 final </w:t>
      </w:r>
      <w:r>
        <w:rPr>
          <w:i/>
          <w:noProof/>
        </w:rPr>
        <w:t>EU:s yttre luftfartspolitik – att möta framtidens utmaningar</w:t>
      </w:r>
      <w:r>
        <w:rPr>
          <w:noProof/>
        </w:rPr>
        <w:t>.</w:t>
      </w:r>
    </w:p>
    <w:p>
      <w:pPr>
        <w:pStyle w:val="ManualHeading2"/>
        <w:rPr>
          <w:rFonts w:eastAsia="Arial Unicode MS"/>
          <w:noProof/>
        </w:rPr>
      </w:pPr>
      <w:r>
        <w:rPr>
          <w:noProof/>
          <w:color w:val="000000"/>
          <w:u w:color="000000"/>
          <w:bdr w:val="nil"/>
        </w:rPr>
        <w:t>•</w:t>
      </w:r>
      <w:r>
        <w:rPr>
          <w:noProof/>
        </w:rPr>
        <w:tab/>
        <w:t>Gällande bestämmelser</w:t>
      </w:r>
    </w:p>
    <w:p>
      <w:pPr>
        <w:pBdr>
          <w:top w:val="nil"/>
          <w:left w:val="nil"/>
          <w:bottom w:val="nil"/>
          <w:right w:val="nil"/>
          <w:between w:val="nil"/>
          <w:bar w:val="nil"/>
        </w:pBdr>
        <w:spacing w:before="0" w:after="240"/>
        <w:rPr>
          <w:rFonts w:eastAsia="Arial Unicode MS"/>
          <w:noProof/>
        </w:rPr>
      </w:pPr>
      <w:r>
        <w:rPr>
          <w:noProof/>
        </w:rPr>
        <w:t>Bestämmelserna i avtalet ska ha företräde framför gällande bestämmelser i de befintliga bilaterala luftfartsavtalen mellan medlemsstater och Republiken Armenien. Redan gällande trafikrättigheter enligt dessa bilaterala avtal som inte omfattas av detta avtal kan dock fortsätta att utövas, förutsatt att det inte sker någon diskriminering mellan medlemsstaterna eller aktörer etablerade i dessa stater.</w:t>
      </w:r>
    </w:p>
    <w:p>
      <w:pPr>
        <w:pStyle w:val="ManualHeading1"/>
        <w:rPr>
          <w:noProof/>
        </w:rPr>
      </w:pPr>
      <w:r>
        <w:rPr>
          <w:noProof/>
        </w:rPr>
        <w:lastRenderedPageBreak/>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noProof/>
        </w:rPr>
      </w:pPr>
      <w:r>
        <w:rPr>
          <w:noProof/>
        </w:rPr>
        <w:t xml:space="preserve">Den rättsliga grunden för förslaget är artikel 100.2 i fördraget om Europeiska unionens funktionssätt jämförd med artiklarna 218.6 a och 218.7. </w:t>
      </w:r>
    </w:p>
    <w:p>
      <w:pPr>
        <w:pStyle w:val="ManualHeading2"/>
        <w:rPr>
          <w:rFonts w:eastAsia="Arial Unicode MS"/>
          <w:noProof/>
          <w:u w:color="000000"/>
          <w:bdr w:val="nil"/>
        </w:rPr>
      </w:pPr>
      <w:r>
        <w:rPr>
          <w:noProof/>
        </w:rPr>
        <w:t>•</w:t>
      </w:r>
      <w:r>
        <w:rPr>
          <w:noProof/>
        </w:rPr>
        <w:tab/>
        <w:t xml:space="preserve">Subsidiaritetsprincipen (för icke-exklusiv befogenhet) </w:t>
      </w:r>
    </w:p>
    <w:p>
      <w:pPr>
        <w:pStyle w:val="Text1"/>
        <w:spacing w:before="100" w:beforeAutospacing="1" w:after="100" w:afterAutospacing="1"/>
        <w:ind w:left="0"/>
        <w:rPr>
          <w:noProof/>
        </w:rPr>
      </w:pPr>
      <w:r>
        <w:rPr>
          <w:noProof/>
        </w:rPr>
        <w:t>Avtalets bestämmelser kommer att ha företräde framför gällande bestämmelser i befintliga överenskommelser som ingåtts av enskilda medlemsstater. Genom avtalet skapas lika och enhetliga villkor för marknadstillträde samtidigt för unionens alla lufttrafikföretag och skapas nya ordningar för regleringssamarbete och lagstiftningskonvergens mellan Europeiska unionen och Armenien på områden som är av avgörande betydelse för luftfartssäkerhet, luftfartsskydd och en effektiv lufttrafik. Eftersom dessa ordningar rör flera områden där unionen har ensam behörighet kan de endast uppnås på unionsnivå.</w:t>
      </w:r>
    </w:p>
    <w:p>
      <w:pPr>
        <w:pStyle w:val="Text1"/>
        <w:spacing w:before="100" w:beforeAutospacing="1" w:after="100" w:afterAutospacing="1"/>
        <w:ind w:left="0"/>
        <w:rPr>
          <w:noProof/>
        </w:rPr>
      </w:pPr>
      <w:r>
        <w:rPr>
          <w:noProof/>
        </w:rPr>
        <w:t>Åtgärder på unionsnivå kommer av följande skäl att göra det lättare att uppnå förslagets mål.</w:t>
      </w:r>
    </w:p>
    <w:p>
      <w:pPr>
        <w:pStyle w:val="Text1"/>
        <w:spacing w:before="100" w:beforeAutospacing="1" w:after="100" w:afterAutospacing="1"/>
        <w:ind w:left="0"/>
        <w:rPr>
          <w:noProof/>
        </w:rPr>
      </w:pPr>
      <w:r>
        <w:rPr>
          <w:noProof/>
        </w:rPr>
        <w:t>Avtalet innebär att dess villkor samtidigt kommer att gälla alla 27 medlemsstater. Medlemsstaterna kommer att tillämpa samma regler utan diskriminering, till nytta för alla lufttrafikföretag inom unionen oavsett nationalitet. Dessa lufttrafikföretag kommer att kunna flyga från Europeiska unionen till destinationer var som helst i Armenien, vilket för närvarande inte är fallet, och bortomliggande punkter.</w:t>
      </w:r>
    </w:p>
    <w:p>
      <w:pPr>
        <w:pStyle w:val="Text1"/>
        <w:spacing w:before="100" w:beforeAutospacing="1" w:after="100" w:afterAutospacing="1"/>
        <w:ind w:left="0"/>
        <w:rPr>
          <w:noProof/>
        </w:rPr>
      </w:pPr>
      <w:r>
        <w:rPr>
          <w:noProof/>
        </w:rPr>
        <w:t>Det gradvisa avskaffandet av restriktioner för marknadstillträde mellan unionen och Armenien kommer inte bara att attrahera nya marknadsaktörer och ge underutnyttjade flygplatser nya möjligheter, utan kommer också att underlätta konsolidering bland unionens lufttrafikföretag.</w:t>
      </w:r>
    </w:p>
    <w:p>
      <w:pPr>
        <w:pStyle w:val="Text1"/>
        <w:spacing w:before="100" w:beforeAutospacing="1" w:after="100" w:afterAutospacing="1"/>
        <w:ind w:left="0"/>
        <w:rPr>
          <w:noProof/>
        </w:rPr>
      </w:pPr>
      <w:r>
        <w:rPr>
          <w:noProof/>
        </w:rPr>
        <w:t>Genom avtalet får alla lufttrafikföretag i unionen tillträde till kommersiella möjligheter, till exempel sådana som rör marktjänster, gemensamma linjebeteckningar, intermodalitet och möjligheten att fritt fastställa priser.</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100" w:beforeAutospacing="1" w:after="100" w:afterAutospacing="1"/>
        <w:rPr>
          <w:noProof/>
        </w:rPr>
      </w:pPr>
      <w:r>
        <w:rPr>
          <w:noProof/>
        </w:rPr>
        <w:t>En gemensam kommitté kommer att inrättas för att diskutera frågor om tillämpningen av avtalet. Den gemensamma kommittén kommer att främja diskussioner på expertnivå om nya förslag eller ny utveckling på lagstiftnings- och regleringsområdet. Den kommer också att överväga vilka områden som kan komma i fråga för en vidareutveckling av avtalet. Den gemensamma kommittén kommer att bestå av företrädare för kommissionen och medlemsstaterna.</w:t>
      </w:r>
    </w:p>
    <w:p>
      <w:pPr>
        <w:pBdr>
          <w:top w:val="nil"/>
          <w:left w:val="nil"/>
          <w:bottom w:val="nil"/>
          <w:right w:val="nil"/>
          <w:between w:val="nil"/>
          <w:bar w:val="nil"/>
        </w:pBdr>
        <w:spacing w:before="100" w:beforeAutospacing="1" w:after="100" w:afterAutospacing="1"/>
        <w:rPr>
          <w:noProof/>
        </w:rPr>
      </w:pPr>
      <w:r>
        <w:rPr>
          <w:noProof/>
        </w:rPr>
        <w:t>Medlemsstaterna kommer även i fortsättningen att utföra sina vanliga förvaltningsuppgifter inom ramen för den internationella lufttransporten, men detta kommer att ske i enlighet med gemensamma regler som tillämpas enhetligt.</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100" w:beforeAutospacing="1" w:after="100" w:afterAutospacing="1"/>
        <w:rPr>
          <w:noProof/>
        </w:rPr>
      </w:pPr>
      <w:r>
        <w:rPr>
          <w:noProof/>
        </w:rPr>
        <w:t>Yttre förbindelser på luftfartsområdet kan endast regleras genom internationella avtal.</w:t>
      </w:r>
    </w:p>
    <w:p>
      <w:pPr>
        <w:pStyle w:val="ManualHeading1"/>
        <w:rPr>
          <w:noProof/>
        </w:rPr>
      </w:pPr>
      <w:r>
        <w:rPr>
          <w:noProof/>
        </w:rPr>
        <w:lastRenderedPageBreak/>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pBdr>
          <w:top w:val="nil"/>
          <w:left w:val="nil"/>
          <w:bottom w:val="nil"/>
          <w:right w:val="nil"/>
          <w:between w:val="nil"/>
          <w:bar w:val="nil"/>
        </w:pBdr>
        <w:spacing w:before="100" w:beforeAutospacing="1" w:after="100" w:afterAutospacing="1"/>
        <w:rPr>
          <w:noProof/>
        </w:rPr>
      </w:pPr>
      <w:r>
        <w:rPr>
          <w:noProof/>
        </w:rPr>
        <w:t>Ej tillämpligt</w:t>
      </w: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before="100" w:beforeAutospacing="1" w:after="100" w:afterAutospacing="1"/>
        <w:rPr>
          <w:noProof/>
        </w:rPr>
      </w:pPr>
      <w:r>
        <w:rPr>
          <w:noProof/>
        </w:rPr>
        <w:t xml:space="preserve">I enlighet med artikel 218.4 i fördraget om Europeiska unionens funktionssätt (EUF-fördraget) har kommissionen fört förhandlingarna i samråd med en särskild kommitté (rådgivande forum). Även branschen har rådfrågats under förhandlingarna. </w:t>
      </w:r>
    </w:p>
    <w:p>
      <w:pPr>
        <w:pBdr>
          <w:top w:val="nil"/>
          <w:left w:val="nil"/>
          <w:bottom w:val="nil"/>
          <w:right w:val="nil"/>
          <w:between w:val="nil"/>
          <w:bar w:val="nil"/>
        </w:pBdr>
        <w:spacing w:before="100" w:beforeAutospacing="1" w:after="100" w:afterAutospacing="1"/>
        <w:rPr>
          <w:noProof/>
        </w:rPr>
      </w:pPr>
      <w:r>
        <w:rPr>
          <w:noProof/>
        </w:rPr>
        <w:t>De kommentarer som lämnats under processen har beaktats. De berörda medlemsstaterna har kontrollerat att hänvisningarna till de bilaterala luftfartsavtalen är riktiga. Branschen betonade vikten av en stabil rättslig grund för dess kommersiella verksamhet.</w:t>
      </w:r>
    </w:p>
    <w:p>
      <w:pPr>
        <w:pStyle w:val="ManualHeading2"/>
        <w:rPr>
          <w:rFonts w:eastAsia="Arial Unicode MS"/>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Lagstiftningens ändamålsenlighet och förenkling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Grundläggande rättigheter</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1"/>
        <w:rPr>
          <w:noProof/>
        </w:rPr>
      </w:pPr>
      <w:r>
        <w:rPr>
          <w:noProof/>
        </w:rPr>
        <w:t>4.</w:t>
      </w:r>
      <w:r>
        <w:rPr>
          <w:noProof/>
        </w:rPr>
        <w:tab/>
        <w:t>BUDGETKONSEKVENSER</w:t>
      </w:r>
    </w:p>
    <w:p>
      <w:pPr>
        <w:pBdr>
          <w:top w:val="nil"/>
          <w:left w:val="nil"/>
          <w:bottom w:val="nil"/>
          <w:right w:val="nil"/>
          <w:between w:val="nil"/>
          <w:bar w:val="nil"/>
        </w:pBdr>
        <w:spacing w:before="100" w:beforeAutospacing="1" w:after="100" w:afterAutospacing="1"/>
        <w:rPr>
          <w:noProof/>
        </w:rPr>
      </w:pPr>
      <w:r>
        <w:rPr>
          <w:noProof/>
        </w:rPr>
        <w:t>Förslaget påverkar inte unionens budget.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Sammanfattning av den föreslagna åtgärden</w:t>
      </w:r>
    </w:p>
    <w:p>
      <w:pPr>
        <w:pBdr>
          <w:top w:val="nil"/>
          <w:left w:val="nil"/>
          <w:bottom w:val="nil"/>
          <w:right w:val="nil"/>
          <w:between w:val="nil"/>
          <w:bar w:val="nil"/>
        </w:pBdr>
        <w:spacing w:before="100" w:beforeAutospacing="1" w:after="100" w:afterAutospacing="1"/>
        <w:rPr>
          <w:noProof/>
        </w:rPr>
      </w:pPr>
      <w:r>
        <w:rPr>
          <w:noProof/>
        </w:rPr>
        <w:t>Avtalet utgörs av en huvudtext med de viktigaste principerna samt två bilagor: bilaga I om övergångsbestämmelser och bilaga II om EU:s regler för civil luftfart.</w:t>
      </w:r>
    </w:p>
    <w:p>
      <w:pPr>
        <w:pBdr>
          <w:top w:val="nil"/>
          <w:left w:val="nil"/>
          <w:bottom w:val="nil"/>
          <w:right w:val="nil"/>
          <w:between w:val="nil"/>
          <w:bar w:val="nil"/>
        </w:pBdr>
        <w:spacing w:before="100" w:beforeAutospacing="1" w:after="100" w:afterAutospacing="1"/>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2021/0084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ingående, på Europeiska unionens vägnar, av avtalet om ett gemensamt luftfartsområde mellan Republiken Armenien, å ena sidan, och Europeiska unionen och dess medlemsstater, å andra sidan</w:t>
      </w:r>
    </w:p>
    <w:p>
      <w:pPr>
        <w:pStyle w:val="Institutionquiagit"/>
        <w:rPr>
          <w:noProof/>
        </w:rPr>
      </w:pPr>
      <w:r>
        <w:rPr>
          <w:noProof/>
        </w:rPr>
        <w:t>EUROPEISKA UNIONENS RÅD HAR ANTAGIT DETTA BESLUT</w:t>
      </w:r>
    </w:p>
    <w:p>
      <w:pPr>
        <w:rPr>
          <w:noProof/>
        </w:rPr>
      </w:pPr>
      <w:r>
        <w:rPr>
          <w:noProof/>
        </w:rPr>
        <w:t>med beaktande av fördraget om Europeiska unionens funktionssätt, särskilt artikel 100.2 jämförd med artikel 218.6 a och 218.7,</w:t>
      </w:r>
    </w:p>
    <w:p>
      <w:pPr>
        <w:rPr>
          <w:noProof/>
        </w:rPr>
      </w:pPr>
      <w:r>
        <w:rPr>
          <w:noProof/>
        </w:rPr>
        <w:t>med beaktande av Europeiska kommissionens förslag,</w:t>
      </w:r>
    </w:p>
    <w:p>
      <w:pPr>
        <w:rPr>
          <w:noProof/>
        </w:rPr>
      </w:pPr>
      <w:r>
        <w:rPr>
          <w:noProof/>
        </w:rPr>
        <w:t xml:space="preserve">med beaktande av Europaparlamentets godkännande, och </w:t>
      </w:r>
    </w:p>
    <w:p>
      <w:pPr>
        <w:rPr>
          <w:noProof/>
        </w:rPr>
      </w:pPr>
      <w:r>
        <w:rPr>
          <w:noProof/>
        </w:rPr>
        <w:t>av följande skäl:</w:t>
      </w:r>
    </w:p>
    <w:p>
      <w:pPr>
        <w:pStyle w:val="ManualConsidrant"/>
        <w:rPr>
          <w:noProof/>
        </w:rPr>
      </w:pPr>
      <w:r>
        <w:t>(1)</w:t>
      </w:r>
      <w:r>
        <w:tab/>
      </w:r>
      <w:r>
        <w:rPr>
          <w:noProof/>
        </w:rPr>
        <w:t xml:space="preserve">I enlighet med rådets beslut XXXX/XX undertecknades avtalet om ett gemensamt luftfartsområde mellan Republiken Armenien, å ena sidan, och Europeiska unionen och dess medlemsstater, å andra sidan, den..., med förbehåll för att det ingås vid en senare tidpunkt. </w:t>
      </w:r>
    </w:p>
    <w:p>
      <w:pPr>
        <w:pStyle w:val="ManualConsidrant"/>
        <w:rPr>
          <w:noProof/>
        </w:rPr>
      </w:pPr>
      <w:r>
        <w:t>(2)</w:t>
      </w:r>
      <w:r>
        <w:tab/>
      </w:r>
      <w:r>
        <w:rPr>
          <w:noProof/>
        </w:rPr>
        <w:t>Avtalet har ratificerats av samtliga medlemsstater.</w:t>
      </w:r>
    </w:p>
    <w:p>
      <w:pPr>
        <w:pStyle w:val="ManualConsidrant"/>
        <w:rPr>
          <w:noProof/>
        </w:rPr>
      </w:pPr>
      <w:r>
        <w:t>(3)</w:t>
      </w:r>
      <w:r>
        <w:tab/>
      </w:r>
      <w:r>
        <w:rPr>
          <w:noProof/>
        </w:rPr>
        <w:t>Avtalet bör godkännas på unionens vägnar.</w:t>
      </w:r>
    </w:p>
    <w:p>
      <w:pPr>
        <w:pStyle w:val="Formuledadoption"/>
        <w:rPr>
          <w:noProof/>
        </w:rPr>
      </w:pPr>
      <w:r>
        <w:rPr>
          <w:noProof/>
        </w:rPr>
        <w:t xml:space="preserve">HÄRIGENOM FÖRESKRIVS FÖLJANDE. </w:t>
      </w:r>
    </w:p>
    <w:p>
      <w:pPr>
        <w:pStyle w:val="Titrearticle"/>
        <w:rPr>
          <w:noProof/>
        </w:rPr>
      </w:pPr>
      <w:r>
        <w:rPr>
          <w:noProof/>
        </w:rPr>
        <w:t>Artikel 1</w:t>
      </w:r>
    </w:p>
    <w:p>
      <w:pPr>
        <w:rPr>
          <w:noProof/>
        </w:rPr>
      </w:pPr>
      <w:r>
        <w:rPr>
          <w:noProof/>
        </w:rPr>
        <w:t>Avtalet om ett gemensamt luftfartsområde mellan Republiken Armenien, å ena sidan, och Europeiska unionen och dess medlemsstater, å andra sidan, godkänns härmed på unionens vägnar.</w:t>
      </w:r>
    </w:p>
    <w:p>
      <w:pPr>
        <w:rPr>
          <w:noProof/>
        </w:rPr>
      </w:pPr>
      <w:r>
        <w:rPr>
          <w:noProof/>
        </w:rPr>
        <w:t>Texten till avtalet åtföljer detta beslut.</w:t>
      </w:r>
    </w:p>
    <w:p>
      <w:pPr>
        <w:pStyle w:val="Titrearticle"/>
        <w:rPr>
          <w:noProof/>
        </w:rPr>
      </w:pPr>
      <w:r>
        <w:rPr>
          <w:noProof/>
        </w:rPr>
        <w:t xml:space="preserve">Artikel 2 </w:t>
      </w:r>
    </w:p>
    <w:p>
      <w:pPr>
        <w:rPr>
          <w:noProof/>
        </w:rPr>
      </w:pPr>
      <w:r>
        <w:rPr>
          <w:noProof/>
        </w:rPr>
        <w:t>Rådets ordförande ska utse den person som ska ha rätt att på unionens vägnar deponera det godkännandeinstrument som avses i artikel 30 i avtalet för att uttrycka unionens samtycke till att bli bunden av avtalet.</w:t>
      </w:r>
    </w:p>
    <w:p>
      <w:pPr>
        <w:pStyle w:val="Titrearticle"/>
        <w:rPr>
          <w:noProof/>
        </w:rPr>
      </w:pPr>
      <w:r>
        <w:rPr>
          <w:noProof/>
        </w:rPr>
        <w:t>Artikel 3</w:t>
      </w:r>
    </w:p>
    <w:p>
      <w:pPr>
        <w:rPr>
          <w:noProof/>
        </w:rPr>
      </w:pPr>
      <w:r>
        <w:rPr>
          <w:noProof/>
        </w:rPr>
        <w:t>Kommissionen bemyndigas att anta den ståndpunkt som unionen ska inta när det gäller beslut av den gemensamma kommittén enligt artikel 27.7 i avtalet om att ändra bilaga II till avtalet genom att integrera unionslagstiftning i den bilagan, efter nödvändiga tekniska anpassningar och efter samråd med en särskild kommitté som rådet utsett.</w:t>
      </w:r>
    </w:p>
    <w:p>
      <w:pPr>
        <w:rPr>
          <w:noProof/>
        </w:rPr>
      </w:pPr>
    </w:p>
    <w:p>
      <w:pPr>
        <w:pStyle w:val="Titrearticle"/>
        <w:spacing w:before="120"/>
        <w:outlineLvl w:val="0"/>
        <w:rPr>
          <w:noProof/>
        </w:rPr>
      </w:pPr>
      <w:r>
        <w:rPr>
          <w:noProof/>
        </w:rPr>
        <w:lastRenderedPageBreak/>
        <w:t>Artikel 4</w:t>
      </w:r>
    </w:p>
    <w:p>
      <w:pPr>
        <w:rPr>
          <w:noProof/>
        </w:rPr>
      </w:pPr>
      <w:r>
        <w:rPr>
          <w:noProof/>
        </w:rPr>
        <w:t xml:space="preserve">Detta beslut träder i kraft samma dag som det antas. </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E7EC9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A88C5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CEA9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57E9E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0EC05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1E8F4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B7C31E0"/>
    <w:lvl w:ilvl="0">
      <w:start w:val="1"/>
      <w:numFmt w:val="decimal"/>
      <w:pStyle w:val="ListNumber"/>
      <w:lvlText w:val="%1."/>
      <w:lvlJc w:val="left"/>
      <w:pPr>
        <w:tabs>
          <w:tab w:val="num" w:pos="360"/>
        </w:tabs>
        <w:ind w:left="360" w:hanging="360"/>
      </w:pPr>
    </w:lvl>
  </w:abstractNum>
  <w:abstractNum w:abstractNumId="7">
    <w:nsid w:val="FFFFFF89"/>
    <w:multiLevelType w:val="singleLevel"/>
    <w:tmpl w:val="A32AF1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1-03-30 12:32:1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F6CC311-B215-4B0D-8857-EE10781F97F4"/>
    <w:docVar w:name="LW_COVERPAGE_TYPE" w:val="1"/>
    <w:docVar w:name="LW_CROSSREFERENCE" w:val="&lt;UNUSED&gt;"/>
    <w:docVar w:name="LW_DocType" w:val="COM"/>
    <w:docVar w:name="LW_EMISSION" w:val="8.4.2021"/>
    <w:docVar w:name="LW_EMISSION_ISODATE" w:val="2021-04-08"/>
    <w:docVar w:name="LW_EMISSION_LOCATION" w:val="BRX"/>
    <w:docVar w:name="LW_EMISSION_PREFIX" w:val="Bryssel den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084"/>
    <w:docVar w:name="LW_REF.II.NEW.CP_YEAR" w:val="2021"/>
    <w:docVar w:name="LW_REF.INST.NEW" w:val="COM"/>
    <w:docVar w:name="LW_REF.INST.NEW_ADOPTED" w:val="final"/>
    <w:docVar w:name="LW_REF.INST.NEW_TEXT" w:val="(2021) 1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ingående, på Europeiska unionens vägnar, av avtalet om ett gemensamt luftfartsområde mellan Republiken Armenien, å ena sidan, och Europeiska unionen och dess medlemsstater, å andra sidan"/>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5E0DB55-68A4-4D13-B892-3F43605D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1057</Words>
  <Characters>6928</Characters>
  <Application>Microsoft Office Word</Application>
  <DocSecurity>0</DocSecurity>
  <Lines>141</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2021-01-19T10:28:00Z</dcterms:created>
  <dcterms:modified xsi:type="dcterms:W3CDTF">2021-03-30T10:32:00Z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