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82598DD-5393-4BDC-9CD2-4C9E367C7C0E" style="width:450.7pt;height:365.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rPr>
          <w:noProof/>
        </w:rPr>
      </w:pPr>
    </w:p>
    <w:p>
      <w:pPr>
        <w:pStyle w:val="ManualHeading1"/>
        <w:rPr>
          <w:noProof/>
        </w:rPr>
      </w:pPr>
      <w:r>
        <w:rPr>
          <w:noProof/>
        </w:rPr>
        <w:t>1.</w:t>
      </w:r>
      <w:r>
        <w:rPr>
          <w:noProof/>
        </w:rPr>
        <w:tab/>
        <w:t>KONTEXT NÁVRHU</w:t>
      </w:r>
    </w:p>
    <w:p>
      <w:pPr>
        <w:pStyle w:val="Text1"/>
        <w:rPr>
          <w:noProof/>
        </w:rPr>
      </w:pPr>
    </w:p>
    <w:p>
      <w:pPr>
        <w:pStyle w:val="ManualHeading2"/>
        <w:rPr>
          <w:rFonts w:eastAsia="Arial Unicode MS"/>
          <w:noProof/>
        </w:rPr>
      </w:pPr>
      <w:r>
        <w:rPr>
          <w:noProof/>
          <w:color w:val="000000"/>
          <w:u w:color="000000"/>
          <w:bdr w:val="nil"/>
        </w:rPr>
        <w:t>•</w:t>
      </w:r>
      <w:r>
        <w:rPr>
          <w:noProof/>
        </w:rPr>
        <w:tab/>
        <w:t>Dôvody a ciele návrhu</w:t>
      </w:r>
    </w:p>
    <w:p>
      <w:pPr>
        <w:spacing w:before="100" w:beforeAutospacing="1" w:after="100" w:afterAutospacing="1"/>
        <w:rPr>
          <w:noProof/>
        </w:rPr>
      </w:pPr>
      <w:r>
        <w:rPr>
          <w:noProof/>
        </w:rPr>
        <w:t xml:space="preserve">Dohodu o spoločnom leteckom priestore medzi Európskou úniou a jej členskými štátmi a Arménskou republikou prerokovala Komisia na základe poverenia Radou 7. decembra 2015. </w:t>
      </w:r>
    </w:p>
    <w:p>
      <w:pPr>
        <w:spacing w:before="100" w:beforeAutospacing="1" w:after="100" w:afterAutospacing="1"/>
        <w:rPr>
          <w:noProof/>
        </w:rPr>
      </w:pPr>
      <w:r>
        <w:rPr>
          <w:noProof/>
        </w:rPr>
        <w:t xml:space="preserve">Letecká doprava medzi Úniou a Arménskom v súčasnosti funguje na základe bilaterálnych dohôd medzi jednotlivými členskými štátmi a Arménskom. </w:t>
      </w:r>
    </w:p>
    <w:p>
      <w:pPr>
        <w:spacing w:before="100" w:beforeAutospacing="1" w:after="100" w:afterAutospacing="1"/>
        <w:rPr>
          <w:noProof/>
        </w:rPr>
      </w:pPr>
      <w:r>
        <w:rPr>
          <w:noProof/>
        </w:rPr>
        <w:t>Súčasťou vonkajšej politiky Únie v oblasti letectva je rokovať o komplexných dohodách o leteckej doprave so susediacimi krajinami v prípade, že sa preukázala pridaná hodnota a hospodárske výhody takýchto dohôd. Účelom tejto dohody je najmä:</w:t>
      </w:r>
    </w:p>
    <w:p>
      <w:pPr>
        <w:autoSpaceDE w:val="0"/>
        <w:autoSpaceDN w:val="0"/>
        <w:adjustRightInd w:val="0"/>
        <w:spacing w:before="100" w:beforeAutospacing="1" w:after="100" w:afterAutospacing="1"/>
        <w:rPr>
          <w:noProof/>
        </w:rPr>
      </w:pPr>
      <w:r>
        <w:rPr>
          <w:noProof/>
        </w:rPr>
        <w:t>– postupné otváranie trhu v zmysle prístupu k tratiam a kapacitám na obojstrannom základe;</w:t>
      </w:r>
    </w:p>
    <w:p>
      <w:pPr>
        <w:autoSpaceDE w:val="0"/>
        <w:autoSpaceDN w:val="0"/>
        <w:adjustRightInd w:val="0"/>
        <w:spacing w:before="100" w:beforeAutospacing="1" w:after="100" w:afterAutospacing="1"/>
        <w:rPr>
          <w:noProof/>
        </w:rPr>
      </w:pPr>
      <w:r>
        <w:rPr>
          <w:noProof/>
        </w:rPr>
        <w:t>– zabezpečenie harmonizácie v oblasti regulácie a účinné dosiahnutie súladu arménskych právnych predpisov so súvisiacimi právnymi predpismi Únie v oblasti letectva a</w:t>
      </w:r>
    </w:p>
    <w:p>
      <w:pPr>
        <w:spacing w:before="100" w:beforeAutospacing="1" w:after="100" w:afterAutospacing="1"/>
        <w:rPr>
          <w:noProof/>
        </w:rPr>
      </w:pPr>
      <w:r>
        <w:rPr>
          <w:noProof/>
        </w:rPr>
        <w:t>– nediskriminačné a rovnaké podmienky pre hospodárske subjekty.</w:t>
      </w:r>
    </w:p>
    <w:p>
      <w:pPr>
        <w:pStyle w:val="ManualHeading2"/>
        <w:spacing w:before="100" w:beforeAutospacing="1" w:after="100" w:afterAutospacing="1"/>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Všeobecný kontext</w:t>
      </w:r>
    </w:p>
    <w:p>
      <w:pPr>
        <w:rPr>
          <w:noProof/>
        </w:rPr>
      </w:pPr>
      <w:r>
        <w:rPr>
          <w:noProof/>
        </w:rPr>
        <w:t>V smerniciach na rokovania je stanovený všeobecný cieľ rokovať o komplexnej dohode o leteckej doprave s cieľom postupne a recipročne otvoriť prístup na trh, zabezpečiť harmonizáciu v oblasti regulácie a účinné vykonávanie požiadaviek a noriem Únie.</w:t>
      </w:r>
    </w:p>
    <w:p>
      <w:pPr>
        <w:rPr>
          <w:noProof/>
        </w:rPr>
      </w:pPr>
      <w:r>
        <w:rPr>
          <w:noProof/>
        </w:rPr>
        <w:t>V súlade so smernicami na rokovania obe strany parafovali návrh dohody s Arménskom 24. novembra 2017.</w:t>
      </w:r>
    </w:p>
    <w:p>
      <w:pPr>
        <w:pStyle w:val="ManualHeading2"/>
        <w:rPr>
          <w:rFonts w:eastAsia="Arial Unicode MS"/>
          <w:noProof/>
          <w:color w:val="000000"/>
          <w:u w:color="000000"/>
          <w:bdr w:val="nil"/>
        </w:rPr>
      </w:pPr>
      <w:r>
        <w:rPr>
          <w:noProof/>
          <w:color w:val="000000"/>
          <w:u w:color="000000"/>
          <w:bdr w:val="nil"/>
        </w:rPr>
        <w:t>•</w:t>
      </w:r>
      <w:r>
        <w:rPr>
          <w:noProof/>
        </w:rPr>
        <w:tab/>
        <w:t>Súlad s existujúcimi ustanoveniami v tejto oblasti politiky</w:t>
      </w:r>
    </w:p>
    <w:p>
      <w:pPr>
        <w:spacing w:before="100" w:beforeAutospacing="1" w:after="100" w:afterAutospacing="1"/>
        <w:rPr>
          <w:noProof/>
        </w:rPr>
      </w:pPr>
      <w:r>
        <w:rPr>
          <w:noProof/>
        </w:rPr>
        <w:t>Uzavretie Dohody o spoločnom leteckom priestore s Arménskom je významným prvkom pri rozvoji vonkajšej politiky EÚ v oblasti letectva a dôležitou súčasťou susedskej politiky EÚ a vytvorenia širšieho Spoločného európskeho leteckého priestoru, tak ako sa to uvádza v oznámení Komisie COM(2012) 556 final „Vonkajšia politika EÚ v oblasti letectva – riešenie budúcich úloh“.</w:t>
      </w:r>
    </w:p>
    <w:p>
      <w:pPr>
        <w:pStyle w:val="ManualHeading2"/>
        <w:rPr>
          <w:rFonts w:eastAsia="Arial Unicode MS"/>
          <w:noProof/>
        </w:rPr>
      </w:pPr>
      <w:r>
        <w:rPr>
          <w:noProof/>
          <w:color w:val="000000"/>
          <w:u w:color="000000"/>
          <w:bdr w:val="nil"/>
        </w:rPr>
        <w:t>•</w:t>
      </w:r>
      <w:r>
        <w:rPr>
          <w:noProof/>
        </w:rPr>
        <w:tab/>
        <w:t xml:space="preserve">Súlad s </w:t>
      </w:r>
      <w:r>
        <w:rPr>
          <w:noProof/>
          <w:color w:val="000000"/>
          <w:u w:color="000000"/>
          <w:bdr w:val="nil"/>
        </w:rPr>
        <w:t>existujúcimi ustanoveniami v oblasti návrhu</w:t>
      </w:r>
    </w:p>
    <w:p>
      <w:pPr>
        <w:spacing w:before="100" w:beforeAutospacing="1" w:after="100" w:afterAutospacing="1"/>
        <w:rPr>
          <w:rFonts w:eastAsia="Arial Unicode MS"/>
          <w:noProof/>
        </w:rPr>
      </w:pPr>
      <w:r>
        <w:rPr>
          <w:noProof/>
        </w:rPr>
        <w:t>Ustanovenia tejto dohody majú prednosť pred príslušnými ustanoveniami existujúcich bilaterálnych dohôd o leteckých dopravných službách medzi členskými štátmi a Arménskou republikou. Existujúce dopravné práva, ktoré vznikli na základe týchto bilaterálnych dohôd a ktoré nie sú predmetom tejto dohody, sa však môžu naďalej uplatňovať, pokiaľ nedochádza k diskriminácii medzi členskými štátmi a ich štátnymi príslušníkmi.</w:t>
      </w:r>
    </w:p>
    <w:p>
      <w:pPr>
        <w:pStyle w:val="ManualHeading1"/>
        <w:rPr>
          <w:noProof/>
        </w:rPr>
      </w:pPr>
      <w:r>
        <w:rPr>
          <w:noProof/>
        </w:rPr>
        <w:lastRenderedPageBreak/>
        <w:t>2.</w:t>
      </w:r>
      <w:r>
        <w:rPr>
          <w:noProof/>
        </w:rPr>
        <w:tab/>
        <w:t>PRÁVNY ZÁKLAD, SUBSIDIARITA A PROPORCIONALITA</w:t>
      </w:r>
    </w:p>
    <w:p>
      <w:pPr>
        <w:pStyle w:val="ManualHeading2"/>
        <w:rPr>
          <w:rFonts w:eastAsia="Arial Unicode MS"/>
          <w:noProof/>
          <w:u w:color="000000"/>
          <w:bdr w:val="nil"/>
        </w:rPr>
      </w:pPr>
      <w:r>
        <w:rPr>
          <w:noProof/>
          <w:u w:color="000000"/>
          <w:bdr w:val="nil"/>
        </w:rPr>
        <w:t>•</w:t>
      </w:r>
      <w:r>
        <w:rPr>
          <w:noProof/>
        </w:rPr>
        <w:tab/>
      </w:r>
      <w:r>
        <w:rPr>
          <w:noProof/>
          <w:u w:color="000000"/>
          <w:bdr w:val="nil"/>
        </w:rPr>
        <w:t>Právny základ</w:t>
      </w:r>
    </w:p>
    <w:p>
      <w:pPr>
        <w:pBdr>
          <w:top w:val="nil"/>
          <w:left w:val="nil"/>
          <w:bottom w:val="nil"/>
          <w:right w:val="nil"/>
          <w:between w:val="nil"/>
          <w:bar w:val="nil"/>
        </w:pBdr>
        <w:spacing w:before="0" w:after="240"/>
        <w:rPr>
          <w:rFonts w:eastAsia="Arial Unicode MS"/>
          <w:noProof/>
        </w:rPr>
      </w:pPr>
      <w:r>
        <w:rPr>
          <w:noProof/>
        </w:rPr>
        <w:t>Článok 100 ods. 2 a článok 218 ods. 5 Zmluvy o fungovaní Európskej únie.</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Subsidiarita (v prípade inej ako výlučnej právomoci) </w:t>
      </w:r>
    </w:p>
    <w:p>
      <w:pPr>
        <w:rPr>
          <w:noProof/>
        </w:rPr>
      </w:pPr>
      <w:r>
        <w:rPr>
          <w:noProof/>
        </w:rPr>
        <w:t>Ustanovenia tejto dohody budú mať prednosť pred príslušnými ustanoveniami existujúcich dohôd, ktoré uzavreli jednotlivé členské štáty. Dohodou sa pre všetkých leteckých dopravcov Európskej únie súčasne vytvárajú rovnaké a jednotné podmienky prístupu na trh a ustanovujú sa nové mechanizmy regulačnej spolupráce medzi Európskou úniou a Arménskom v oblastiach, ktoré sú dôležité pre bezpečné, zabezpečené a efektívne fungovanie leteckej dopravy. Tieto úpravy možno dosiahnuť len na úrovni Únie, pretože zahŕňajú množstvo oblastí, v ktorých má Únia výlučnú právomoc.</w:t>
      </w:r>
    </w:p>
    <w:p>
      <w:pPr>
        <w:rPr>
          <w:noProof/>
        </w:rPr>
      </w:pPr>
      <w:r>
        <w:rPr>
          <w:noProof/>
        </w:rPr>
        <w:t>Ciele návrhu sa lepšie dosiahnu opatreniami Únie z týchto dôvodov.</w:t>
      </w:r>
    </w:p>
    <w:p>
      <w:pPr>
        <w:rPr>
          <w:noProof/>
        </w:rPr>
      </w:pPr>
      <w:r>
        <w:rPr>
          <w:noProof/>
        </w:rPr>
        <w:t>Dohoda umožňuje súčasné rozšírenie v nej obsiahnutých podmienok na 27 členských štátov uplatnením rovnakých predpisov bez rozdielu a predstavuje prínos pre všetkých leteckých dopravcov Únie bez ohľadu na ich štátnu príslušnosť. Títo dopravcovia budú môcť slobodne prevádzkovať lety z ktoréhokoľvek miesta v Európskej únii na ktorékoľvek miesto v Arménsku, ako aj na iné miesta, čo doteraz nebolo možné.</w:t>
      </w:r>
    </w:p>
    <w:p>
      <w:pPr>
        <w:rPr>
          <w:noProof/>
        </w:rPr>
      </w:pPr>
      <w:r>
        <w:rPr>
          <w:noProof/>
        </w:rPr>
        <w:t>Postupné rušenie obmedzení prístupu na trh medzi Úniou a Arménskom nielenže priláka nových účastníkov na trh a vytvorí príležitosti na lietanie na letiská s nedostatočným počtom letov, ale uľahčí aj konsolidáciu medzi leteckými dopravcami Únie.</w:t>
      </w:r>
    </w:p>
    <w:p>
      <w:pPr>
        <w:rPr>
          <w:noProof/>
        </w:rPr>
      </w:pPr>
      <w:r>
        <w:rPr>
          <w:noProof/>
        </w:rPr>
        <w:t>Dohodou sa pre všetkých leteckých dopravcov Únie zabezpečuje prístup k obchodným príležitostiam, ako napr. možnosti týkajúce sa pozemnej obsluhy, spoločných letových kódov, intermodality, ako aj možnosť voľného určovania cien.</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Proporcionalita</w:t>
      </w:r>
    </w:p>
    <w:p>
      <w:pPr>
        <w:pBdr>
          <w:top w:val="nil"/>
          <w:left w:val="nil"/>
          <w:bottom w:val="nil"/>
          <w:right w:val="nil"/>
          <w:between w:val="nil"/>
          <w:bar w:val="nil"/>
        </w:pBdr>
        <w:spacing w:before="100" w:beforeAutospacing="1" w:after="100" w:afterAutospacing="1"/>
        <w:rPr>
          <w:noProof/>
        </w:rPr>
      </w:pPr>
      <w:r>
        <w:rPr>
          <w:noProof/>
        </w:rPr>
        <w:t>Zriadi sa spoločný výbor na prerokovanie záležitostí týkajúcich sa vykonávania tejto dohody. Spoločný výbor bude podporovať výmenu nových právnych alebo regulačných iniciatív na úrovni expertov alebo nový právny alebo regulačný vývoj a zváži potenciálne oblasti ďalšieho rozvoja tejto dohody. Spoločný výbor sa bude skladať zo zástupcov Komisie a členských štátov.</w:t>
      </w:r>
    </w:p>
    <w:p>
      <w:pPr>
        <w:pBdr>
          <w:top w:val="nil"/>
          <w:left w:val="nil"/>
          <w:bottom w:val="nil"/>
          <w:right w:val="nil"/>
          <w:between w:val="nil"/>
          <w:bar w:val="nil"/>
        </w:pBdr>
        <w:spacing w:before="100" w:beforeAutospacing="1" w:after="100" w:afterAutospacing="1"/>
        <w:rPr>
          <w:noProof/>
        </w:rPr>
      </w:pPr>
      <w:r>
        <w:rPr>
          <w:noProof/>
        </w:rPr>
        <w:t>Členské štáty budú okrem toho pokračovať v plnení tradičných administratívnych úloh, ktoré vykonávajú v súvislosti s medzinárodnou leteckou dopravou, ale podľa spoločných jednotne uplatňovaných predpisov.</w:t>
      </w:r>
    </w:p>
    <w:p>
      <w:pPr>
        <w:pStyle w:val="ManualHeading2"/>
        <w:rPr>
          <w:rFonts w:eastAsia="Arial Unicode MS"/>
          <w:noProof/>
          <w:u w:color="000000"/>
          <w:bdr w:val="nil"/>
        </w:rPr>
      </w:pPr>
      <w:r>
        <w:rPr>
          <w:noProof/>
          <w:u w:color="000000"/>
          <w:bdr w:val="nil"/>
        </w:rPr>
        <w:t>•</w:t>
      </w:r>
      <w:r>
        <w:rPr>
          <w:noProof/>
        </w:rPr>
        <w:tab/>
      </w:r>
      <w:r>
        <w:rPr>
          <w:noProof/>
          <w:u w:color="000000"/>
          <w:bdr w:val="nil"/>
        </w:rPr>
        <w:t>Výber nástroja</w:t>
      </w:r>
    </w:p>
    <w:p>
      <w:pPr>
        <w:pBdr>
          <w:top w:val="nil"/>
          <w:left w:val="nil"/>
          <w:bottom w:val="nil"/>
          <w:right w:val="nil"/>
          <w:between w:val="nil"/>
          <w:bar w:val="nil"/>
        </w:pBdr>
        <w:spacing w:before="100" w:beforeAutospacing="1" w:after="100" w:afterAutospacing="1"/>
        <w:rPr>
          <w:noProof/>
        </w:rPr>
      </w:pPr>
      <w:r>
        <w:rPr>
          <w:noProof/>
        </w:rPr>
        <w:t>Vonkajšie vzťahy v oblasti letectva možno určovať len na základe medzinárodných dohôd.</w:t>
      </w:r>
    </w:p>
    <w:p>
      <w:pPr>
        <w:pStyle w:val="ManualHeading1"/>
        <w:rPr>
          <w:noProof/>
        </w:rPr>
      </w:pPr>
      <w:r>
        <w:rPr>
          <w:noProof/>
        </w:rPr>
        <w:t>3.</w:t>
      </w:r>
      <w:r>
        <w:rPr>
          <w:noProof/>
        </w:rPr>
        <w:tab/>
        <w:t>VÝSLEDKY HODNOTENÍ EX POST, KONZULTÁCIÍ SO ZAINTERESOVANÝMI STRANAMI A POSÚDENÍ VPLYVU</w:t>
      </w:r>
    </w:p>
    <w:p>
      <w:pPr>
        <w:pStyle w:val="ManualHeading2"/>
        <w:spacing w:before="100" w:beforeAutospacing="1" w:after="100" w:afterAutospacing="1"/>
        <w:rPr>
          <w:rFonts w:eastAsia="Arial Unicode MS"/>
          <w:noProof/>
          <w:u w:color="000000"/>
          <w:bdr w:val="nil"/>
        </w:rPr>
      </w:pPr>
      <w:r>
        <w:rPr>
          <w:noProof/>
          <w:u w:color="000000"/>
          <w:bdr w:val="nil"/>
        </w:rPr>
        <w:t>•</w:t>
      </w:r>
      <w:r>
        <w:rPr>
          <w:noProof/>
        </w:rPr>
        <w:tab/>
      </w:r>
      <w:r>
        <w:rPr>
          <w:noProof/>
          <w:u w:color="000000"/>
          <w:bdr w:val="nil"/>
        </w:rPr>
        <w:t>Hodnotenia ex post/kontroly vhodnosti existujúcich právnych predpisov</w:t>
      </w:r>
    </w:p>
    <w:p>
      <w:pPr>
        <w:pBdr>
          <w:top w:val="nil"/>
          <w:left w:val="nil"/>
          <w:bottom w:val="nil"/>
          <w:right w:val="nil"/>
          <w:between w:val="nil"/>
          <w:bar w:val="nil"/>
        </w:pBdr>
        <w:spacing w:before="100" w:beforeAutospacing="1" w:after="100" w:afterAutospacing="1"/>
        <w:rPr>
          <w:noProof/>
        </w:rPr>
      </w:pPr>
      <w:r>
        <w:rPr>
          <w:noProof/>
        </w:rPr>
        <w:t>Neuplatňuje sa.</w:t>
      </w:r>
    </w:p>
    <w:p>
      <w:pPr>
        <w:pStyle w:val="ManualHeading2"/>
        <w:spacing w:before="100" w:beforeAutospacing="1" w:after="100" w:afterAutospacing="1"/>
        <w:rPr>
          <w:rFonts w:eastAsia="Arial Unicode MS"/>
          <w:noProof/>
          <w:color w:val="000000"/>
          <w:u w:color="000000"/>
          <w:bdr w:val="nil"/>
        </w:rPr>
      </w:pPr>
      <w:r>
        <w:rPr>
          <w:noProof/>
          <w:color w:val="000000"/>
          <w:u w:color="000000"/>
          <w:bdr w:val="nil"/>
        </w:rPr>
        <w:lastRenderedPageBreak/>
        <w:t>•</w:t>
      </w:r>
      <w:r>
        <w:rPr>
          <w:noProof/>
        </w:rPr>
        <w:tab/>
      </w:r>
      <w:r>
        <w:rPr>
          <w:noProof/>
          <w:color w:val="000000"/>
          <w:u w:color="000000"/>
          <w:bdr w:val="nil"/>
        </w:rPr>
        <w:t>Konzultácie so zainteresovanými stranami</w:t>
      </w:r>
    </w:p>
    <w:p>
      <w:pPr>
        <w:pBdr>
          <w:top w:val="nil"/>
          <w:left w:val="nil"/>
          <w:bottom w:val="nil"/>
          <w:right w:val="nil"/>
          <w:between w:val="nil"/>
          <w:bar w:val="nil"/>
        </w:pBdr>
        <w:spacing w:before="100" w:beforeAutospacing="1" w:after="100" w:afterAutospacing="1"/>
        <w:rPr>
          <w:noProof/>
        </w:rPr>
      </w:pPr>
      <w:r>
        <w:rPr>
          <w:noProof/>
        </w:rPr>
        <w:t xml:space="preserve">V súlade s článkom 218 ods. 4 ZFEÚ Komisia viedla rokovania po porade s osobitným výborom (Poradné fórum). Počas rokovaní sa rovnako konzultovalo aj so zástupcami odvetvia. </w:t>
      </w:r>
    </w:p>
    <w:p>
      <w:pPr>
        <w:pBdr>
          <w:top w:val="nil"/>
          <w:left w:val="nil"/>
          <w:bottom w:val="nil"/>
          <w:right w:val="nil"/>
          <w:between w:val="nil"/>
          <w:bar w:val="nil"/>
        </w:pBdr>
        <w:spacing w:before="100" w:beforeAutospacing="1" w:after="100" w:afterAutospacing="1"/>
        <w:rPr>
          <w:noProof/>
        </w:rPr>
      </w:pPr>
      <w:r>
        <w:rPr>
          <w:noProof/>
        </w:rPr>
        <w:t>Pripomienky v rámci tohto procesu sa zohľadnili. Príslušné členské štáty potvrdili správnosť odkazov na dvojstranné dohody o leteckej doprave. Zástupcovia odvetvia zdôraznili dôležitosť pevného právneho základu pre svoje obchodné operácie.</w:t>
      </w:r>
    </w:p>
    <w:p>
      <w:pPr>
        <w:pStyle w:val="ManualHeading2"/>
        <w:spacing w:before="100" w:beforeAutospacing="1" w:after="100" w:afterAutospacing="1"/>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Získavanie a využívanie expertízy</w:t>
      </w:r>
    </w:p>
    <w:p>
      <w:pPr>
        <w:pBdr>
          <w:top w:val="nil"/>
          <w:left w:val="nil"/>
          <w:bottom w:val="nil"/>
          <w:right w:val="nil"/>
          <w:between w:val="nil"/>
          <w:bar w:val="nil"/>
        </w:pBdr>
        <w:spacing w:before="100" w:beforeAutospacing="1" w:after="100" w:afterAutospacing="1"/>
        <w:rPr>
          <w:noProof/>
        </w:rPr>
      </w:pPr>
      <w:r>
        <w:rPr>
          <w:noProof/>
        </w:rPr>
        <w:t>Neuplatňuje sa.</w:t>
      </w:r>
    </w:p>
    <w:p>
      <w:pPr>
        <w:pStyle w:val="ManualHeading2"/>
        <w:spacing w:before="100" w:beforeAutospacing="1" w:after="100" w:afterAutospacing="1"/>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Posúdenie vplyvu</w:t>
      </w:r>
    </w:p>
    <w:p>
      <w:pPr>
        <w:pBdr>
          <w:top w:val="nil"/>
          <w:left w:val="nil"/>
          <w:bottom w:val="nil"/>
          <w:right w:val="nil"/>
          <w:between w:val="nil"/>
          <w:bar w:val="nil"/>
        </w:pBdr>
        <w:spacing w:before="100" w:beforeAutospacing="1" w:after="100" w:afterAutospacing="1"/>
        <w:rPr>
          <w:noProof/>
        </w:rPr>
      </w:pPr>
      <w:r>
        <w:rPr>
          <w:noProof/>
        </w:rPr>
        <w:t>Neuplatňuje sa.</w:t>
      </w:r>
    </w:p>
    <w:p>
      <w:pPr>
        <w:pStyle w:val="ManualHeading2"/>
        <w:spacing w:before="100" w:beforeAutospacing="1" w:after="100" w:afterAutospacing="1"/>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Vhodnosť právnych predpisov a ich zjednodušenie</w:t>
      </w:r>
    </w:p>
    <w:p>
      <w:pPr>
        <w:pBdr>
          <w:top w:val="nil"/>
          <w:left w:val="nil"/>
          <w:bottom w:val="nil"/>
          <w:right w:val="nil"/>
          <w:between w:val="nil"/>
          <w:bar w:val="nil"/>
        </w:pBdr>
        <w:spacing w:before="100" w:beforeAutospacing="1" w:after="100" w:afterAutospacing="1"/>
        <w:rPr>
          <w:noProof/>
        </w:rPr>
      </w:pPr>
      <w:r>
        <w:rPr>
          <w:noProof/>
        </w:rPr>
        <w:t>Neuplatňuje sa.</w:t>
      </w:r>
    </w:p>
    <w:p>
      <w:pPr>
        <w:pStyle w:val="ManualHeading2"/>
        <w:spacing w:before="100" w:beforeAutospacing="1" w:after="100" w:afterAutospacing="1"/>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Základné práva</w:t>
      </w:r>
    </w:p>
    <w:p>
      <w:pPr>
        <w:pBdr>
          <w:top w:val="nil"/>
          <w:left w:val="nil"/>
          <w:bottom w:val="nil"/>
          <w:right w:val="nil"/>
          <w:between w:val="nil"/>
          <w:bar w:val="nil"/>
        </w:pBdr>
        <w:spacing w:before="100" w:beforeAutospacing="1" w:after="100" w:afterAutospacing="1"/>
        <w:rPr>
          <w:noProof/>
        </w:rPr>
      </w:pPr>
      <w:r>
        <w:rPr>
          <w:noProof/>
        </w:rPr>
        <w:t>Neuplatňuje sa.</w:t>
      </w:r>
    </w:p>
    <w:p>
      <w:pPr>
        <w:pStyle w:val="ManualHeading2"/>
        <w:rPr>
          <w:noProof/>
        </w:rPr>
      </w:pPr>
      <w:r>
        <w:rPr>
          <w:noProof/>
        </w:rPr>
        <w:t>4.</w:t>
      </w:r>
      <w:r>
        <w:rPr>
          <w:noProof/>
        </w:rPr>
        <w:tab/>
        <w:t>VPLYV NA ROZPOČET</w:t>
      </w:r>
    </w:p>
    <w:p>
      <w:pPr>
        <w:pBdr>
          <w:top w:val="nil"/>
          <w:left w:val="nil"/>
          <w:bottom w:val="nil"/>
          <w:right w:val="nil"/>
          <w:between w:val="nil"/>
          <w:bar w:val="nil"/>
        </w:pBdr>
        <w:spacing w:before="100" w:beforeAutospacing="1" w:after="100" w:afterAutospacing="1"/>
        <w:rPr>
          <w:noProof/>
        </w:rPr>
      </w:pPr>
      <w:r>
        <w:rPr>
          <w:noProof/>
        </w:rPr>
        <w:t>Návrh nemá žiadny vplyv na rozpočet Únie.</w:t>
      </w:r>
    </w:p>
    <w:p>
      <w:pPr>
        <w:pStyle w:val="ManualHeading1"/>
        <w:rPr>
          <w:noProof/>
        </w:rPr>
      </w:pPr>
      <w:r>
        <w:rPr>
          <w:noProof/>
        </w:rPr>
        <w:t>5.</w:t>
      </w:r>
      <w:r>
        <w:rPr>
          <w:noProof/>
        </w:rPr>
        <w:tab/>
        <w:t>INÉ PRVKY</w:t>
      </w:r>
    </w:p>
    <w:p>
      <w:pPr>
        <w:pStyle w:val="ManualHeading2"/>
        <w:spacing w:before="100" w:beforeAutospacing="1" w:after="100" w:afterAutospacing="1"/>
        <w:rPr>
          <w:rFonts w:eastAsia="Arial Unicode MS"/>
          <w:noProof/>
          <w:u w:color="000000"/>
          <w:bdr w:val="nil"/>
        </w:rPr>
      </w:pPr>
      <w:r>
        <w:rPr>
          <w:noProof/>
          <w:u w:color="000000"/>
          <w:bdr w:val="nil"/>
        </w:rPr>
        <w:t>•</w:t>
      </w:r>
      <w:r>
        <w:rPr>
          <w:noProof/>
        </w:rPr>
        <w:tab/>
      </w:r>
      <w:r>
        <w:rPr>
          <w:noProof/>
          <w:color w:val="000000"/>
          <w:u w:color="000000"/>
          <w:bdr w:val="nil"/>
        </w:rPr>
        <w:t xml:space="preserve">Zhrnutie navrhovaného opatrenia </w:t>
      </w:r>
    </w:p>
    <w:p>
      <w:pPr>
        <w:pBdr>
          <w:top w:val="nil"/>
          <w:left w:val="nil"/>
          <w:bottom w:val="nil"/>
          <w:right w:val="nil"/>
          <w:between w:val="nil"/>
          <w:bar w:val="nil"/>
        </w:pBdr>
        <w:spacing w:before="100" w:beforeAutospacing="1" w:after="100" w:afterAutospacing="1"/>
        <w:rPr>
          <w:noProof/>
        </w:rPr>
      </w:pPr>
      <w:r>
        <w:rPr>
          <w:noProof/>
        </w:rPr>
        <w:t>Dohoda pozostáva z hlavnej časti obsahujúcej hlavné zásady a dvoch príloh: prílohy I o prechodných ustanoveniach a prílohy II o pravidlách EÚ vzťahujúcich sa na civilné letectvo.</w:t>
      </w:r>
    </w:p>
    <w:p>
      <w:pPr>
        <w:pBdr>
          <w:top w:val="nil"/>
          <w:left w:val="nil"/>
          <w:bottom w:val="nil"/>
          <w:right w:val="nil"/>
          <w:between w:val="nil"/>
          <w:bar w:val="nil"/>
        </w:pBdr>
        <w:spacing w:before="100" w:beforeAutospacing="1" w:after="100" w:afterAutospacing="1"/>
        <w:rPr>
          <w:noProof/>
        </w:rPr>
      </w:pPr>
      <w:r>
        <w:rPr>
          <w:noProof/>
        </w:rPr>
        <w:t>Od 1. januára 2021 sa už právo Únie na Spojené kráľovstvo neuplatňuje. Preto sa po dohode s Arménskom vypustili všetky odkazy na Spojené kráľovstvo v parafovanom texte a zahrnula sa štandardná doložka o územnej pôsobnosti.</w:t>
      </w:r>
    </w:p>
    <w:p>
      <w:pPr>
        <w:rPr>
          <w:noProof/>
        </w:rPr>
        <w:sectPr>
          <w:footerReference w:type="default" r:id="rId11"/>
          <w:footerReference w:type="first" r:id="rId12"/>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2021/0085 (NLE)</w:t>
      </w:r>
    </w:p>
    <w:p>
      <w:pPr>
        <w:pStyle w:val="Statut"/>
        <w:rPr>
          <w:noProof/>
        </w:rPr>
      </w:pPr>
      <w:r>
        <w:rPr>
          <w:noProof/>
        </w:rPr>
        <w:t>Návrh</w:t>
      </w:r>
    </w:p>
    <w:p>
      <w:pPr>
        <w:pStyle w:val="Typedudocument"/>
        <w:rPr>
          <w:noProof/>
        </w:rPr>
      </w:pPr>
      <w:r>
        <w:rPr>
          <w:noProof/>
        </w:rPr>
        <w:t>ROZHODNUTIE RADY</w:t>
      </w:r>
    </w:p>
    <w:p>
      <w:pPr>
        <w:pStyle w:val="Titreobjet"/>
        <w:rPr>
          <w:noProof/>
        </w:rPr>
      </w:pPr>
      <w:r>
        <w:rPr>
          <w:noProof/>
        </w:rPr>
        <w:t>o podpísaní v mene Európskej únie a predbežnom uplatňovaní Dohody o spoločnom leteckom priestore medzi Arménskou republikou na jednej strane a Európskou úniou a jej členskými štátmi na strane druhej</w:t>
      </w:r>
    </w:p>
    <w:p>
      <w:pPr>
        <w:pStyle w:val="Institutionquiagit"/>
        <w:rPr>
          <w:noProof/>
        </w:rPr>
      </w:pPr>
      <w:r>
        <w:rPr>
          <w:noProof/>
        </w:rPr>
        <w:t>RADA EURÓPSKEJ ÚNIE,</w:t>
      </w:r>
    </w:p>
    <w:p>
      <w:pPr>
        <w:rPr>
          <w:noProof/>
        </w:rPr>
      </w:pPr>
      <w:r>
        <w:rPr>
          <w:noProof/>
        </w:rPr>
        <w:t>so zreteľom na Zmluvu o fungovaní Európskej únie, a najmä na jej článok 100 ods. 2 v spojení s článkom 218 ods. 5,</w:t>
      </w:r>
    </w:p>
    <w:p>
      <w:pPr>
        <w:rPr>
          <w:noProof/>
        </w:rPr>
      </w:pPr>
      <w:r>
        <w:rPr>
          <w:noProof/>
        </w:rPr>
        <w:t>so zreteľom na návrh Európskej komisie,</w:t>
      </w:r>
    </w:p>
    <w:p>
      <w:pPr>
        <w:rPr>
          <w:noProof/>
        </w:rPr>
      </w:pPr>
      <w:r>
        <w:rPr>
          <w:noProof/>
        </w:rPr>
        <w:t>keďže:</w:t>
      </w:r>
    </w:p>
    <w:p>
      <w:pPr>
        <w:pStyle w:val="ManualConsidrant"/>
        <w:rPr>
          <w:noProof/>
        </w:rPr>
      </w:pPr>
      <w:r>
        <w:t>(1)</w:t>
      </w:r>
      <w:r>
        <w:tab/>
      </w:r>
      <w:r>
        <w:rPr>
          <w:noProof/>
        </w:rPr>
        <w:t>Rada 7. decembra 2015 poverila Komisiu otvorením rokovaní s Arménskou republikou o Dohode o spoločnom leteckom priestore medzi Arménskou republikou na jednej strane a Európskou úniou a jej členskými štátmi na strane druhej. Rokovania boli úspešne ukončené parafovaním dohody 24. novembra 2017.</w:t>
      </w:r>
    </w:p>
    <w:p>
      <w:pPr>
        <w:pStyle w:val="ManualConsidrant"/>
        <w:rPr>
          <w:noProof/>
        </w:rPr>
      </w:pPr>
      <w:r>
        <w:t>(2)</w:t>
      </w:r>
      <w:r>
        <w:tab/>
      </w:r>
      <w:r>
        <w:rPr>
          <w:noProof/>
        </w:rPr>
        <w:t>Dohoda by mala byť podpísaná v mene Únie s výhradou jej uzavretia k neskoršiemu dátumu.</w:t>
      </w:r>
    </w:p>
    <w:p>
      <w:pPr>
        <w:pStyle w:val="ManualConsidrant"/>
        <w:rPr>
          <w:noProof/>
        </w:rPr>
      </w:pPr>
      <w:r>
        <w:t>(3)</w:t>
      </w:r>
      <w:r>
        <w:tab/>
      </w:r>
      <w:r>
        <w:rPr>
          <w:noProof/>
        </w:rPr>
        <w:t>Dohoda by sa mala predbežne vykonávať,</w:t>
      </w:r>
    </w:p>
    <w:p>
      <w:pPr>
        <w:pStyle w:val="Formuledadoption"/>
        <w:rPr>
          <w:noProof/>
        </w:rPr>
      </w:pPr>
      <w:r>
        <w:rPr>
          <w:noProof/>
        </w:rPr>
        <w:t xml:space="preserve">PRIJALA TOTO ROZHODNUTIE: </w:t>
      </w:r>
    </w:p>
    <w:p>
      <w:pPr>
        <w:pStyle w:val="Titrearticle"/>
        <w:spacing w:before="120"/>
        <w:outlineLvl w:val="0"/>
        <w:rPr>
          <w:noProof/>
        </w:rPr>
      </w:pPr>
      <w:r>
        <w:rPr>
          <w:noProof/>
        </w:rPr>
        <w:t xml:space="preserve">Článok 1 </w:t>
      </w:r>
      <w:r>
        <w:rPr>
          <w:noProof/>
        </w:rPr>
        <w:br/>
      </w:r>
    </w:p>
    <w:p>
      <w:pPr>
        <w:rPr>
          <w:noProof/>
        </w:rPr>
      </w:pPr>
      <w:r>
        <w:rPr>
          <w:noProof/>
        </w:rPr>
        <w:t>Týmto sa v mene Únie schvaľuje podpísanie Dohody o spoločnom leteckom priestore medzi Arménskou republikou na jednej strane a Európskou úniou a jej členskými štátmi na strane druhej s výhradou jej uzavretia.</w:t>
      </w:r>
    </w:p>
    <w:p>
      <w:pPr>
        <w:rPr>
          <w:noProof/>
        </w:rPr>
      </w:pPr>
      <w:r>
        <w:rPr>
          <w:noProof/>
        </w:rPr>
        <w:t>Text dohody je pripojený k tomuto rozhodnutiu.</w:t>
      </w:r>
    </w:p>
    <w:p>
      <w:pPr>
        <w:pStyle w:val="Titrearticle"/>
        <w:rPr>
          <w:noProof/>
        </w:rPr>
      </w:pPr>
      <w:r>
        <w:rPr>
          <w:noProof/>
        </w:rPr>
        <w:t xml:space="preserve">Článok 2 </w:t>
      </w:r>
    </w:p>
    <w:p>
      <w:pPr>
        <w:pStyle w:val="Titrearticle"/>
        <w:spacing w:after="0"/>
        <w:jc w:val="both"/>
        <w:rPr>
          <w:noProof/>
        </w:rPr>
      </w:pPr>
      <w:r>
        <w:rPr>
          <w:i w:val="0"/>
          <w:noProof/>
        </w:rPr>
        <w:t>Generálny sekretariát Rady udelí osobe, resp. osobám, ktoré určí vyjednávač dohody, plnú moc na podpis dohody s výhradou jej uzavretia.</w:t>
      </w:r>
    </w:p>
    <w:p>
      <w:pPr>
        <w:pStyle w:val="Titrearticle"/>
        <w:spacing w:after="0"/>
        <w:rPr>
          <w:noProof/>
        </w:rPr>
      </w:pPr>
      <w:r>
        <w:rPr>
          <w:noProof/>
        </w:rPr>
        <w:t>Článok 3</w:t>
      </w:r>
    </w:p>
    <w:p>
      <w:pPr>
        <w:rPr>
          <w:noProof/>
        </w:rPr>
      </w:pPr>
      <w:r>
        <w:rPr>
          <w:noProof/>
        </w:rPr>
        <w:t>Do nadobudnutia platnosti Únia túto dohodu uplatňuje predbežne v súlade s jej článkom 30 ods. 5.</w:t>
      </w:r>
    </w:p>
    <w:p>
      <w:pPr>
        <w:rPr>
          <w:noProof/>
        </w:rPr>
      </w:pPr>
    </w:p>
    <w:p>
      <w:pPr>
        <w:pStyle w:val="Titrearticle"/>
        <w:spacing w:before="120"/>
        <w:outlineLvl w:val="0"/>
        <w:rPr>
          <w:noProof/>
        </w:rPr>
      </w:pPr>
      <w:r>
        <w:rPr>
          <w:noProof/>
        </w:rPr>
        <w:lastRenderedPageBreak/>
        <w:t>Článok 4</w:t>
      </w:r>
    </w:p>
    <w:p>
      <w:pPr>
        <w:rPr>
          <w:noProof/>
          <w:szCs w:val="24"/>
        </w:rPr>
      </w:pPr>
      <w:r>
        <w:rPr>
          <w:noProof/>
        </w:rPr>
        <w:t>Komisia je po porade s osobitným výborom, ktorý vymenuje Rada, oprávnená prijať pozíciu, ktorú má zaujať Únia v súvislosti s rozhodnutiami spoločného výboru podľa článku 27 ods. 7 dohody, pokiaľ ide o zmenu prílohy II k dohode začlenením legislatívy Únie do uvedenej prílohy s výhradou akýchkoľvek potrebných technických úprav.</w:t>
      </w:r>
    </w:p>
    <w:p>
      <w:pPr>
        <w:pStyle w:val="Titrearticle"/>
        <w:spacing w:before="120"/>
        <w:outlineLvl w:val="0"/>
        <w:rPr>
          <w:noProof/>
        </w:rPr>
      </w:pPr>
      <w:r>
        <w:rPr>
          <w:noProof/>
        </w:rPr>
        <w:t>Článok 5</w:t>
      </w:r>
    </w:p>
    <w:p>
      <w:pPr>
        <w:rPr>
          <w:noProof/>
        </w:rPr>
      </w:pPr>
      <w:r>
        <w:rPr>
          <w:noProof/>
        </w:rPr>
        <w:t xml:space="preserve">Toto rozhodnutie nadobúda účinnosť dňom jeho prijatia. </w:t>
      </w: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E0A61A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73A0F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54E4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5AB6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81CBA6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190698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98E2FD0"/>
    <w:lvl w:ilvl="0">
      <w:start w:val="1"/>
      <w:numFmt w:val="decimal"/>
      <w:pStyle w:val="ListNumber"/>
      <w:lvlText w:val="%1."/>
      <w:lvlJc w:val="left"/>
      <w:pPr>
        <w:tabs>
          <w:tab w:val="num" w:pos="360"/>
        </w:tabs>
        <w:ind w:left="360" w:hanging="360"/>
      </w:pPr>
    </w:lvl>
  </w:abstractNum>
  <w:abstractNum w:abstractNumId="7">
    <w:nsid w:val="FFFFFF89"/>
    <w:multiLevelType w:val="singleLevel"/>
    <w:tmpl w:val="71AA0E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1-03-30 12:36:5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82598DD-5393-4BDC-9CD2-4C9E367C7C0E"/>
    <w:docVar w:name="LW_COVERPAGE_TYPE" w:val="1"/>
    <w:docVar w:name="LW_CROSSREFERENCE" w:val="&lt;UNUSED&gt;"/>
    <w:docVar w:name="LW_DocType" w:val="COM"/>
    <w:docVar w:name="LW_EMISSION" w:val="8. 4. 2021"/>
    <w:docVar w:name="LW_EMISSION_ISODATE" w:val="2021-04-08"/>
    <w:docVar w:name="LW_EMISSION_LOCATION" w:val="BRX"/>
    <w:docVar w:name="LW_EMISSION_PREFIX" w:val="V Bruseli"/>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NLE"/>
    <w:docVar w:name="LW_REF.II.NEW.CP_NUMBER" w:val="0085"/>
    <w:docVar w:name="LW_REF.II.NEW.CP_YEAR" w:val="2021"/>
    <w:docVar w:name="LW_REF.INST.NEW" w:val="COM"/>
    <w:docVar w:name="LW_REF.INST.NEW_ADOPTED" w:val="final"/>
    <w:docVar w:name="LW_REF.INST.NEW_TEXT" w:val="(2021) 16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o podpísaní v mene Európskej únie a predbe\u382?nom uplat\u328?ovaní Dohody o spolo\u269?nom leteckom priestore medzi Arménskou republikou na jednej strane a Európskou úniou a jej \u269?lenskými \u353?tátmi na strane druhej"/>
    <w:docVar w:name="LW_TYPE.DOC.CP" w:val="ROZHODNUT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A00A4-AEA2-4E3D-96DB-59F9D208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1102</Words>
  <Characters>6671</Characters>
  <Application>Microsoft Office Word</Application>
  <DocSecurity>0</DocSecurity>
  <Lines>141</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dcterms:created xsi:type="dcterms:W3CDTF">2021-01-20T10:12:00Z</dcterms:created>
  <dcterms:modified xsi:type="dcterms:W3CDTF">2021-03-30T10:36:00Z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