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alt="45004992-C82F-4061-938E-E3C92539D941" style="width:450.45pt;height:365.95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Odůvodnění a cíle návrhu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Evropsko-středomořskou leteckou dohodu mezi Evropskou unií a jejími členskými státy na jedné straně a Tuniskou republikou na straně druhé vyjednala Komise na základě pověření Rady dne 9. prosince 2008. 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Letecké služby mezi EU a Tuniskem jsou v současnosti provozovány na základě dvoustranných dohod mezi jednotlivými členskými státy a Tuniskem.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Součástí vnější politiky EU v oblasti letectví je sjednávání všeobecných dohod o leteckých službách se sousedními zeměmi tam, kde je prokázána jejich přidaná hodnota a ekonomické přínosy. Cílem dohody je zejména:</w:t>
      </w:r>
    </w:p>
    <w:p>
      <w:pPr>
        <w:autoSpaceDE w:val="0"/>
        <w:autoSpaceDN w:val="0"/>
        <w:adjustRightInd w:val="0"/>
        <w:spacing w:before="100" w:beforeAutospacing="1" w:after="100" w:afterAutospacing="1"/>
        <w:rPr>
          <w:noProof/>
        </w:rPr>
      </w:pPr>
      <w:r>
        <w:rPr>
          <w:noProof/>
        </w:rPr>
        <w:t>– postupné otevírání trhů umožňující vzájemný přístup k tratím a kapacitě,</w:t>
      </w:r>
    </w:p>
    <w:p>
      <w:pPr>
        <w:autoSpaceDE w:val="0"/>
        <w:autoSpaceDN w:val="0"/>
        <w:adjustRightInd w:val="0"/>
        <w:spacing w:before="100" w:beforeAutospacing="1" w:after="100" w:afterAutospacing="1"/>
        <w:rPr>
          <w:noProof/>
        </w:rPr>
      </w:pPr>
      <w:r>
        <w:rPr>
          <w:noProof/>
        </w:rPr>
        <w:t>– sbližování právních předpisů a účinné dodržování příslušných právních předpisů EU v oblasti letecké dopravy ze strany Tuniska a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– nediskriminace a rovnost podmínek pro hospodářské subjekty.</w:t>
      </w:r>
    </w:p>
    <w:p>
      <w:pPr>
        <w:pStyle w:val="ManualHeading2"/>
        <w:rPr>
          <w:rFonts w:eastAsia="Arial Unicode MS"/>
          <w:noProof/>
          <w:highlight w:val="yellow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Obecné souvislosti</w:t>
      </w:r>
    </w:p>
    <w:p>
      <w:pPr>
        <w:pStyle w:val="Text1"/>
        <w:spacing w:before="100" w:beforeAutospacing="1" w:after="100" w:afterAutospacing="1"/>
        <w:ind w:left="0"/>
        <w:rPr>
          <w:noProof/>
        </w:rPr>
      </w:pPr>
      <w:r>
        <w:rPr>
          <w:noProof/>
        </w:rPr>
        <w:t>Ve směrnicích pro jednání je uveden obecný cíl sjednat všeobecnou dohodu o letecké dopravě za účelem postupného a vzájemného otevření trhu, sbližování právních předpisů a účinného provádění požadavků a norem EU.</w:t>
      </w:r>
    </w:p>
    <w:p>
      <w:pPr>
        <w:pStyle w:val="Text1"/>
        <w:spacing w:before="100" w:beforeAutospacing="1" w:after="100" w:afterAutospacing="1"/>
        <w:ind w:left="0"/>
        <w:rPr>
          <w:noProof/>
        </w:rPr>
      </w:pPr>
      <w:r>
        <w:rPr>
          <w:noProof/>
        </w:rPr>
        <w:t>V souladu se směrnicemi pro jednání parafovaly obě strany dne 11. prosince 2017 předlohu dohody s Tuniskem.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Soulad s platnými předpisy v této oblasti politiky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Uzavření Evropsko-středomořské letecké dohody s Tuniskem je významným prvkem rozvoje vnější politiky EU v oblasti letectví a důležitým prvkem evropské politiky sousedství a vytvoření širšího společného evropského leteckého prostoru, jak je popsáno ve sdělení Komise COM(2012) 556 final „Vnější politika EU v oblasti letecké dopravy – řešení budoucích výzev“.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 xml:space="preserve">Soulad s </w:t>
      </w:r>
      <w:r>
        <w:rPr>
          <w:noProof/>
          <w:color w:val="000000"/>
          <w:u w:color="000000"/>
          <w:bdr w:val="nil"/>
        </w:rPr>
        <w:t xml:space="preserve">platnými předpisy vztahujícími se na oblast návrhu 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Ustanovení této dohody mají přednost před příslušnými ustanoveními stávajících dvoustranných dohod o leteckých službách mezi členskými státy a Tuniskou republikou. Stávající přepravní práva, která z těchto dvoustranných dohod vycházejí a na které se tato dohoda nevztahuje, mohou však být i nadále vykonávána za předpokladu, že nedochází k diskriminaci členských států a jejich státních příslušníků.</w:t>
      </w:r>
    </w:p>
    <w:p>
      <w:pPr>
        <w:spacing w:before="100" w:beforeAutospacing="1" w:after="100" w:afterAutospacing="1"/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PRÁVNÍ ZÁKLAD, SUBSIDIARITA A 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Právní základ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Ustanovení čl. 100 odst. 2, a čl. 218 odst. 6 písm. a) Smlouvy o fungování Evropské unie.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Subsidiarita (v případě nevýlučné pravomoci) </w:t>
      </w:r>
    </w:p>
    <w:p>
      <w:pPr>
        <w:pStyle w:val="Text1"/>
        <w:spacing w:before="100" w:beforeAutospacing="1" w:after="100" w:afterAutospacing="1"/>
        <w:ind w:left="0"/>
        <w:rPr>
          <w:noProof/>
        </w:rPr>
      </w:pPr>
      <w:r>
        <w:rPr>
          <w:noProof/>
        </w:rPr>
        <w:t>Ustanovení této dohody budou mít přednost před příslušnými ustanoveními stávajících ujednání uzavřených jednotlivými členskými státy. Dohoda vytváří rovné a jednotné podmínky přístupu na trh pro všechny letecké dopravce Unie zároveň a stanoví nová ujednání pro spolupráci Evropské unie a Tuniska týkající se právních předpisů v oblastech se zásadním významem pro bezpečné, chráněné a účinné provozování leteckých služeb a pro sbližování těchto předpisů. Těchto ujednání je možno dosáhnout pouze na úrovni Unie, protože zahrnují několik oblastí spadajících do výlučné pravomoci Unie.</w:t>
      </w:r>
    </w:p>
    <w:p>
      <w:pPr>
        <w:pStyle w:val="Text1"/>
        <w:spacing w:before="100" w:beforeAutospacing="1" w:after="100" w:afterAutospacing="1"/>
        <w:ind w:left="0"/>
        <w:rPr>
          <w:noProof/>
        </w:rPr>
      </w:pPr>
      <w:r>
        <w:rPr>
          <w:noProof/>
        </w:rPr>
        <w:t>Opatření Unie lépe dosáhnou cílů návrhu z tohoto důvodu / těchto důvodů:</w:t>
      </w:r>
    </w:p>
    <w:p>
      <w:pPr>
        <w:pStyle w:val="Text1"/>
        <w:spacing w:before="100" w:beforeAutospacing="1" w:after="100" w:afterAutospacing="1"/>
        <w:ind w:left="0"/>
        <w:rPr>
          <w:noProof/>
        </w:rPr>
      </w:pPr>
      <w:r>
        <w:rPr>
          <w:noProof/>
        </w:rPr>
        <w:t>Dohoda umožňuje současné rozšíření podmínek, které stanovila, na 27 členských států, přičemž bez diskriminace uplatňuje stejná pravidla a přináší prospěch všem leteckým dopravcům Unie bez ohledu na státní příslušnost. Tito dopravci budou moci volně provozovat své služby z jakéhokoli místa v Evropské unii do jakéhokoli místa v Tunisku, což dosud nebylo možné.</w:t>
      </w:r>
    </w:p>
    <w:p>
      <w:pPr>
        <w:pStyle w:val="Text1"/>
        <w:spacing w:before="100" w:beforeAutospacing="1" w:after="100" w:afterAutospacing="1"/>
        <w:ind w:left="0"/>
        <w:rPr>
          <w:noProof/>
        </w:rPr>
      </w:pPr>
      <w:r>
        <w:rPr>
          <w:noProof/>
        </w:rPr>
        <w:t>Postupné zrušení všech omezení přístupu na trh mezi EU a Tuniskem nejen přiláká na trh nové účastníky a vytvoří příležitosti pro provozování služeb na méně využívaných letištích, ale usnadní také konsolidaci mezi leteckými dopravci EU.</w:t>
      </w:r>
    </w:p>
    <w:p>
      <w:pPr>
        <w:pStyle w:val="Text1"/>
        <w:spacing w:before="100" w:beforeAutospacing="1" w:after="100" w:afterAutospacing="1"/>
        <w:ind w:left="0"/>
        <w:rPr>
          <w:noProof/>
        </w:rPr>
      </w:pPr>
      <w:r>
        <w:rPr>
          <w:noProof/>
        </w:rPr>
        <w:t>Dohoda zaručuje všem leteckým dopravcům EU přístup k obchodním příležitostem v souvislosti např. s pozemním odbavováním, společným označováním linek, intermodalitou a možností svobodně stanovovat ceny.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Bude zřízen smíšený výbor za účelem projednávání záležitostí souvisejících s prováděním dohody. Smíšený výbor bude podporovat odborné výměny informací o nových iniciativách a vývoji v oblasti právních a správních předpisů a bude posuzovat možné oblasti pro další rozvoj této dohody. Smíšený výbor se bude skládat ze zástupců Komise a členských států.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Kromě toho budou členské státy nadále plnit tradiční správní úkoly, které vykonávají v souvislosti s mezinárodní leteckou dopravou, avšak podle společných a jednotně uplatňovaných pravidel.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Volba nástroje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Vnější vztahy v oblasti letectví lze upravovat pouze mezinárodními dohodami.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 xml:space="preserve">VÝSLEDKY HODNOCENÍ </w:t>
      </w:r>
      <w:r>
        <w:rPr>
          <w:i/>
          <w:noProof/>
        </w:rPr>
        <w:t>EX POST</w:t>
      </w:r>
      <w:r>
        <w:rPr>
          <w:noProof/>
        </w:rPr>
        <w:t>, KONZULTACÍ SE ZÚČASTNĚNÝMI STRANAMI A POSOUZENÍ DOPADŮ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Hodnocení </w:t>
      </w:r>
      <w:r>
        <w:rPr>
          <w:i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 xml:space="preserve"> / kontroly účelnosti platných právních předpisů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Konzultace se zúčastněnými stranami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 xml:space="preserve">V souladu s čl. 218 odst. 4 Smlouvy o fungování Evropské unie vedla Komise jednání po konzultaci se zvláštním výborem (konzultační fórum). Během jednání byli rovněž konzultováni zástupci odvětví.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Byly vzaty v úvahu připomínky vznesené v průběhu tohoto procesu. Dotčené členské státy ověřily přesnost odkazů na dvoustranné dohody o leteckých službách. Odvětví zdůraznilo význam řádného právního základu pro svou obchodní činnost.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Sběr a využití výsledků odborných konzultací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Posouzení dopadů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Účelnost právních předpisů a zjednodušení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Základní práva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Nevztahuje se na tento návrh.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Návrh nemá žádné důsledky pro rozpočet Unie.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OSTATNÍ PRVKY</w:t>
      </w:r>
    </w:p>
    <w:p>
      <w:pPr>
        <w:pStyle w:val="ManualHeading2"/>
        <w:rPr>
          <w:rFonts w:eastAsia="Arial Unicode MS"/>
          <w:noProof/>
          <w:u w:color="000000"/>
          <w:bdr w:val="nil"/>
          <w:lang w:eastAsia="en-GB"/>
        </w:rPr>
      </w:pP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 xml:space="preserve">Shrnutí navrhovaných opatření  </w:t>
      </w:r>
      <w:r>
        <w:rPr>
          <w:noProof/>
        </w:rPr>
        <w:tab/>
      </w:r>
    </w:p>
    <w:p>
      <w:pPr>
        <w:spacing w:after="200" w:line="276" w:lineRule="auto"/>
        <w:rPr>
          <w:noProof/>
        </w:rPr>
      </w:pPr>
      <w:r>
        <w:rPr>
          <w:noProof/>
        </w:rPr>
        <w:t>Dohoda sestává z hlavního textu obsahujícího hlavní zásady a tří příloh: přílohy I o přechodných ustanoveních, přílohy Ia o přechodných ustanoveních týkajících se mezinárodního letiště Tunis Kartágo a přílohy II o předpisech EU upravujících civilní letectví.</w:t>
      </w:r>
    </w:p>
    <w:p>
      <w:pPr>
        <w:pStyle w:val="ManualHeading2"/>
        <w:rPr>
          <w:rFonts w:eastAsia="Arial Unicode MS"/>
          <w:noProof/>
          <w:highlight w:val="yellow"/>
          <w:u w:color="000000"/>
          <w:bdr w:val="nil"/>
          <w:lang w:eastAsia="en-GB"/>
        </w:rPr>
      </w:pP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2021/0079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>o uzavření Evropsko-středomořské letecké dohody mezi Evropskou unií a jejími členskými státy na jedné straně a Tuniskou republikou na straně druhé jménem Evropské unie</w:t>
      </w:r>
    </w:p>
    <w:p>
      <w:pPr>
        <w:pStyle w:val="Institutionquiagit"/>
        <w:outlineLvl w:val="0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 ohledem na Smlouvu o fungování Evropské unie, a zejména na čl. 100 odst. 2 ve spojení s čl. 218 odst. 6 písm. a) této smlouvy,</w:t>
      </w:r>
    </w:p>
    <w:p>
      <w:pPr>
        <w:rPr>
          <w:noProof/>
        </w:rPr>
      </w:pPr>
      <w:r>
        <w:rPr>
          <w:noProof/>
        </w:rPr>
        <w:t>s ohledem na návrh Evropské komise,</w:t>
      </w:r>
    </w:p>
    <w:p>
      <w:pPr>
        <w:rPr>
          <w:noProof/>
        </w:rPr>
      </w:pPr>
      <w:r>
        <w:rPr>
          <w:noProof/>
        </w:rPr>
        <w:t>s ohledem na souhlas Evropského parlamentu,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V souladu s rozhodnutím Rady XXXX/XX byla dne XX podepsána Evropsko-středomořská letecká dohoda mezi Evropskou unií a jejími členskými státy na jedné straně a Tuniskou republikou na straně druhé, s výhradou jejího uzavření k pozdějšímu datu.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Dohoda byla ratifikována všemi členskými státy.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Dohoda by měla být schválena jménem Unie,</w:t>
      </w:r>
    </w:p>
    <w:p>
      <w:pPr>
        <w:pStyle w:val="Formuledadoption"/>
        <w:rPr>
          <w:noProof/>
        </w:rPr>
      </w:pPr>
      <w:r>
        <w:rPr>
          <w:noProof/>
        </w:rPr>
        <w:t xml:space="preserve">PŘIJALA TOTO ROZHODNUTÍ: 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rPr>
          <w:noProof/>
        </w:rPr>
      </w:pPr>
      <w:r>
        <w:rPr>
          <w:noProof/>
        </w:rPr>
        <w:t>Evropsko-středomořská letecká dohoda mezi Evropskou unií a jejími členskými státy na jedné straně a Tuniskou republikou na straně druhé se schvaluje jménem Unie.</w:t>
      </w:r>
    </w:p>
    <w:p>
      <w:pPr>
        <w:rPr>
          <w:noProof/>
        </w:rPr>
      </w:pPr>
      <w:r>
        <w:rPr>
          <w:noProof/>
        </w:rPr>
        <w:t>Znění dohody je přiloženo k tomuto rozhodnutí.</w:t>
      </w:r>
    </w:p>
    <w:p>
      <w:pPr>
        <w:pStyle w:val="Titrearticle"/>
        <w:rPr>
          <w:noProof/>
        </w:rPr>
      </w:pPr>
      <w:r>
        <w:rPr>
          <w:noProof/>
        </w:rPr>
        <w:t xml:space="preserve">Článek 2 </w:t>
      </w:r>
    </w:p>
    <w:p>
      <w:pPr>
        <w:rPr>
          <w:noProof/>
        </w:rPr>
      </w:pPr>
      <w:r>
        <w:rPr>
          <w:noProof/>
        </w:rPr>
        <w:t>Předseda Rady určí osobu zmocněnou doručit jménem Unie diplomatickou nótu podle článku 30 dohody vyjadřující souhlas Unie být touto dohodou vázána.</w:t>
      </w:r>
    </w:p>
    <w:p>
      <w:pPr>
        <w:pStyle w:val="Titrearticle"/>
        <w:rPr>
          <w:noProof/>
        </w:rPr>
      </w:pPr>
      <w:r>
        <w:rPr>
          <w:noProof/>
        </w:rPr>
        <w:t>Článek 3</w:t>
      </w:r>
    </w:p>
    <w:p>
      <w:pPr>
        <w:rPr>
          <w:noProof/>
        </w:rPr>
      </w:pPr>
      <w:r>
        <w:rPr>
          <w:noProof/>
        </w:rPr>
        <w:t>Komise je oprávněna přijmout postoj, který má Unie zaujmout k rozhodnutím smíšeného výboru podle článku 21 dohody, pokud jde o změnu přílohy II dohody začleněním právních předpisů Unie do uvedené přílohy, s výhradou případných potřebných technických úprav, po konzultaci se zvláštním výborem jmenovaným Radou.</w:t>
      </w: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>Článek 4</w:t>
      </w:r>
    </w:p>
    <w:p>
      <w:pPr>
        <w:rPr>
          <w:noProof/>
        </w:rPr>
      </w:pPr>
      <w:r>
        <w:rPr>
          <w:noProof/>
        </w:rPr>
        <w:t>Toto rozhodnutí vstupuje v platnost dnem přijetí.</w:t>
      </w:r>
    </w:p>
    <w:p>
      <w:pPr>
        <w:keepNext/>
        <w:keepLines/>
        <w:rPr>
          <w:noProof/>
        </w:rPr>
      </w:pP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86AE0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118AF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D122C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83E5F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3820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1FC0F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CBE76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DD6D2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1-03-29 19:12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7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45004992-C82F-4061-938E-E3C92539D941"/>
    <w:docVar w:name="LW_COVERPAGE_TYPE" w:val="1"/>
    <w:docVar w:name="LW_CROSSREFERENCE" w:val="&lt;UNUSED&gt;"/>
    <w:docVar w:name="LW_DocType" w:val="COM"/>
    <w:docVar w:name="LW_EMISSION" w:val="8.4.2021"/>
    <w:docVar w:name="LW_EMISSION_ISODATE" w:val="2021-04-08"/>
    <w:docVar w:name="LW_EMISSION_LOCATION" w:val="BRX"/>
    <w:docVar w:name="LW_EMISSION_PREFIX" w:val="V Bruselu dne 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79"/>
    <w:docVar w:name="LW_REF.II.NEW.CP_YEAR" w:val="2021"/>
    <w:docVar w:name="LW_REF.INST.NEW" w:val="COM"/>
    <w:docVar w:name="LW_REF.INST.NEW_ADOPTED" w:val="final"/>
    <w:docVar w:name="LW_REF.INST.NEW_TEXT" w:val="(2021) 1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uzav\u345?ení Evropsko-st\u345?edomo\u345?ské letecké dohody mezi Evropskou unií a jejími \u269?lenskými státy na jedné stran\u283? a Tuniskou republikou na stran\u283? druhé jménem Evropské unie"/>
    <w:docVar w:name="LW_TYPE.DOC.CP" w:val="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1044</Words>
  <Characters>6290</Characters>
  <Application>Microsoft Office Word</Application>
  <DocSecurity>0</DocSecurity>
  <Lines>136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19</cp:revision>
  <cp:lastPrinted>2019-06-17T13:29:00Z</cp:lastPrinted>
  <dcterms:created xsi:type="dcterms:W3CDTF">2021-03-26T08:57:00Z</dcterms:created>
  <dcterms:modified xsi:type="dcterms:W3CDTF">2021-03-29T17:12:00Z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