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3B1BBDB6-C7B7-4B54-9345-81A3116ACE85" style="width:450.85pt;height:366.1pt">
            <v:imagedata r:id="rId8" o:title=""/>
          </v:shape>
        </w:pict>
      </w:r>
    </w:p>
    <w:p>
      <w:pPr>
        <w:rPr>
          <w:noProof/>
        </w:rPr>
        <w:sectPr>
          <w:footerReference w:type="default" r:id="rId9"/>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BEGRUNDELSE</w:t>
      </w:r>
    </w:p>
    <w:p>
      <w:pPr>
        <w:pStyle w:val="ManualHeading1"/>
        <w:rPr>
          <w:noProof/>
        </w:rPr>
      </w:pPr>
      <w:r>
        <w:rPr>
          <w:noProof/>
        </w:rPr>
        <w:t>1.</w:t>
      </w:r>
      <w:r>
        <w:rPr>
          <w:noProof/>
        </w:rPr>
        <w:tab/>
        <w:t>BAGGRUND FOR FORSLAGET</w:t>
      </w:r>
    </w:p>
    <w:p>
      <w:pPr>
        <w:pStyle w:val="ManualHeading2"/>
        <w:rPr>
          <w:rFonts w:eastAsia="Arial Unicode MS"/>
          <w:noProof/>
        </w:rPr>
      </w:pPr>
      <w:r>
        <w:rPr>
          <w:noProof/>
          <w:color w:val="000000"/>
          <w:u w:color="000000"/>
          <w:bdr w:val="nil"/>
        </w:rPr>
        <w:t>•</w:t>
      </w:r>
      <w:r>
        <w:rPr>
          <w:noProof/>
        </w:rPr>
        <w:tab/>
        <w:t>Forslagets begrundelse og formål</w:t>
      </w:r>
    </w:p>
    <w:p>
      <w:pPr>
        <w:spacing w:before="100" w:beforeAutospacing="1" w:after="100" w:afterAutospacing="1"/>
        <w:rPr>
          <w:noProof/>
        </w:rPr>
      </w:pPr>
      <w:r>
        <w:rPr>
          <w:noProof/>
        </w:rPr>
        <w:t xml:space="preserve">Euro-Middelhavs-aftalen om luftfart mellem Den Europæiske Union og dens medlemsstater og Republikken Tunesien er forhandlet af Kommissionen efter bemyndigelsen fra Rådet af 9. december 2008. </w:t>
      </w:r>
    </w:p>
    <w:p>
      <w:pPr>
        <w:spacing w:before="100" w:beforeAutospacing="1" w:after="100" w:afterAutospacing="1"/>
        <w:rPr>
          <w:noProof/>
        </w:rPr>
      </w:pPr>
      <w:r>
        <w:rPr>
          <w:noProof/>
        </w:rPr>
        <w:t>Lufttrafikken mellem Unionen og Tunesien opereres i øjeblikket på grundlag af bilaterale aftaler mellem de enkelte medlemsstater og Tunesien.</w:t>
      </w:r>
    </w:p>
    <w:p>
      <w:pPr>
        <w:spacing w:before="100" w:beforeAutospacing="1" w:after="100" w:afterAutospacing="1"/>
        <w:rPr>
          <w:noProof/>
        </w:rPr>
      </w:pPr>
      <w:r>
        <w:rPr>
          <w:noProof/>
        </w:rPr>
        <w:t>Det indgår som led i Unionens eksterne luftfartspolitik at føre forhandlinger om omfattende lufttrafikaftaler med nabolande i de tilfælde, hvor det er konstateret, at sådanne aftaler er forbundet med merværdi og økonomiske fordele. Aftalen tager bl.a. sigte på:</w:t>
      </w:r>
    </w:p>
    <w:p>
      <w:pPr>
        <w:autoSpaceDE w:val="0"/>
        <w:autoSpaceDN w:val="0"/>
        <w:adjustRightInd w:val="0"/>
        <w:spacing w:before="100" w:beforeAutospacing="1" w:after="100" w:afterAutospacing="1"/>
        <w:rPr>
          <w:noProof/>
        </w:rPr>
      </w:pPr>
      <w:r>
        <w:rPr>
          <w:noProof/>
        </w:rPr>
        <w:t>– at opnå en gradvis markedsåbning i form af adgang til ruter og kapacitet på et gensidigt grundlag</w:t>
      </w:r>
    </w:p>
    <w:p>
      <w:pPr>
        <w:autoSpaceDE w:val="0"/>
        <w:autoSpaceDN w:val="0"/>
        <w:adjustRightInd w:val="0"/>
        <w:spacing w:before="100" w:beforeAutospacing="1" w:after="100" w:afterAutospacing="1"/>
        <w:rPr>
          <w:noProof/>
        </w:rPr>
      </w:pPr>
      <w:r>
        <w:rPr>
          <w:noProof/>
        </w:rPr>
        <w:t>– at sikre forskriftsmæssig konvergens og Tunesiens effektive overholdelse af Unionens luftfartrelaterede lovgivning og</w:t>
      </w:r>
    </w:p>
    <w:p>
      <w:pPr>
        <w:spacing w:before="100" w:beforeAutospacing="1" w:after="100" w:afterAutospacing="1"/>
        <w:rPr>
          <w:noProof/>
        </w:rPr>
      </w:pPr>
      <w:r>
        <w:rPr>
          <w:noProof/>
        </w:rPr>
        <w:t>– at tilvejebringe ikke-forskelsbehandling og lige vilkår for de økonomiske operatører.</w:t>
      </w:r>
    </w:p>
    <w:p>
      <w:pPr>
        <w:pStyle w:val="ManualHeading2"/>
        <w:rPr>
          <w:rFonts w:eastAsia="Arial Unicode MS"/>
          <w:noProof/>
          <w:highlight w:val="yellow"/>
        </w:rPr>
      </w:pPr>
      <w:r>
        <w:rPr>
          <w:noProof/>
          <w:color w:val="000000"/>
          <w:u w:color="000000"/>
          <w:bdr w:val="nil"/>
        </w:rPr>
        <w:t>•</w:t>
      </w:r>
      <w:r>
        <w:rPr>
          <w:noProof/>
        </w:rPr>
        <w:tab/>
      </w:r>
      <w:r>
        <w:rPr>
          <w:noProof/>
          <w:color w:val="000000"/>
          <w:u w:color="000000"/>
          <w:bdr w:val="nil"/>
        </w:rPr>
        <w:t>Generel baggrund</w:t>
      </w:r>
    </w:p>
    <w:p>
      <w:pPr>
        <w:pStyle w:val="Text1"/>
        <w:spacing w:before="100" w:beforeAutospacing="1" w:after="100" w:afterAutospacing="1"/>
        <w:ind w:left="0"/>
        <w:rPr>
          <w:noProof/>
        </w:rPr>
      </w:pPr>
      <w:r>
        <w:rPr>
          <w:noProof/>
        </w:rPr>
        <w:t>I forhandlingsdirektiverne fastlægges det generelle formål med forhandlingerne om en omfattende lufttransportaftale med sigte på gradvis og gensidigt at åbne markedsadgang og sikre forskriftsmæssig konvergens og effektiv gennemførelse af Unionens krav og normer.</w:t>
      </w:r>
    </w:p>
    <w:p>
      <w:pPr>
        <w:pStyle w:val="Text1"/>
        <w:spacing w:before="100" w:beforeAutospacing="1" w:after="100" w:afterAutospacing="1"/>
        <w:ind w:left="0"/>
        <w:rPr>
          <w:noProof/>
        </w:rPr>
      </w:pPr>
      <w:r>
        <w:rPr>
          <w:noProof/>
        </w:rPr>
        <w:t>I overensstemmelse med forhandlingsdirektiverne paraferede de to parter et udkast til aftale med Tunesien den 11. december 2017.</w:t>
      </w:r>
    </w:p>
    <w:p>
      <w:pPr>
        <w:pStyle w:val="ManualHeading2"/>
        <w:rPr>
          <w:rFonts w:eastAsia="Arial Unicode MS"/>
          <w:noProof/>
          <w:color w:val="000000"/>
          <w:u w:color="000000"/>
          <w:bdr w:val="nil"/>
        </w:rPr>
      </w:pPr>
      <w:r>
        <w:rPr>
          <w:noProof/>
          <w:color w:val="000000"/>
          <w:u w:color="000000"/>
          <w:bdr w:val="nil"/>
        </w:rPr>
        <w:t>•</w:t>
      </w:r>
      <w:r>
        <w:rPr>
          <w:noProof/>
        </w:rPr>
        <w:tab/>
        <w:t>Sammenhæng med de gældende regler på samme område</w:t>
      </w:r>
    </w:p>
    <w:p>
      <w:pPr>
        <w:spacing w:before="100" w:beforeAutospacing="1" w:after="100" w:afterAutospacing="1"/>
        <w:rPr>
          <w:noProof/>
        </w:rPr>
      </w:pPr>
      <w:r>
        <w:rPr>
          <w:noProof/>
        </w:rPr>
        <w:t>Indgåelsen af en Euro-Middelhavs-aftale om luftfart med Tunesien er et vigtigt element i udviklingen af EU's eksterne luftfartspolitik og en afgørende del af Unionens naboskabspolitik og etableringen af et større fælles europæisk luftfartsområde således som beskrevet i Kommissionens meddelelse COM(2012) 556 final "EU's luftfartspolitik over for tredjelande – indsats i forbindelse med fremtidige udfordringer".</w:t>
      </w:r>
    </w:p>
    <w:p>
      <w:pPr>
        <w:pStyle w:val="ManualHeading2"/>
        <w:rPr>
          <w:rFonts w:eastAsia="Arial Unicode MS"/>
          <w:noProof/>
          <w:color w:val="000000"/>
          <w:u w:color="000000"/>
          <w:bdr w:val="nil"/>
        </w:rPr>
      </w:pPr>
      <w:r>
        <w:rPr>
          <w:noProof/>
          <w:color w:val="000000"/>
          <w:u w:color="000000"/>
          <w:bdr w:val="nil"/>
        </w:rPr>
        <w:t>•</w:t>
      </w:r>
      <w:r>
        <w:rPr>
          <w:noProof/>
        </w:rPr>
        <w:tab/>
        <w:t xml:space="preserve">Sammenhæng med de </w:t>
      </w:r>
      <w:r>
        <w:rPr>
          <w:noProof/>
          <w:color w:val="000000"/>
          <w:u w:color="000000"/>
          <w:bdr w:val="nil"/>
        </w:rPr>
        <w:t xml:space="preserve">gældende bestemmelser på det område, som forslaget vedrører </w:t>
      </w:r>
    </w:p>
    <w:p>
      <w:pPr>
        <w:spacing w:before="100" w:beforeAutospacing="1" w:after="100" w:afterAutospacing="1"/>
        <w:rPr>
          <w:noProof/>
        </w:rPr>
      </w:pPr>
      <w:r>
        <w:rPr>
          <w:noProof/>
        </w:rPr>
        <w:t>Aftalens bestemmelser har forrang frem for de relevante bestemmelser i de nuværende bilaterale lufttrafikaftaler mellem medlemsstaterne og Republikken Tunesien. Bestående trafikrettigheder, der stammer fra sådanne bilaterale aftaler og ikke er omfattet af denne aftale, kan dog fortsat udøves, forudsat at det sker uden forskelsbehandling mellem medlemsstaterne eller disses statsborgere.</w:t>
      </w:r>
    </w:p>
    <w:p>
      <w:pPr>
        <w:spacing w:before="100" w:beforeAutospacing="1" w:after="100" w:afterAutospacing="1"/>
        <w:rPr>
          <w:noProof/>
        </w:rPr>
      </w:pPr>
    </w:p>
    <w:p>
      <w:pPr>
        <w:pStyle w:val="ManualHeading1"/>
        <w:rPr>
          <w:noProof/>
        </w:rPr>
      </w:pPr>
      <w:r>
        <w:rPr>
          <w:noProof/>
        </w:rPr>
        <w:t>2.</w:t>
      </w:r>
      <w:r>
        <w:rPr>
          <w:noProof/>
        </w:rPr>
        <w:tab/>
        <w:t>RETSGRUNDLAG, NÆRHEDSPRINCIPPET OG PROPORTIONALITETSPRINCIPPET</w:t>
      </w:r>
    </w:p>
    <w:p>
      <w:pPr>
        <w:pStyle w:val="ManualHeading2"/>
        <w:rPr>
          <w:rFonts w:eastAsia="Arial Unicode MS"/>
          <w:noProof/>
          <w:u w:color="000000"/>
          <w:bdr w:val="nil"/>
        </w:rPr>
      </w:pPr>
      <w:r>
        <w:rPr>
          <w:noProof/>
          <w:u w:color="000000"/>
          <w:bdr w:val="nil"/>
        </w:rPr>
        <w:t>•</w:t>
      </w:r>
      <w:r>
        <w:rPr>
          <w:noProof/>
        </w:rPr>
        <w:tab/>
      </w:r>
      <w:r>
        <w:rPr>
          <w:noProof/>
          <w:u w:color="000000"/>
          <w:bdr w:val="nil"/>
        </w:rPr>
        <w:t>Retsgrundlag</w:t>
      </w:r>
    </w:p>
    <w:p>
      <w:pPr>
        <w:pBdr>
          <w:top w:val="nil"/>
          <w:left w:val="nil"/>
          <w:bottom w:val="nil"/>
          <w:right w:val="nil"/>
          <w:between w:val="nil"/>
          <w:bar w:val="nil"/>
        </w:pBdr>
        <w:spacing w:before="100" w:beforeAutospacing="1" w:after="100" w:afterAutospacing="1"/>
        <w:rPr>
          <w:noProof/>
        </w:rPr>
      </w:pPr>
      <w:r>
        <w:rPr>
          <w:noProof/>
        </w:rPr>
        <w:t>Artikel 100, stk. 2, og artikel 218, stk. 6, litra a), i traktaten om Den Europæiske Unions funktionsmåde.</w:t>
      </w:r>
    </w:p>
    <w:p>
      <w:pPr>
        <w:pStyle w:val="ManualHeading2"/>
        <w:rPr>
          <w:rFonts w:eastAsia="Arial Unicode MS"/>
          <w:noProof/>
          <w:u w:color="000000"/>
          <w:bdr w:val="nil"/>
        </w:rPr>
      </w:pPr>
      <w:r>
        <w:rPr>
          <w:noProof/>
          <w:u w:color="000000"/>
          <w:bdr w:val="nil"/>
        </w:rPr>
        <w:t>•</w:t>
      </w:r>
      <w:r>
        <w:rPr>
          <w:noProof/>
        </w:rPr>
        <w:tab/>
      </w:r>
      <w:r>
        <w:rPr>
          <w:noProof/>
          <w:u w:color="000000"/>
          <w:bdr w:val="nil"/>
        </w:rPr>
        <w:t xml:space="preserve">Nærhedsprincippet (for områder, der ikke er omfattet af enekompetence) </w:t>
      </w:r>
    </w:p>
    <w:p>
      <w:pPr>
        <w:pStyle w:val="Text1"/>
        <w:spacing w:before="100" w:beforeAutospacing="1" w:after="100" w:afterAutospacing="1"/>
        <w:ind w:left="0"/>
        <w:rPr>
          <w:noProof/>
        </w:rPr>
      </w:pPr>
      <w:r>
        <w:rPr>
          <w:noProof/>
        </w:rPr>
        <w:t>Bestemmelserne i aftalen har forrang frem for de relevante bestemmelser i de nuværende ordninger, som de enkelte medlemsstater har etableret. Med aftalen indføres på samme tid lige og ensartede vilkår for markedsadgang for alle Unionens luftfartsselskaber, og der etableres nye ordninger for et reguleringssamarbejde og konvergens mellem Den Europæiske Union og Tunesien på områder af væsentlig betydning for en sikker, sikkerhedsbeskyttet og effektiv drift af lufttrafikken. Disse ordninger kan kun realiseres på EU-niveau, da de omfatter en række områder, hvor Unionen har enekompetence.</w:t>
      </w:r>
    </w:p>
    <w:p>
      <w:pPr>
        <w:pStyle w:val="Text1"/>
        <w:spacing w:before="100" w:beforeAutospacing="1" w:after="100" w:afterAutospacing="1"/>
        <w:ind w:left="0"/>
        <w:rPr>
          <w:noProof/>
        </w:rPr>
      </w:pPr>
      <w:r>
        <w:rPr>
          <w:noProof/>
        </w:rPr>
        <w:t>Målene med forslaget kan bedre nås ved en indsats på EU-plan af følgende grunde.</w:t>
      </w:r>
    </w:p>
    <w:p>
      <w:pPr>
        <w:pStyle w:val="Text1"/>
        <w:spacing w:before="100" w:beforeAutospacing="1" w:after="100" w:afterAutospacing="1"/>
        <w:ind w:left="0"/>
        <w:rPr>
          <w:noProof/>
        </w:rPr>
      </w:pPr>
      <w:r>
        <w:rPr>
          <w:noProof/>
        </w:rPr>
        <w:t>Aftalen giver mulighed for at anvendes dens bestemmelser på alle 27 medlemsstater samtidigt, således at de samme regler anvendes uden forskelsbehandling og til fordel for alle Unionens luftfartsselskaber uanset deres nationale tilhørsforhold. Luftfartsselskaberne kan fremover operere frit fra enhver destination i Den Europæiske Union til enhver destination i Tunesien, hvilket ikke er tilfældet på nuværende tidspunkt.</w:t>
      </w:r>
    </w:p>
    <w:p>
      <w:pPr>
        <w:pStyle w:val="Text1"/>
        <w:spacing w:before="100" w:beforeAutospacing="1" w:after="100" w:afterAutospacing="1"/>
        <w:ind w:left="0"/>
        <w:rPr>
          <w:noProof/>
        </w:rPr>
      </w:pPr>
      <w:r>
        <w:rPr>
          <w:noProof/>
        </w:rPr>
        <w:t>Når begrænsninger for markedsadgang gradvis fjernes mellem EU og Tunesien, vil det ikke kun tiltrække nye aktører til markedet og skabe muligheder for at betjene lufthavne med uudnyttet kapacitet, men også lette konsolideringen blandt EU-luftfartsselskaber.</w:t>
      </w:r>
    </w:p>
    <w:p>
      <w:pPr>
        <w:pStyle w:val="Text1"/>
        <w:spacing w:before="100" w:beforeAutospacing="1" w:after="100" w:afterAutospacing="1"/>
        <w:ind w:left="0"/>
        <w:rPr>
          <w:noProof/>
        </w:rPr>
      </w:pPr>
      <w:r>
        <w:rPr>
          <w:noProof/>
        </w:rPr>
        <w:t>Aftalen sikrer alle EU-luftfartsselskaber adgang til kommercielle muligheder, f.eks. i relation til groundhandling, code sharing, intermodalitet og muligheden for frit at fastsætte priser.</w:t>
      </w:r>
    </w:p>
    <w:p>
      <w:pPr>
        <w:pStyle w:val="ManualHeading2"/>
        <w:rPr>
          <w:rFonts w:eastAsia="Arial Unicode MS"/>
          <w:noProof/>
          <w:u w:color="000000"/>
          <w:bdr w:val="nil"/>
        </w:rPr>
      </w:pPr>
      <w:r>
        <w:rPr>
          <w:noProof/>
          <w:u w:color="000000"/>
          <w:bdr w:val="nil"/>
        </w:rPr>
        <w:t>•</w:t>
      </w:r>
      <w:r>
        <w:rPr>
          <w:noProof/>
        </w:rPr>
        <w:tab/>
      </w:r>
      <w:r>
        <w:rPr>
          <w:noProof/>
          <w:u w:color="000000"/>
          <w:bdr w:val="nil"/>
        </w:rPr>
        <w:t>Proportionalitetsprincippet</w:t>
      </w:r>
    </w:p>
    <w:p>
      <w:pPr>
        <w:pBdr>
          <w:top w:val="nil"/>
          <w:left w:val="nil"/>
          <w:bottom w:val="nil"/>
          <w:right w:val="nil"/>
          <w:between w:val="nil"/>
          <w:bar w:val="nil"/>
        </w:pBdr>
        <w:spacing w:before="100" w:beforeAutospacing="1" w:after="100" w:afterAutospacing="1"/>
        <w:rPr>
          <w:noProof/>
        </w:rPr>
      </w:pPr>
      <w:r>
        <w:rPr>
          <w:noProof/>
        </w:rPr>
        <w:t>Der nedsættes et fælles udvalg til at drøfte spørgsmål i forbindelse med gennemførelsen af aftalen. Det Fælles Udvalg skal fremme drøftelser på ekspertniveau af nye lovgivnings- og reguleringstiltag eller -forberedelser og overvejelse af potentielle områder, hvor aftalen kan udbygges. Det Fælles Udvalg vil være sammensat af repræsentanter for Kommissionen og medlemsstaterne.</w:t>
      </w:r>
    </w:p>
    <w:p>
      <w:pPr>
        <w:pBdr>
          <w:top w:val="nil"/>
          <w:left w:val="nil"/>
          <w:bottom w:val="nil"/>
          <w:right w:val="nil"/>
          <w:between w:val="nil"/>
          <w:bar w:val="nil"/>
        </w:pBdr>
        <w:spacing w:before="100" w:beforeAutospacing="1" w:after="100" w:afterAutospacing="1"/>
        <w:rPr>
          <w:noProof/>
        </w:rPr>
      </w:pPr>
      <w:r>
        <w:rPr>
          <w:noProof/>
        </w:rPr>
        <w:t>Endvidere vil medlemsstaterne fortsat varetage de administrative opgaver, de traditionelt udøver i forbindelse med international lufttransport, men efter fælles regler, der anvendes ensartet.</w:t>
      </w:r>
    </w:p>
    <w:p>
      <w:pPr>
        <w:pStyle w:val="ManualHeading2"/>
        <w:rPr>
          <w:rFonts w:eastAsia="Arial Unicode MS"/>
          <w:noProof/>
          <w:u w:color="000000"/>
          <w:bdr w:val="nil"/>
        </w:rPr>
      </w:pPr>
      <w:r>
        <w:rPr>
          <w:noProof/>
          <w:u w:color="000000"/>
          <w:bdr w:val="nil"/>
        </w:rPr>
        <w:t>•</w:t>
      </w:r>
      <w:r>
        <w:rPr>
          <w:noProof/>
        </w:rPr>
        <w:tab/>
      </w:r>
      <w:r>
        <w:rPr>
          <w:noProof/>
          <w:u w:color="000000"/>
          <w:bdr w:val="nil"/>
        </w:rPr>
        <w:t>Valg af retsakt</w:t>
      </w:r>
    </w:p>
    <w:p>
      <w:pPr>
        <w:pBdr>
          <w:top w:val="nil"/>
          <w:left w:val="nil"/>
          <w:bottom w:val="nil"/>
          <w:right w:val="nil"/>
          <w:between w:val="nil"/>
          <w:bar w:val="nil"/>
        </w:pBdr>
        <w:spacing w:before="100" w:beforeAutospacing="1" w:after="100" w:afterAutospacing="1"/>
        <w:rPr>
          <w:noProof/>
        </w:rPr>
      </w:pPr>
      <w:r>
        <w:rPr>
          <w:noProof/>
        </w:rPr>
        <w:t>Luftfartsforbindelser med tredjelande kan kun effektueres ved hjælp af internationale aftaler.</w:t>
      </w:r>
    </w:p>
    <w:p>
      <w:pPr>
        <w:pStyle w:val="ManualHeading1"/>
        <w:rPr>
          <w:noProof/>
        </w:rPr>
      </w:pPr>
      <w:r>
        <w:rPr>
          <w:noProof/>
        </w:rPr>
        <w:lastRenderedPageBreak/>
        <w:t>3.</w:t>
      </w:r>
      <w:r>
        <w:rPr>
          <w:noProof/>
        </w:rPr>
        <w:tab/>
        <w:t>RESULTATER AF EFTERFØLGENDE EVALUERINGER, HØRINGER AF INTERESSEREDE PARTER OG KONSEKVENSANALYSER</w:t>
      </w:r>
    </w:p>
    <w:p>
      <w:pPr>
        <w:pStyle w:val="ManualHeading2"/>
        <w:rPr>
          <w:rFonts w:eastAsia="Arial Unicode MS"/>
          <w:noProof/>
          <w:u w:color="000000"/>
          <w:bdr w:val="nil"/>
        </w:rPr>
      </w:pPr>
      <w:r>
        <w:rPr>
          <w:noProof/>
          <w:u w:color="000000"/>
          <w:bdr w:val="nil"/>
        </w:rPr>
        <w:t>•</w:t>
      </w:r>
      <w:r>
        <w:rPr>
          <w:noProof/>
        </w:rPr>
        <w:tab/>
      </w:r>
      <w:r>
        <w:rPr>
          <w:noProof/>
          <w:u w:color="000000"/>
          <w:bdr w:val="nil"/>
        </w:rPr>
        <w:t>Efterfølgende evalueringer/kvalitetskontrol af gældende lovgivning</w:t>
      </w:r>
    </w:p>
    <w:p>
      <w:pPr>
        <w:pBdr>
          <w:top w:val="nil"/>
          <w:left w:val="nil"/>
          <w:bottom w:val="nil"/>
          <w:right w:val="nil"/>
          <w:between w:val="nil"/>
          <w:bar w:val="nil"/>
        </w:pBdr>
        <w:spacing w:before="100" w:beforeAutospacing="1" w:after="100" w:afterAutospacing="1"/>
        <w:rPr>
          <w:noProof/>
        </w:rPr>
      </w:pPr>
      <w:r>
        <w:rPr>
          <w:noProof/>
        </w:rPr>
        <w:t>Ikke relevant</w:t>
      </w:r>
    </w:p>
    <w:p>
      <w:pPr>
        <w:pStyle w:val="ManualHeading2"/>
        <w:rPr>
          <w:rFonts w:eastAsia="Arial Unicode MS"/>
          <w:noProof/>
          <w:u w:color="000000"/>
          <w:bdr w:val="nil"/>
        </w:rPr>
      </w:pPr>
      <w:r>
        <w:rPr>
          <w:noProof/>
          <w:u w:color="000000"/>
          <w:bdr w:val="nil"/>
        </w:rPr>
        <w:t>•</w:t>
      </w:r>
      <w:r>
        <w:rPr>
          <w:noProof/>
        </w:rPr>
        <w:tab/>
      </w:r>
      <w:r>
        <w:rPr>
          <w:noProof/>
          <w:u w:color="000000"/>
          <w:bdr w:val="nil"/>
        </w:rPr>
        <w:t>Høringer af interesserede parter</w:t>
      </w:r>
    </w:p>
    <w:p>
      <w:pPr>
        <w:pBdr>
          <w:top w:val="nil"/>
          <w:left w:val="nil"/>
          <w:bottom w:val="nil"/>
          <w:right w:val="nil"/>
          <w:between w:val="nil"/>
          <w:bar w:val="nil"/>
        </w:pBdr>
        <w:spacing w:before="100" w:beforeAutospacing="1" w:after="100" w:afterAutospacing="1"/>
        <w:rPr>
          <w:noProof/>
        </w:rPr>
      </w:pPr>
      <w:r>
        <w:rPr>
          <w:noProof/>
        </w:rPr>
        <w:t xml:space="preserve">I overensstemmelse med artikel 218, stk. 4, i TEUF har Kommissionen ført forhandlingerne i samråd med et særligt udvalg (det rådgivende forum). Branchen er ligeledes blevet hørt under forhandlingerne. </w:t>
      </w:r>
    </w:p>
    <w:p>
      <w:pPr>
        <w:pBdr>
          <w:top w:val="nil"/>
          <w:left w:val="nil"/>
          <w:bottom w:val="nil"/>
          <w:right w:val="nil"/>
          <w:between w:val="nil"/>
          <w:bar w:val="nil"/>
        </w:pBdr>
        <w:spacing w:before="100" w:beforeAutospacing="1" w:after="100" w:afterAutospacing="1"/>
        <w:rPr>
          <w:noProof/>
        </w:rPr>
      </w:pPr>
      <w:r>
        <w:rPr>
          <w:noProof/>
        </w:rPr>
        <w:t>De bemærkninger, som er afgivet i denne proces, er taget i betragtning. De berørte medlemsstater har kontrolleret, at henvisningerne til de bilaterale lufttrafikaftaler er korrekte. Branchen understregede betydningen af et solidt retsgrundlag for deres kommercielle aktiviteter.</w:t>
      </w:r>
    </w:p>
    <w:p>
      <w:pPr>
        <w:pStyle w:val="ManualHeading2"/>
        <w:rPr>
          <w:rFonts w:eastAsia="Arial Unicode MS"/>
          <w:noProof/>
          <w:u w:color="000000"/>
          <w:bdr w:val="nil"/>
        </w:rPr>
      </w:pPr>
      <w:r>
        <w:rPr>
          <w:noProof/>
          <w:u w:color="000000"/>
          <w:bdr w:val="nil"/>
        </w:rPr>
        <w:t>•</w:t>
      </w:r>
      <w:r>
        <w:rPr>
          <w:noProof/>
        </w:rPr>
        <w:tab/>
      </w:r>
      <w:r>
        <w:rPr>
          <w:noProof/>
          <w:u w:color="000000"/>
          <w:bdr w:val="nil"/>
        </w:rPr>
        <w:t>Indhentning og brug af ekspertbistand</w:t>
      </w:r>
    </w:p>
    <w:p>
      <w:pPr>
        <w:pBdr>
          <w:top w:val="nil"/>
          <w:left w:val="nil"/>
          <w:bottom w:val="nil"/>
          <w:right w:val="nil"/>
          <w:between w:val="nil"/>
          <w:bar w:val="nil"/>
        </w:pBdr>
        <w:spacing w:before="100" w:beforeAutospacing="1" w:after="100" w:afterAutospacing="1"/>
        <w:rPr>
          <w:noProof/>
        </w:rPr>
      </w:pPr>
      <w:r>
        <w:rPr>
          <w:noProof/>
        </w:rPr>
        <w:t>Ikke relevant.</w:t>
      </w:r>
    </w:p>
    <w:p>
      <w:pPr>
        <w:pStyle w:val="ManualHeading2"/>
        <w:rPr>
          <w:rFonts w:eastAsia="Arial Unicode MS"/>
          <w:noProof/>
          <w:u w:color="000000"/>
          <w:bdr w:val="nil"/>
        </w:rPr>
      </w:pPr>
      <w:r>
        <w:rPr>
          <w:noProof/>
          <w:u w:color="000000"/>
          <w:bdr w:val="nil"/>
        </w:rPr>
        <w:t>•</w:t>
      </w:r>
      <w:r>
        <w:rPr>
          <w:noProof/>
        </w:rPr>
        <w:tab/>
      </w:r>
      <w:r>
        <w:rPr>
          <w:noProof/>
          <w:u w:color="000000"/>
          <w:bdr w:val="nil"/>
        </w:rPr>
        <w:t>Konsekvensanalyse</w:t>
      </w:r>
    </w:p>
    <w:p>
      <w:pPr>
        <w:pBdr>
          <w:top w:val="nil"/>
          <w:left w:val="nil"/>
          <w:bottom w:val="nil"/>
          <w:right w:val="nil"/>
          <w:between w:val="nil"/>
          <w:bar w:val="nil"/>
        </w:pBdr>
        <w:spacing w:before="100" w:beforeAutospacing="1" w:after="100" w:afterAutospacing="1"/>
        <w:rPr>
          <w:noProof/>
        </w:rPr>
      </w:pPr>
      <w:r>
        <w:rPr>
          <w:noProof/>
        </w:rPr>
        <w:t>Ikke relevant.</w:t>
      </w:r>
    </w:p>
    <w:p>
      <w:pPr>
        <w:pStyle w:val="ManualHeading2"/>
        <w:rPr>
          <w:rFonts w:eastAsia="Arial Unicode MS"/>
          <w:noProof/>
          <w:u w:color="000000"/>
          <w:bdr w:val="nil"/>
        </w:rPr>
      </w:pPr>
      <w:r>
        <w:rPr>
          <w:noProof/>
          <w:u w:color="000000"/>
          <w:bdr w:val="nil"/>
        </w:rPr>
        <w:t>•</w:t>
      </w:r>
      <w:r>
        <w:rPr>
          <w:noProof/>
        </w:rPr>
        <w:tab/>
      </w:r>
      <w:r>
        <w:rPr>
          <w:noProof/>
          <w:u w:color="000000"/>
          <w:bdr w:val="nil"/>
        </w:rPr>
        <w:t>Målrettet regulering og forenkling</w:t>
      </w:r>
    </w:p>
    <w:p>
      <w:pPr>
        <w:pBdr>
          <w:top w:val="nil"/>
          <w:left w:val="nil"/>
          <w:bottom w:val="nil"/>
          <w:right w:val="nil"/>
          <w:between w:val="nil"/>
          <w:bar w:val="nil"/>
        </w:pBdr>
        <w:spacing w:before="100" w:beforeAutospacing="1" w:after="100" w:afterAutospacing="1"/>
        <w:rPr>
          <w:noProof/>
        </w:rPr>
      </w:pPr>
      <w:r>
        <w:rPr>
          <w:noProof/>
        </w:rPr>
        <w:t>Ikke relevant.</w:t>
      </w:r>
    </w:p>
    <w:p>
      <w:pPr>
        <w:pStyle w:val="ManualHeading2"/>
        <w:rPr>
          <w:rFonts w:eastAsia="Arial Unicode MS"/>
          <w:noProof/>
          <w:u w:color="000000"/>
          <w:bdr w:val="nil"/>
        </w:rPr>
      </w:pPr>
      <w:r>
        <w:rPr>
          <w:noProof/>
          <w:u w:color="000000"/>
          <w:bdr w:val="nil"/>
        </w:rPr>
        <w:t>•</w:t>
      </w:r>
      <w:r>
        <w:rPr>
          <w:noProof/>
        </w:rPr>
        <w:tab/>
      </w:r>
      <w:r>
        <w:rPr>
          <w:noProof/>
          <w:u w:color="000000"/>
          <w:bdr w:val="nil"/>
        </w:rPr>
        <w:t>Grundlæggende rettigheder</w:t>
      </w:r>
    </w:p>
    <w:p>
      <w:pPr>
        <w:pBdr>
          <w:top w:val="nil"/>
          <w:left w:val="nil"/>
          <w:bottom w:val="nil"/>
          <w:right w:val="nil"/>
          <w:between w:val="nil"/>
          <w:bar w:val="nil"/>
        </w:pBdr>
        <w:spacing w:before="100" w:beforeAutospacing="1" w:after="100" w:afterAutospacing="1"/>
        <w:rPr>
          <w:noProof/>
        </w:rPr>
      </w:pPr>
      <w:r>
        <w:rPr>
          <w:noProof/>
        </w:rPr>
        <w:t>Ikke relevant.</w:t>
      </w:r>
    </w:p>
    <w:p>
      <w:pPr>
        <w:pStyle w:val="ManualHeading1"/>
        <w:rPr>
          <w:noProof/>
        </w:rPr>
      </w:pPr>
      <w:r>
        <w:rPr>
          <w:noProof/>
        </w:rPr>
        <w:t>4.</w:t>
      </w:r>
      <w:r>
        <w:rPr>
          <w:noProof/>
        </w:rPr>
        <w:tab/>
        <w:t>VIRKNINGER FOR BUDGETTET</w:t>
      </w:r>
    </w:p>
    <w:p>
      <w:pPr>
        <w:pBdr>
          <w:top w:val="nil"/>
          <w:left w:val="nil"/>
          <w:bottom w:val="nil"/>
          <w:right w:val="nil"/>
          <w:between w:val="nil"/>
          <w:bar w:val="nil"/>
        </w:pBdr>
        <w:spacing w:before="100" w:beforeAutospacing="1" w:after="100" w:afterAutospacing="1"/>
        <w:rPr>
          <w:noProof/>
        </w:rPr>
      </w:pPr>
      <w:r>
        <w:rPr>
          <w:noProof/>
        </w:rPr>
        <w:t>Forslaget har ingen konsekvenser for Unionens budget.</w:t>
      </w:r>
    </w:p>
    <w:p>
      <w:pPr>
        <w:pStyle w:val="ManualHeading1"/>
        <w:rPr>
          <w:noProof/>
        </w:rPr>
      </w:pPr>
      <w:r>
        <w:rPr>
          <w:noProof/>
        </w:rPr>
        <w:t>5.</w:t>
      </w:r>
      <w:r>
        <w:rPr>
          <w:noProof/>
        </w:rPr>
        <w:tab/>
        <w:t>ANDRE FORHOLD</w:t>
      </w:r>
    </w:p>
    <w:p>
      <w:pPr>
        <w:pStyle w:val="ManualHeading2"/>
        <w:rPr>
          <w:rFonts w:eastAsia="Arial Unicode MS"/>
          <w:noProof/>
          <w:u w:color="000000"/>
          <w:bdr w:val="nil"/>
          <w:lang w:eastAsia="en-GB"/>
        </w:rPr>
      </w:pPr>
    </w:p>
    <w:p>
      <w:pPr>
        <w:pStyle w:val="ManualHeading2"/>
        <w:rPr>
          <w:rFonts w:eastAsia="Arial Unicode MS"/>
          <w:noProof/>
          <w:u w:color="000000"/>
          <w:bdr w:val="nil"/>
        </w:rPr>
      </w:pPr>
      <w:r>
        <w:rPr>
          <w:noProof/>
          <w:u w:color="000000"/>
          <w:bdr w:val="nil"/>
        </w:rPr>
        <w:t>•</w:t>
      </w:r>
      <w:r>
        <w:rPr>
          <w:noProof/>
        </w:rPr>
        <w:tab/>
      </w:r>
      <w:r>
        <w:rPr>
          <w:noProof/>
          <w:color w:val="000000"/>
          <w:u w:color="000000"/>
          <w:bdr w:val="nil"/>
        </w:rPr>
        <w:t xml:space="preserve">Resumé af den foreslåede aftale  </w:t>
      </w:r>
      <w:r>
        <w:rPr>
          <w:noProof/>
        </w:rPr>
        <w:tab/>
      </w:r>
    </w:p>
    <w:p>
      <w:pPr>
        <w:spacing w:after="200" w:line="276" w:lineRule="auto"/>
        <w:rPr>
          <w:noProof/>
        </w:rPr>
      </w:pPr>
      <w:r>
        <w:rPr>
          <w:noProof/>
        </w:rPr>
        <w:t>Aftalen består af en hoveddel med de væsentligste principper og tre bilag: Bilag I om overgangsbestemmelser, bilag Ia om overgangsbestemmelser vedrørende Tunis–Carthage International Airport og bilag II om EU-regler for civil luftfart.</w:t>
      </w:r>
    </w:p>
    <w:p>
      <w:pPr>
        <w:pStyle w:val="ManualHeading2"/>
        <w:rPr>
          <w:rFonts w:eastAsia="Arial Unicode MS"/>
          <w:noProof/>
          <w:highlight w:val="yellow"/>
          <w:u w:color="000000"/>
          <w:bdr w:val="nil"/>
          <w:lang w:eastAsia="en-GB"/>
        </w:rPr>
      </w:pPr>
    </w:p>
    <w:p>
      <w:pPr>
        <w:rPr>
          <w:noProof/>
        </w:rPr>
        <w:sectPr>
          <w:footerReference w:type="default" r:id="rId10"/>
          <w:footerReference w:type="first" r:id="rId11"/>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2021/0079 (NLE)</w:t>
      </w:r>
    </w:p>
    <w:p>
      <w:pPr>
        <w:pStyle w:val="Statut"/>
        <w:rPr>
          <w:noProof/>
        </w:rPr>
      </w:pPr>
      <w:r>
        <w:rPr>
          <w:noProof/>
        </w:rPr>
        <w:t>Forslag til</w:t>
      </w:r>
    </w:p>
    <w:p>
      <w:pPr>
        <w:pStyle w:val="Typedudocument"/>
        <w:rPr>
          <w:noProof/>
        </w:rPr>
      </w:pPr>
      <w:r>
        <w:rPr>
          <w:noProof/>
        </w:rPr>
        <w:t>RÅDETS AFGØRELSE</w:t>
      </w:r>
    </w:p>
    <w:p>
      <w:pPr>
        <w:pStyle w:val="Titreobjet"/>
        <w:rPr>
          <w:noProof/>
        </w:rPr>
      </w:pPr>
      <w:r>
        <w:rPr>
          <w:noProof/>
        </w:rPr>
        <w:t>om indgåelse på Den Europæiske Unions vegne af Euro-Middelhavs-aftalen om trafikflyvning mellem Den Europæiske Union og dens medlemsstater på den ene side og Republikken Tunesien på den anden side</w:t>
      </w:r>
    </w:p>
    <w:p>
      <w:pPr>
        <w:pStyle w:val="Institutionquiagit"/>
        <w:outlineLvl w:val="0"/>
        <w:rPr>
          <w:noProof/>
        </w:rPr>
      </w:pPr>
      <w:r>
        <w:rPr>
          <w:noProof/>
        </w:rPr>
        <w:t>RÅDET FOR DEN EUROPÆISKE UNION HAR —</w:t>
      </w:r>
    </w:p>
    <w:p>
      <w:pPr>
        <w:rPr>
          <w:noProof/>
        </w:rPr>
      </w:pPr>
      <w:r>
        <w:rPr>
          <w:noProof/>
        </w:rPr>
        <w:t>under henvisning til traktaten om Den Europæiske Unions funktionsmåde, særlig artikel 100, stk. 2, sammenholdt med artikel 218, stk. 6, litra a),</w:t>
      </w:r>
    </w:p>
    <w:p>
      <w:pPr>
        <w:rPr>
          <w:noProof/>
        </w:rPr>
      </w:pPr>
      <w:r>
        <w:rPr>
          <w:noProof/>
        </w:rPr>
        <w:t>under henvisning til forslag fra Europa-Kommissionen,</w:t>
      </w:r>
    </w:p>
    <w:p>
      <w:pPr>
        <w:rPr>
          <w:noProof/>
        </w:rPr>
      </w:pPr>
      <w:r>
        <w:rPr>
          <w:noProof/>
        </w:rPr>
        <w:t>under henvisning til godkendelse fra Europa-Parlamentet, og</w:t>
      </w:r>
    </w:p>
    <w:p>
      <w:pPr>
        <w:rPr>
          <w:noProof/>
        </w:rPr>
      </w:pPr>
      <w:r>
        <w:rPr>
          <w:noProof/>
        </w:rPr>
        <w:t>ud fra følgende betragtninger:</w:t>
      </w:r>
    </w:p>
    <w:p>
      <w:pPr>
        <w:pStyle w:val="ManualConsidrant"/>
        <w:rPr>
          <w:noProof/>
        </w:rPr>
      </w:pPr>
      <w:r>
        <w:t>(1)</w:t>
      </w:r>
      <w:r>
        <w:tab/>
      </w:r>
      <w:r>
        <w:rPr>
          <w:noProof/>
        </w:rPr>
        <w:t xml:space="preserve">I overensstemmelse med Rådets afgørelse XXXX/XX blev Euro-Middelhavs-aftalen om trafikflyvning mellem Den Europæiske Union og dens medlemsstater på den ene side og Republikken Tunesien på den anden side undertegnet den XX med forbehold af dens senere indgåelse. </w:t>
      </w:r>
    </w:p>
    <w:p>
      <w:pPr>
        <w:pStyle w:val="ManualConsidrant"/>
        <w:rPr>
          <w:noProof/>
        </w:rPr>
      </w:pPr>
      <w:r>
        <w:t>(2)</w:t>
      </w:r>
      <w:r>
        <w:tab/>
      </w:r>
      <w:r>
        <w:rPr>
          <w:noProof/>
        </w:rPr>
        <w:t>Aftalen er blevet ratificeret af alle medlemsstater.</w:t>
      </w:r>
    </w:p>
    <w:p>
      <w:pPr>
        <w:pStyle w:val="ManualConsidrant"/>
        <w:rPr>
          <w:noProof/>
        </w:rPr>
      </w:pPr>
      <w:r>
        <w:t>(3)</w:t>
      </w:r>
      <w:r>
        <w:tab/>
      </w:r>
      <w:r>
        <w:rPr>
          <w:noProof/>
        </w:rPr>
        <w:t>Aftalen bør godkendes på Den Europæiske Unions vegne —</w:t>
      </w:r>
    </w:p>
    <w:p>
      <w:pPr>
        <w:pStyle w:val="Formuledadoption"/>
        <w:rPr>
          <w:noProof/>
        </w:rPr>
      </w:pPr>
      <w:r>
        <w:rPr>
          <w:noProof/>
        </w:rPr>
        <w:t xml:space="preserve">VEDTAGET DENNE AFGØRELSE: </w:t>
      </w:r>
    </w:p>
    <w:p>
      <w:pPr>
        <w:pStyle w:val="Titrearticle"/>
        <w:rPr>
          <w:noProof/>
        </w:rPr>
      </w:pPr>
      <w:r>
        <w:rPr>
          <w:noProof/>
        </w:rPr>
        <w:t>Artikel 1</w:t>
      </w:r>
    </w:p>
    <w:p>
      <w:pPr>
        <w:rPr>
          <w:noProof/>
        </w:rPr>
      </w:pPr>
      <w:r>
        <w:rPr>
          <w:noProof/>
        </w:rPr>
        <w:t>Euro-Middelhavs-aftalen om trafikflyvning mellem Den Europæiske Union og dens medlemsstater på den ene side og Republikken Tunesien på den anden godkendes herved på Unionens vegne.</w:t>
      </w:r>
    </w:p>
    <w:p>
      <w:pPr>
        <w:rPr>
          <w:noProof/>
        </w:rPr>
      </w:pPr>
      <w:r>
        <w:rPr>
          <w:noProof/>
        </w:rPr>
        <w:t>Teksten til aftalen er knyttet til denne afgørelse.</w:t>
      </w:r>
    </w:p>
    <w:p>
      <w:pPr>
        <w:pStyle w:val="Titrearticle"/>
        <w:rPr>
          <w:noProof/>
        </w:rPr>
      </w:pPr>
      <w:r>
        <w:rPr>
          <w:noProof/>
        </w:rPr>
        <w:t xml:space="preserve">Artikel 2 </w:t>
      </w:r>
    </w:p>
    <w:p>
      <w:pPr>
        <w:rPr>
          <w:noProof/>
        </w:rPr>
      </w:pPr>
      <w:r>
        <w:rPr>
          <w:noProof/>
        </w:rPr>
        <w:t>Formanden for Rådet udpeger den person, som på Den Europæiske Unions vegne er beføjet til at fremsende den diplomatiske note, der er omhandlet i aftalens artikel 30, med henblik på at udtrykke Unionens samtykke i at blive bundet af aftalen.</w:t>
      </w:r>
    </w:p>
    <w:p>
      <w:pPr>
        <w:pStyle w:val="Titrearticle"/>
        <w:rPr>
          <w:noProof/>
        </w:rPr>
      </w:pPr>
      <w:r>
        <w:rPr>
          <w:noProof/>
        </w:rPr>
        <w:t>Artikel 3</w:t>
      </w:r>
    </w:p>
    <w:p>
      <w:pPr>
        <w:rPr>
          <w:noProof/>
        </w:rPr>
      </w:pPr>
      <w:r>
        <w:rPr>
          <w:noProof/>
        </w:rPr>
        <w:t>Kommissionen bemyndiges til at vedtage den holdning, som Unionen skal indtage angående Det Fælles Udvalgs afgørelser i henhold til aftalens artikel 21, som vedrører ændring af dennes bilag II med henblik på at opføre EU-retsakter i bilaget, med forbehold for eventuelle nødvendige tilpasninger, efter høring af et særligt udvalg nedsat af Rådet.</w:t>
      </w:r>
    </w:p>
    <w:p>
      <w:pPr>
        <w:pStyle w:val="Titrearticle"/>
        <w:spacing w:before="120"/>
        <w:outlineLvl w:val="0"/>
        <w:rPr>
          <w:noProof/>
        </w:rPr>
      </w:pPr>
      <w:r>
        <w:rPr>
          <w:noProof/>
        </w:rPr>
        <w:lastRenderedPageBreak/>
        <w:t>Artikel 4</w:t>
      </w:r>
    </w:p>
    <w:p>
      <w:pPr>
        <w:rPr>
          <w:noProof/>
        </w:rPr>
      </w:pPr>
      <w:r>
        <w:rPr>
          <w:noProof/>
        </w:rPr>
        <w:t>Denne afgørelse træder i kraft på dagen for vedtagelsen.</w:t>
      </w:r>
    </w:p>
    <w:p>
      <w:pPr>
        <w:rPr>
          <w:noProof/>
        </w:rPr>
      </w:pPr>
    </w:p>
    <w:p>
      <w:pPr>
        <w:pStyle w:val="Fait"/>
        <w:rPr>
          <w:noProof/>
        </w:rPr>
      </w:pPr>
      <w:r>
        <w:t xml:space="preserve">Udfærdiget i Bruxelles, den </w:t>
      </w:r>
      <w:r>
        <w:rPr>
          <w:rStyle w:val="Marker"/>
        </w:rPr>
        <w:t>[…]</w:t>
      </w:r>
      <w:r>
        <w:t>.</w:t>
      </w:r>
    </w:p>
    <w:p>
      <w:pPr>
        <w:pStyle w:val="Institutionquisigne"/>
        <w:rPr>
          <w:noProof/>
        </w:rPr>
      </w:pPr>
      <w:r>
        <w:rPr>
          <w:noProof/>
        </w:rPr>
        <w:tab/>
        <w:t>På Rådets vegne</w:t>
      </w:r>
    </w:p>
    <w:p>
      <w:pPr>
        <w:pStyle w:val="Personnequisigne"/>
        <w:rPr>
          <w:noProof/>
        </w:rPr>
      </w:pPr>
      <w:r>
        <w:rPr>
          <w:noProof/>
        </w:rPr>
        <w:tab/>
        <w:t>Formand</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DA</w:t>
    </w:r>
    <w:r>
      <w:rPr>
        <w:rFonts w:ascii="Arial" w:hAnsi="Arial" w:cs="Arial"/>
        <w:b/>
        <w:sz w:val="48"/>
      </w:rPr>
      <w:tab/>
    </w:r>
    <w:r>
      <w:rPr>
        <w:rFonts w:ascii="Arial" w:hAnsi="Arial" w:cs="Arial"/>
        <w:b/>
        <w:sz w:val="48"/>
      </w:rPr>
      <w:tab/>
    </w:r>
    <w:r>
      <w:tab/>
    </w:r>
    <w:r>
      <w:rPr>
        <w:rFonts w:ascii="Arial" w:hAnsi="Arial" w:cs="Arial"/>
        <w:b/>
        <w:sz w:val="48"/>
      </w:rPr>
      <w:t>DA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DA</w:t>
    </w:r>
    <w:r>
      <w:rPr>
        <w:rFonts w:ascii="Arial" w:hAnsi="Arial" w:cs="Arial"/>
        <w:b/>
        <w:sz w:val="48"/>
      </w:rPr>
      <w:tab/>
    </w:r>
    <w:r>
      <w:fldChar w:fldCharType="begin"/>
    </w:r>
    <w:r>
      <w:instrText xml:space="preserve"> PAGE  \* MERGEFORMAT </w:instrText>
    </w:r>
    <w:r>
      <w:fldChar w:fldCharType="separate"/>
    </w:r>
    <w:r>
      <w:rPr>
        <w:noProof/>
      </w:rPr>
      <w:t>5</w:t>
    </w:r>
    <w:r>
      <w:fldChar w:fldCharType="end"/>
    </w:r>
    <w:r>
      <w:tab/>
    </w:r>
    <w:r>
      <w:tab/>
    </w:r>
    <w:r>
      <w:rPr>
        <w:rFonts w:ascii="Arial" w:hAnsi="Arial" w:cs="Arial"/>
        <w:b/>
        <w:sz w:val="48"/>
      </w:rPr>
      <w:t>DA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786AE09E"/>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4118AF4E"/>
    <w:lvl w:ilvl="0">
      <w:start w:val="1"/>
      <w:numFmt w:val="decimal"/>
      <w:pStyle w:val="ListNumber3"/>
      <w:lvlText w:val="%1."/>
      <w:lvlJc w:val="left"/>
      <w:pPr>
        <w:tabs>
          <w:tab w:val="num" w:pos="926"/>
        </w:tabs>
        <w:ind w:left="926" w:hanging="360"/>
      </w:pPr>
    </w:lvl>
  </w:abstractNum>
  <w:abstractNum w:abstractNumId="2">
    <w:nsid w:val="FFFFFF7F"/>
    <w:multiLevelType w:val="singleLevel"/>
    <w:tmpl w:val="AD122C6C"/>
    <w:lvl w:ilvl="0">
      <w:start w:val="1"/>
      <w:numFmt w:val="decimal"/>
      <w:pStyle w:val="ListNumber2"/>
      <w:lvlText w:val="%1."/>
      <w:lvlJc w:val="left"/>
      <w:pPr>
        <w:tabs>
          <w:tab w:val="num" w:pos="643"/>
        </w:tabs>
        <w:ind w:left="643" w:hanging="360"/>
      </w:pPr>
    </w:lvl>
  </w:abstractNum>
  <w:abstractNum w:abstractNumId="3">
    <w:nsid w:val="FFFFFF81"/>
    <w:multiLevelType w:val="singleLevel"/>
    <w:tmpl w:val="D83E5F3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63820C3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E1FC0F32"/>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ACBE763A"/>
    <w:lvl w:ilvl="0">
      <w:start w:val="1"/>
      <w:numFmt w:val="decimal"/>
      <w:pStyle w:val="ListNumber"/>
      <w:lvlText w:val="%1."/>
      <w:lvlJc w:val="left"/>
      <w:pPr>
        <w:tabs>
          <w:tab w:val="num" w:pos="360"/>
        </w:tabs>
        <w:ind w:left="360" w:hanging="360"/>
      </w:pPr>
    </w:lvl>
  </w:abstractNum>
  <w:abstractNum w:abstractNumId="7">
    <w:nsid w:val="FFFFFF89"/>
    <w:multiLevelType w:val="singleLevel"/>
    <w:tmpl w:val="2DD6D26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21"/>
    <w:lvlOverride w:ilvl="0">
      <w:startOverride w:val="1"/>
    </w:lvlOverride>
  </w:num>
  <w:num w:numId="6">
    <w:abstractNumId w:val="6"/>
  </w:num>
  <w:num w:numId="7">
    <w:abstractNumId w:val="2"/>
  </w:num>
  <w:num w:numId="8">
    <w:abstractNumId w:val="1"/>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 w:numId="24">
    <w:abstractNumId w:val="18"/>
  </w:num>
  <w:num w:numId="25">
    <w:abstractNumId w:val="12"/>
  </w:num>
  <w:num w:numId="26">
    <w:abstractNumId w:val="20"/>
  </w:num>
  <w:num w:numId="27">
    <w:abstractNumId w:val="11"/>
  </w:num>
  <w:num w:numId="28">
    <w:abstractNumId w:val="13"/>
  </w:num>
  <w:num w:numId="29">
    <w:abstractNumId w:val="9"/>
  </w:num>
  <w:num w:numId="30">
    <w:abstractNumId w:val="19"/>
  </w:num>
  <w:num w:numId="31">
    <w:abstractNumId w:val="8"/>
  </w:num>
  <w:num w:numId="32">
    <w:abstractNumId w:val="14"/>
  </w:num>
  <w:num w:numId="33">
    <w:abstractNumId w:val="16"/>
  </w:num>
  <w:num w:numId="34">
    <w:abstractNumId w:val="17"/>
  </w:num>
  <w:num w:numId="35">
    <w:abstractNumId w:val="10"/>
  </w:num>
  <w:num w:numId="36">
    <w:abstractNumId w:val="15"/>
  </w:num>
  <w:num w:numId="37">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revisionView w:markup="0"/>
  <w:defaultTabStop w:val="720"/>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21-03-26 09:57:59"/>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7"/>
    <w:docVar w:name="DQCResult_ModifiedMarkers" w:val="0;0"/>
    <w:docVar w:name="DQCResult_ModifiedNumbering" w:val="0;0"/>
    <w:docVar w:name="DQCResult_Objects" w:val="0;0"/>
    <w:docVar w:name="DQCResult_Sections" w:val="0;0"/>
    <w:docVar w:name="DQCResult_StructureCheck" w:val="0;0"/>
    <w:docVar w:name="DQCResult_SuperfluousWhitespace" w:val="0;5"/>
    <w:docVar w:name="DQCResult_UnknownFonts" w:val="0;0"/>
    <w:docVar w:name="DQCResult_UnknownStyles" w:val="0;0"/>
    <w:docVar w:name="DQCStatus" w:val="Yellow"/>
    <w:docVar w:name="DQCVersion" w:val="3"/>
    <w:docVar w:name="DQCWithWarnings" w:val="0"/>
    <w:docVar w:name="LW_CORRIGENDUM" w:val="&lt;UNUSED&gt;"/>
    <w:docVar w:name="LW_COVERPAGE_EXISTS" w:val="True"/>
    <w:docVar w:name="LW_COVERPAGE_GUID" w:val="3B1BBDB6-C7B7-4B54-9345-81A3116ACE85"/>
    <w:docVar w:name="LW_COVERPAGE_TYPE" w:val="1"/>
    <w:docVar w:name="LW_CROSSREFERENCE" w:val="&lt;UNUSED&gt;"/>
    <w:docVar w:name="LW_DocType" w:val="COM"/>
    <w:docVar w:name="LW_EMISSION" w:val="8.4.2021"/>
    <w:docVar w:name="LW_EMISSION_ISODATE" w:val="2021-04-08"/>
    <w:docVar w:name="LW_EMISSION_LOCATION" w:val="BRX"/>
    <w:docVar w:name="LW_EMISSION_PREFIX" w:val="Bruxelles, den "/>
    <w:docVar w:name="LW_EMISSION_SUFFIX" w:val="&lt;EMPTY&gt;"/>
    <w:docVar w:name="LW_ID_DOCMODEL" w:val="SJ-019"/>
    <w:docVar w:name="LW_ID_DOCSIGNATURE" w:val="SJ-019"/>
    <w:docVar w:name="LW_ID_DOCSTRUCTURE" w:val="COM/PL/ORG"/>
    <w:docVar w:name="LW_ID_DOCTYPE" w:val="SJ-019"/>
    <w:docVar w:name="LW_ID_EXP.MOTIFS.NEW" w:val="EM_PL_"/>
    <w:docVar w:name="LW_ID_STATUT" w:val="SJ-019"/>
    <w:docVar w:name="LW_INTERETEEE.CP" w:val="&lt;UNUSED&gt;"/>
    <w:docVar w:name="LW_LANGUE" w:val="DA"/>
    <w:docVar w:name="LW_LEVEL_OF_SENSITIVITY" w:val="Standard treatment"/>
    <w:docVar w:name="LW_NOM.INST" w:val="EUROPA-KOMMISSIONEN"/>
    <w:docVar w:name="LW_NOM.INST_JOINTDOC" w:val="&lt;EMPTY&gt;"/>
    <w:docVar w:name="LW_PART_NBR" w:val="1"/>
    <w:docVar w:name="LW_PART_NBR_TOTAL" w:val="1"/>
    <w:docVar w:name="LW_REF.II.NEW.CP" w:val="NLE"/>
    <w:docVar w:name="LW_REF.II.NEW.CP_NUMBER" w:val="0079"/>
    <w:docVar w:name="LW_REF.II.NEW.CP_YEAR" w:val="2021"/>
    <w:docVar w:name="LW_REF.INST.NEW" w:val="COM"/>
    <w:docVar w:name="LW_REF.INST.NEW_ADOPTED" w:val="final"/>
    <w:docVar w:name="LW_REF.INST.NEW_TEXT" w:val="(2021) 15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Forslag til"/>
    <w:docVar w:name="LW_SUPERTITRE" w:val="&lt;UNUSED&gt;"/>
    <w:docVar w:name="LW_TITRE.OBJ.CP" w:val="om indgåelse på Den Europæiske Unions vegne af Euro-Middelhavs-aftalen om trafikflyvning mellem Den Europæiske Union og dens medlemsstater på den ene side og Republikken Tunesien på den anden side"/>
    <w:docVar w:name="LW_TYPE.DOC.CP" w:val="RÅDETS AFGØRELSE"/>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a-DK"/>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da-D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a-DK"/>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da-DK"/>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da-DK"/>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da-DK"/>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a-DK"/>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da-D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a-DK"/>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da-DK"/>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da-DK"/>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da-DK"/>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COM.dotm</Template>
  <TotalTime>1</TotalTime>
  <Pages>6</Pages>
  <Words>1091</Words>
  <Characters>6967</Characters>
  <Application>Microsoft Office Word</Application>
  <DocSecurity>0</DocSecurity>
  <Lines>145</Lines>
  <Paragraphs>85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WES PDFC Administrator</cp:lastModifiedBy>
  <cp:revision>19</cp:revision>
  <cp:lastPrinted>2019-06-17T13:29:00Z</cp:lastPrinted>
  <dcterms:created xsi:type="dcterms:W3CDTF">2021-03-26T08:57:00Z</dcterms:created>
  <dcterms:modified xsi:type="dcterms:W3CDTF">2021-03-29T17:12:00Z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7.0.1, Build 20190916</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SJ-019</vt:lpwstr>
  </property>
  <property fmtid="{D5CDD505-2E9C-101B-9397-08002B2CF9AE}" pid="10" name="DQCStatus">
    <vt:lpwstr>Yellow (DQC version 03)</vt:lpwstr>
  </property>
</Properties>
</file>