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61D864-2580-4B95-A981-0F4B4B5A0EEC" style="width:450.35pt;height:406.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Käesolev ettepanek käsitleb otsust, millega määratakse kindlaks Euroopa Liidu nimel ühelt poolt Euroopa Liidu ja selle liikmesriikide ning teiselt poolt Colombia, Peruu ja Ecuadori vahelise kaubanduslepingu (edaspidi „kaubandusleping“) kohases kaubanduskomitees võetav seisukoht seoses kaubanduskomitee otsuste muutmisega, et võtta arvesse Ecuadori ühinemist kaubanduslepinguga ning ajakohastada selles sisalduvat vahekohtunike ja kaubanduse ja säästva arengu valdkonna ekspertide nimekirja.</w:t>
      </w:r>
    </w:p>
    <w:p>
      <w:pPr>
        <w:pStyle w:val="ManualHeading1"/>
        <w:rPr>
          <w:noProof/>
        </w:rPr>
      </w:pPr>
      <w:r>
        <w:t>2.</w:t>
      </w:r>
      <w:r>
        <w:tab/>
      </w:r>
      <w:r>
        <w:rPr>
          <w:noProof/>
        </w:rPr>
        <w:t>Ettepaneku taust</w:t>
      </w:r>
    </w:p>
    <w:p>
      <w:pPr>
        <w:pStyle w:val="ManualHeading2"/>
        <w:rPr>
          <w:noProof/>
        </w:rPr>
      </w:pPr>
      <w:r>
        <w:t>2.1.</w:t>
      </w:r>
      <w:r>
        <w:tab/>
      </w:r>
      <w:r>
        <w:rPr>
          <w:noProof/>
        </w:rPr>
        <w:t xml:space="preserve">Kaubandusleping </w:t>
      </w:r>
    </w:p>
    <w:p>
      <w:pPr>
        <w:rPr>
          <w:noProof/>
        </w:rPr>
      </w:pPr>
      <w:r>
        <w:rPr>
          <w:noProof/>
        </w:rPr>
        <w:t>Ühelt poolt Euroopa Liidu ja selle liikmesriikide ning teiselt poolt Colombia ja Peruu vaheline kaubandusleping allkirjastati Brüsselis 26. juunil 2012. Vastavalt nõukogu otsusele 2012/735/EL</w:t>
      </w:r>
      <w:r>
        <w:rPr>
          <w:rStyle w:val="FootnoteReference"/>
          <w:noProof/>
        </w:rPr>
        <w:footnoteReference w:id="1"/>
      </w:r>
      <w:r>
        <w:rPr>
          <w:noProof/>
        </w:rPr>
        <w:t xml:space="preserve"> on kaubanduslepingut ajutiselt kohaldatud Peruuga alates 1. märtsist 2013</w:t>
      </w:r>
      <w:r>
        <w:rPr>
          <w:rStyle w:val="FootnoteReference"/>
          <w:noProof/>
        </w:rPr>
        <w:footnoteReference w:id="2"/>
      </w:r>
      <w:r>
        <w:rPr>
          <w:noProof/>
        </w:rPr>
        <w:t xml:space="preserve"> ja Colombiaga alates 1. augustist 2013</w:t>
      </w:r>
      <w:r>
        <w:rPr>
          <w:rStyle w:val="FootnoteReference"/>
          <w:noProof/>
        </w:rPr>
        <w:footnoteReference w:id="3"/>
      </w:r>
      <w:r>
        <w:rPr>
          <w:noProof/>
        </w:rPr>
        <w:t>.</w:t>
      </w:r>
    </w:p>
    <w:p>
      <w:pPr>
        <w:rPr>
          <w:noProof/>
        </w:rPr>
      </w:pPr>
      <w:r>
        <w:rPr>
          <w:noProof/>
        </w:rPr>
        <w:t>Kaubanduslepingut muudeti ühelt poolt Euroopa Liidu ja selle liikmesriikide ning teiselt poolt Colombia ja Peruu vahelisele kaubanduslepingule Ecuadori kõnealuse kaubanduslepinguga ühinemise arvesse võtmiseks lisatud ühinemisprotokolliga, mis allkirjastati Brüsselis 11. novembril 2016</w:t>
      </w:r>
      <w:r>
        <w:rPr>
          <w:rStyle w:val="FootnoteReference"/>
          <w:noProof/>
        </w:rPr>
        <w:footnoteReference w:id="4"/>
      </w:r>
      <w:r>
        <w:rPr>
          <w:noProof/>
        </w:rPr>
        <w:t>.</w:t>
      </w:r>
      <w:r>
        <w:rPr>
          <w:noProof/>
          <w:vertAlign w:val="superscript"/>
        </w:rPr>
        <w:t xml:space="preserve"> </w:t>
      </w:r>
      <w:r>
        <w:rPr>
          <w:noProof/>
        </w:rPr>
        <w:t>Kaubanduslepingut kohaldatakse ajutiselt ühelt poolt Euroopa Liidu ja selle liikmesriikide ning teiselt poolt Ecuadori vahel alates 1. jaanuarist 2017</w:t>
      </w:r>
      <w:r>
        <w:rPr>
          <w:rStyle w:val="FootnoteReference"/>
          <w:noProof/>
        </w:rPr>
        <w:footnoteReference w:id="5"/>
      </w:r>
      <w:r>
        <w:rPr>
          <w:noProof/>
        </w:rPr>
        <w:t xml:space="preserve">. </w:t>
      </w:r>
    </w:p>
    <w:p>
      <w:pPr>
        <w:rPr>
          <w:noProof/>
        </w:rPr>
      </w:pPr>
      <w:r>
        <w:rPr>
          <w:noProof/>
        </w:rPr>
        <w:t>Kaubanduslepingu artikliga 12 on loodud kaubanduskomitee, mis koosneb ELi poole esindajatest ja iga lepingule alla kirjutanud Andide riigi esindajatest ministrite tasandil või esindajatest, kelle sellised tasandid võivad määrata. Kaubanduskomitee jälgib ja hõlbustab kaubanduslepingu toimimist ja selle sätete nõuetekohast kohaldamist ning kaalub muid viise selle üldiste eesmärkide saavutamiseks. Ta hindab ja võtab vastu otsuseid, nagu on ette nähtud kaubanduslepingus, kõikides küsimustes, mille on talle suunanud kaubanduslepingu kohaselt asutatud eriorganid. Kaubanduskomitee võtab otsuseid vastu konsensuse alusel.</w:t>
      </w:r>
    </w:p>
    <w:p>
      <w:pPr>
        <w:rPr>
          <w:noProof/>
        </w:rPr>
      </w:pPr>
      <w:r>
        <w:rPr>
          <w:noProof/>
        </w:rPr>
        <w:t>Kaubanduskomitee on vastu võtnud otsused, mida tuleb muuta, et võtta arvesse Ecuadori ühinemist kaubanduslepinguga.</w:t>
      </w:r>
    </w:p>
    <w:p>
      <w:pPr>
        <w:rPr>
          <w:noProof/>
          <w:highlight w:val="yellow"/>
        </w:rPr>
      </w:pPr>
      <w:r>
        <w:rPr>
          <w:noProof/>
        </w:rPr>
        <w:t xml:space="preserve">Kaubanduslepingu XII jaotis hõlmab kõiki vaidlusi, mis on seotud kaubanduslepingu sätete tõlgendamise või kohaldamisega, kui kaubanduslepingust ei tulene teisiti. </w:t>
      </w:r>
    </w:p>
    <w:p>
      <w:pPr>
        <w:rPr>
          <w:noProof/>
        </w:rPr>
      </w:pPr>
      <w:r>
        <w:rPr>
          <w:noProof/>
        </w:rPr>
        <w:t>Ecuadori ühinemise järel ajakohastab kaubanduskomitee kaubanduskomitee kodukorda, vahekohtu töökorda ja vahekohtunike tegevusjuhendit, vahekohtunike nimekirja, kaubanduse ja säästva arengu eksperdirühma kodukorda ning kaubandust ja säästvat arengut käsitleva jaotisega hõlmatud valdkondade eksperdirühma.</w:t>
      </w:r>
    </w:p>
    <w:p>
      <w:pPr>
        <w:pStyle w:val="ManualHeading2"/>
        <w:rPr>
          <w:noProof/>
        </w:rPr>
      </w:pPr>
      <w:r>
        <w:t>2.2.</w:t>
      </w:r>
      <w:r>
        <w:tab/>
      </w:r>
      <w:r>
        <w:rPr>
          <w:noProof/>
        </w:rPr>
        <w:t xml:space="preserve">Kaubanduskomitee </w:t>
      </w:r>
    </w:p>
    <w:p>
      <w:pPr>
        <w:rPr>
          <w:rFonts w:eastAsia="Calibri"/>
          <w:noProof/>
        </w:rPr>
      </w:pPr>
      <w:r>
        <w:rPr>
          <w:noProof/>
        </w:rPr>
        <w:t xml:space="preserve">Kaubanduslepingu artikli 12 alusel moodustatud kaubanduskomitee jälgib kaubanduslepingu toimimist ja selle sätete nõuetekohast kohaldamist ning aitab sellele kaasa; hindab kaubanduslepingu kohaldamisel saadud tulemusi, eelkõige lepinguosaliste kaubandus- ja </w:t>
      </w:r>
      <w:r>
        <w:rPr>
          <w:noProof/>
        </w:rPr>
        <w:lastRenderedPageBreak/>
        <w:t>majandussuhete arengut; teeb järelevalvet kõigi kaubanduslepingu alusel loodud eriorganite töö üle ning soovitab vajalikke meetmeid; hindab ja võtab vastu otsuseid kõikides küsimustes, mis eriorganid on talle suunanud,</w:t>
      </w:r>
      <w:r>
        <w:rPr>
          <w:noProof/>
          <w:color w:val="000000"/>
        </w:rPr>
        <w:t xml:space="preserve"> </w:t>
      </w:r>
      <w:r>
        <w:rPr>
          <w:noProof/>
        </w:rPr>
        <w:t>ning võtab vastu oma kodukorra ning kohtumiste ajakava ja päevakava. Kaubanduskomitee võtab otsuseid vastu konsensuse alusel. Otsused on lepinguosalistele siduvad ning lepinguosalised võtavad nende rakendamiseks kõik vajalikud meetmed. Kaubanduslepingu artikli 12 lõikes 4 osutatud juhtudel võtavad otsuseid vastu ELi lepinguosaline ja asjaomane kaubanduslepingule alla kirjutanud Andide riik ning sellised otsused omavad õigusjõudu ainult kõnealuste osaliste suhtes, kui nad ei mõjuta teise kaubanduslepingule alla kirjutanud Andide riigi õigusi ega kohustusi (artikli 14 lõige 3).</w:t>
      </w:r>
    </w:p>
    <w:p>
      <w:pPr>
        <w:pStyle w:val="ManualHeading1"/>
        <w:rPr>
          <w:rFonts w:eastAsia="Arial Unicode MS"/>
          <w:noProof/>
        </w:rPr>
      </w:pPr>
      <w:r>
        <w:t>3.</w:t>
      </w:r>
      <w:r>
        <w:tab/>
      </w:r>
      <w:r>
        <w:rPr>
          <w:noProof/>
        </w:rPr>
        <w:t>Liidu nimel võetav seisukoht</w:t>
      </w:r>
    </w:p>
    <w:p>
      <w:pPr>
        <w:rPr>
          <w:noProof/>
        </w:rPr>
      </w:pPr>
      <w:r>
        <w:rPr>
          <w:noProof/>
        </w:rPr>
        <w:t>Käesolev ettepanek käsitleb nõukogu otsust, millega määratakse kindlaks Euroopa Liidu nimel ühelt poolt Euroopa Liidu ja selle liikmesriikide ning teiselt poolt Colombia, Ecuadori ja Peruu vahelise kaubanduslepingu kohases kaubanduskomitees võetav seisukoht seoses kaubanduskomitee otsuste muutmisega, et võtta arvesse Ecuadori ühinemist kaubanduslepinguga, ning ajakohastada selles sisalduvat vahekohtunike ning kaubanduse ja säästva arengu valdkonna ekspertide nimekirja.</w:t>
      </w:r>
    </w:p>
    <w:p>
      <w:pPr>
        <w:rPr>
          <w:noProof/>
        </w:rPr>
      </w:pPr>
      <w:r>
        <w:rPr>
          <w:noProof/>
        </w:rPr>
        <w:t xml:space="preserve">Otsus Ecuadori vahekohtunike nimekirja kehtestamise kohta oleks tulnud teha kaubanduskomitee esimesel koosolekul, kuid nüüd tuleb see teha nii kiiresti kui võimalik, et rakendada täielikult kaubanduslepingu XII jaotist vaidluste lahendamise kohta. </w:t>
      </w:r>
    </w:p>
    <w:p>
      <w:pPr>
        <w:rPr>
          <w:noProof/>
        </w:rPr>
      </w:pPr>
      <w:r>
        <w:rPr>
          <w:noProof/>
        </w:rPr>
        <w:t xml:space="preserve">Kaubanduslepingu osalised arutasid kaubanduskomitee kavandatavat otsust ja leppisid kokku, et kaubanduskomitee peaks võtma käesoleva otsuse vastu 2020. aasta teisel poolel, kui liidu otsustamismenetlusest ei tulene teisiti. </w:t>
      </w:r>
    </w:p>
    <w:p>
      <w:pPr>
        <w:rPr>
          <w:noProof/>
        </w:rPr>
      </w:pPr>
      <w:r>
        <w:rPr>
          <w:noProof/>
        </w:rPr>
        <w:t>Otsus on oluline kaubanduslepingu institutsionaalse raamistiku väljakujundamiseks ja seega kaubanduslepingu tõrgeteta rakendamise tagamiseks.</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Euroopa Liidu toimimise lepingu (edaspidi „ELi toimimise leping“) artikli 218 lõikes 9 on ette nähtud kord, mille alusel võetakse vastu otsused, millega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Mõiste „õigusliku toimega aktid“ hõlmab akte, millel on õiguslik toime asjaomase organi suhtes kehtiva rahvusvahelise õiguse normide alusel. Siia hulka kuuluvad ka sellised õiguslikud vahendid, mis ei ole rahvusvahelise õiguse kohaselt siduvad, kuid mis „võivad mõjutada otsustavalt liidu seadusandja vastu võetud õigusaktide sisu“</w:t>
      </w:r>
      <w:r>
        <w:rPr>
          <w:rStyle w:val="FootnoteReference"/>
          <w:noProof/>
        </w:rPr>
        <w:footnoteReference w:id="6"/>
      </w:r>
      <w:r>
        <w:rPr>
          <w:noProof/>
        </w:rPr>
        <w:t>.</w:t>
      </w:r>
    </w:p>
    <w:p>
      <w:pPr>
        <w:pStyle w:val="ManualHeading3"/>
        <w:rPr>
          <w:noProof/>
        </w:rPr>
      </w:pPr>
      <w:r>
        <w:t>4.1.2.</w:t>
      </w:r>
      <w:r>
        <w:tab/>
      </w:r>
      <w:r>
        <w:rPr>
          <w:noProof/>
        </w:rPr>
        <w:t>Kohaldamine käesoleval juhul</w:t>
      </w:r>
    </w:p>
    <w:p>
      <w:pPr>
        <w:rPr>
          <w:noProof/>
        </w:rPr>
      </w:pPr>
      <w:r>
        <w:rPr>
          <w:noProof/>
        </w:rPr>
        <w:t>Kaubanduskomitee on lepinguga, st ühelt poolt Euroopa Liidu ja selle liikmesriikide ning teiselt poolt Colombia ja Peruu vahel sõlmitud kaubanduslepinguga ettenähtud organ.</w:t>
      </w:r>
    </w:p>
    <w:p>
      <w:pPr>
        <w:rPr>
          <w:noProof/>
        </w:rPr>
      </w:pPr>
      <w:r>
        <w:rPr>
          <w:noProof/>
        </w:rPr>
        <w:lastRenderedPageBreak/>
        <w:t>Otsus, mille kaubanduskomitee peab vastu võtma, kujutab endast siduvat õigusakti kooskõlas kaubanduslepingu artikli 14 lõikega 2. Kavandatav akt ei täienda ega muuda kaubanduslepingu institutsioonilist raamistikku.</w:t>
      </w:r>
    </w:p>
    <w:p>
      <w:pPr>
        <w:rPr>
          <w:noProof/>
        </w:rPr>
      </w:pPr>
      <w:r>
        <w:rPr>
          <w:noProof/>
        </w:rPr>
        <w:t>Seega on esildatud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akti eesmärgist ja sisust, mida liidu nimel võetav seisukoht puudutab. Kui kavandatava 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noProof/>
        </w:rPr>
      </w:pPr>
      <w:r>
        <w:rPr>
          <w:noProof/>
        </w:rPr>
        <w:t>Kavandatava õigusakti peamine eesmärk ja sisu, st kaubanduskomitee otsuste nr 1/2014, nr 2/2014, nr 3/2014, nr 4/2014 ja nr 5/2014 muutmine, et muu hulgas ajakohastada selles sisalduvaid vahekohtunike ning kaubanduse ja säästva arengu valdkonna ekspertide nimekirju, kuulub ühise kaubanduspoliitika valdkonda.</w:t>
      </w:r>
    </w:p>
    <w:p>
      <w:pPr>
        <w:rPr>
          <w:noProof/>
          <w:color w:val="000000"/>
        </w:rPr>
      </w:pPr>
      <w:r>
        <w:rPr>
          <w:noProof/>
          <w:color w:val="000000"/>
        </w:rPr>
        <w:t xml:space="preserve">Seepärast on esildatud otsuse materiaalõiguslik alus ELi toimimise lepingu artikkel 207 ja eelkõige selle lõige 4. </w:t>
      </w:r>
    </w:p>
    <w:p>
      <w:pPr>
        <w:pStyle w:val="ManualHeading2"/>
        <w:rPr>
          <w:noProof/>
        </w:rPr>
      </w:pPr>
      <w:r>
        <w:t>4.3.</w:t>
      </w:r>
      <w:r>
        <w:tab/>
      </w:r>
      <w:r>
        <w:rPr>
          <w:noProof/>
        </w:rPr>
        <w:t>Kokkuvõte</w:t>
      </w:r>
    </w:p>
    <w:p>
      <w:pPr>
        <w:rPr>
          <w:noProof/>
        </w:rPr>
      </w:pPr>
      <w:r>
        <w:rPr>
          <w:noProof/>
        </w:rPr>
        <w:t>Esildatud otsuse õiguslik alus peaks olema ELi toimimise lepingu artikli 207 lõike 4 esimene lõik koostoimes ELi toimimise lepingu artikli 218 lõikega 9.</w:t>
      </w:r>
    </w:p>
    <w:p>
      <w:pPr>
        <w:pStyle w:val="ManualHeading1"/>
        <w:rPr>
          <w:noProof/>
        </w:rPr>
      </w:pPr>
      <w:r>
        <w:t>5.</w:t>
      </w:r>
      <w:r>
        <w:tab/>
      </w:r>
      <w:r>
        <w:rPr>
          <w:noProof/>
        </w:rPr>
        <w:t>Kavandatava õigusakti avaldamine</w:t>
      </w:r>
    </w:p>
    <w:p>
      <w:pPr>
        <w:rPr>
          <w:noProof/>
        </w:rPr>
      </w:pPr>
      <w:r>
        <w:rPr>
          <w:noProof/>
        </w:rPr>
        <w:t xml:space="preserve">Kuna nõukogu aktiga muudetakse kaubanduskomitee otsuseid nr 1/2014, nr 2/2014, nr 3/2014, nr 4/2014 ja nr 5/2014, on asjakohane see pärast vastuvõtmist avaldada </w:t>
      </w:r>
      <w:r>
        <w:rPr>
          <w:i/>
          <w:noProof/>
        </w:rPr>
        <w:t>Euroopa Liidu Teatajas</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2021/0092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ühelt poolt Euroopa Liidu ja selle liikmesriikide ning teiselt poolt Colombia, Peruu ja Ecuadori vahelise kaubanduslepingu kohases kaubanduskomitees seoses kaubanduskomitee otsuste nr 1/2014, nr 2/2014, nr 3/2014, nr 4/2014 ja nr 5/2014 muutmisega, et võtta arvesse Ecuadori ühinemist kaubanduslepinguga ning ajakohastada vahekohtunike ja kaubanduse ja säästva arengu valdkonna ekspertide nimekirju</w:t>
      </w:r>
    </w:p>
    <w:p>
      <w:pPr>
        <w:pStyle w:val="Institutionquiagit"/>
        <w:rPr>
          <w:noProof/>
        </w:rPr>
      </w:pPr>
      <w:r>
        <w:rPr>
          <w:noProof/>
        </w:rPr>
        <w:t>EUROOPA LIIDU NÕUKOGU,</w:t>
      </w:r>
    </w:p>
    <w:p>
      <w:pPr>
        <w:rPr>
          <w:noProof/>
        </w:rPr>
      </w:pPr>
      <w:r>
        <w:rPr>
          <w:noProof/>
        </w:rPr>
        <w:t>võttes arvesse Euroopa Liidu toimimise lepingut, eriti selle artikli 207 lõike 4 esimest lõiku koostoimes artikli 218 lõikega 9,</w:t>
      </w:r>
    </w:p>
    <w:p>
      <w:pPr>
        <w:autoSpaceDE w:val="0"/>
        <w:autoSpaceDN w:val="0"/>
        <w:adjustRightInd w:val="0"/>
        <w:spacing w:before="0" w:after="240"/>
        <w:rPr>
          <w:rFonts w:eastAsia="Calibri"/>
          <w:noProof/>
          <w:color w:val="000000"/>
          <w:szCs w:val="24"/>
        </w:rPr>
      </w:pPr>
      <w:r>
        <w:rPr>
          <w:noProof/>
          <w:color w:val="000000"/>
          <w:szCs w:val="24"/>
        </w:rPr>
        <w:t>võttes arvesse Euroopa Komisjoni ettepanekut</w:t>
      </w:r>
    </w:p>
    <w:p>
      <w:pPr>
        <w:autoSpaceDE w:val="0"/>
        <w:autoSpaceDN w:val="0"/>
        <w:adjustRightInd w:val="0"/>
        <w:spacing w:before="0" w:after="240"/>
        <w:rPr>
          <w:rFonts w:eastAsia="Calibri"/>
          <w:noProof/>
          <w:color w:val="000000"/>
          <w:szCs w:val="24"/>
        </w:rPr>
      </w:pPr>
      <w:r>
        <w:rPr>
          <w:noProof/>
          <w:color w:val="000000"/>
          <w:szCs w:val="24"/>
        </w:rPr>
        <w:t xml:space="preserve">ning arvestades järgmist: </w:t>
      </w:r>
    </w:p>
    <w:p>
      <w:pPr>
        <w:pStyle w:val="ManualConsidrant"/>
        <w:rPr>
          <w:noProof/>
        </w:rPr>
      </w:pPr>
      <w:r>
        <w:t>(1)</w:t>
      </w:r>
      <w:r>
        <w:tab/>
      </w:r>
      <w:r>
        <w:rPr>
          <w:noProof/>
        </w:rPr>
        <w:t>Ühelt poolt Euroopa Liidu ja selle liikmesriikide ning teiselt poolt Colombia ja Peruu vaheline kaubandusleping (edaspidi „kaubandusleping“) allkirjastati Brüsselis 26. juunil 2012. Vastavalt nõukogu otsusele 2012/735/EL</w:t>
      </w:r>
      <w:r>
        <w:rPr>
          <w:rStyle w:val="FootnoteReference"/>
          <w:noProof/>
        </w:rPr>
        <w:footnoteReference w:id="7"/>
      </w:r>
      <w:r>
        <w:rPr>
          <w:noProof/>
        </w:rPr>
        <w:t xml:space="preserve"> on kaubanduslepingut ajutiselt kohaldatud liidu ja selle liikmesriikide ning Peruu vahel alates 1. märtsist 2013 ja Colombia vahel alates 1. augustist 2013.</w:t>
      </w:r>
    </w:p>
    <w:p>
      <w:pPr>
        <w:pStyle w:val="ManualConsidrant"/>
        <w:rPr>
          <w:noProof/>
        </w:rPr>
      </w:pPr>
      <w:r>
        <w:t>(2)</w:t>
      </w:r>
      <w:r>
        <w:tab/>
      </w:r>
      <w:r>
        <w:rPr>
          <w:noProof/>
        </w:rPr>
        <w:t>Kaubanduslepingut muudeti 11. novembril 2016 Brüsselis allkirjastatud ühinemisprotokolliga,</w:t>
      </w:r>
      <w:r>
        <w:rPr>
          <w:rStyle w:val="FootnoteReference"/>
          <w:noProof/>
        </w:rPr>
        <w:footnoteReference w:id="8"/>
      </w:r>
      <w:r>
        <w:rPr>
          <w:noProof/>
        </w:rPr>
        <w:t xml:space="preserve"> et võtta arvesse Ecuadori ühinemist.</w:t>
      </w:r>
      <w:r>
        <w:rPr>
          <w:noProof/>
          <w:vertAlign w:val="superscript"/>
        </w:rPr>
        <w:t xml:space="preserve"> </w:t>
      </w:r>
      <w:r>
        <w:rPr>
          <w:noProof/>
        </w:rPr>
        <w:t>Vastavalt nõukogu otsusele 2012/735/EL</w:t>
      </w:r>
      <w:r>
        <w:rPr>
          <w:rStyle w:val="FootnoteReference"/>
          <w:noProof/>
        </w:rPr>
        <w:footnoteReference w:id="9"/>
      </w:r>
      <w:r>
        <w:rPr>
          <w:noProof/>
        </w:rPr>
        <w:t xml:space="preserve"> on kaubanduslepingut ajutiselt kohaldatud liidu ja selle liikmesriikide ning Ecuadori vahel alates 1. jaanuarist 2017.</w:t>
      </w:r>
    </w:p>
    <w:p>
      <w:pPr>
        <w:pStyle w:val="ManualConsidrant"/>
        <w:rPr>
          <w:noProof/>
        </w:rPr>
      </w:pPr>
      <w:r>
        <w:t>(3)</w:t>
      </w:r>
      <w:r>
        <w:tab/>
      </w:r>
      <w:r>
        <w:rPr>
          <w:noProof/>
        </w:rPr>
        <w:t>Vastavalt kaubanduslepingu artikli 13 lõike 2 punkti g alapunktile vi võib kaubanduskomitee edendada kaubanduslepingu eesmärkide saavutamist, tehes lepingus sätestatud muudatusi või muutes muid sätteid, mida kaubanduskomitee võib muuta vastavalt kaubanduslepingu selgesõnalistele sätetele.</w:t>
      </w:r>
    </w:p>
    <w:p>
      <w:pPr>
        <w:pStyle w:val="ManualConsidrant"/>
        <w:rPr>
          <w:noProof/>
        </w:rPr>
      </w:pPr>
      <w:r>
        <w:t>(4)</w:t>
      </w:r>
      <w:r>
        <w:tab/>
      </w:r>
      <w:r>
        <w:rPr>
          <w:noProof/>
        </w:rPr>
        <w:t>Kaubanduslepingu artikli 13 lõike 5 kohaselt võib kaubanduskomitee kõnealuses artiklis 13 sätestatud ülesannete täitmisel võtta vastu kaubanduslepingu kohaseid otsuseid.</w:t>
      </w:r>
    </w:p>
    <w:p>
      <w:pPr>
        <w:pStyle w:val="ManualConsidrant"/>
        <w:rPr>
          <w:noProof/>
        </w:rPr>
      </w:pPr>
      <w:r>
        <w:t>(5)</w:t>
      </w:r>
      <w:r>
        <w:tab/>
      </w:r>
      <w:r>
        <w:rPr>
          <w:noProof/>
        </w:rPr>
        <w:t>Kaubanduskomitee võtab kirjaliku menetluse teel vastu otsuse muuta oma otsuseid nr 1/2014, nr 2/2014, nr 3/2014, nr 4/2014 ja nr 5/2014.</w:t>
      </w:r>
    </w:p>
    <w:p>
      <w:pPr>
        <w:pStyle w:val="ManualConsidrant"/>
        <w:rPr>
          <w:noProof/>
        </w:rPr>
      </w:pPr>
      <w:r>
        <w:lastRenderedPageBreak/>
        <w:t>(6)</w:t>
      </w:r>
      <w:r>
        <w:tab/>
      </w:r>
      <w:r>
        <w:rPr>
          <w:noProof/>
        </w:rPr>
        <w:t>On asjakohane määrata kindlaks liidu nimel kaubanduskomitees võetav seisukoht, kuna otsus on liidule siduv.</w:t>
      </w:r>
    </w:p>
    <w:p>
      <w:pPr>
        <w:pStyle w:val="ManualConsidrant"/>
        <w:rPr>
          <w:noProof/>
        </w:rPr>
      </w:pPr>
      <w:r>
        <w:t>(7)</w:t>
      </w:r>
      <w:r>
        <w:tab/>
      </w:r>
      <w:r>
        <w:rPr>
          <w:noProof/>
        </w:rPr>
        <w:t>Kaubanduskomitee otsusega nr 1/2014 nähti ette kaubanduskomitee kodukorra vastuvõtmine vastavalt kaubanduslepingu artikli 13 lõike 1 punktile j.</w:t>
      </w:r>
    </w:p>
    <w:p>
      <w:pPr>
        <w:pStyle w:val="ManualConsidrant"/>
        <w:rPr>
          <w:noProof/>
        </w:rPr>
      </w:pPr>
      <w:r>
        <w:t>(8)</w:t>
      </w:r>
      <w:r>
        <w:tab/>
      </w:r>
      <w:r>
        <w:rPr>
          <w:noProof/>
        </w:rPr>
        <w:t>Kaubanduskomitee otsusega nr 2/2014 nähti ette vahekohtu töökorra ja</w:t>
      </w:r>
      <w:r>
        <w:rPr>
          <w:noProof/>
        </w:rPr>
        <w:cr/>
      </w:r>
      <w:r>
        <w:rPr>
          <w:noProof/>
        </w:rPr>
        <w:br/>
        <w:t>vahekohtunike tegevusjuhendi vastuvõtmine vastavalt kaubanduslepingu artikli 13 lõike 1 punktile h ja artiklile 315.</w:t>
      </w:r>
    </w:p>
    <w:p>
      <w:pPr>
        <w:pStyle w:val="ManualConsidrant"/>
        <w:rPr>
          <w:noProof/>
        </w:rPr>
      </w:pPr>
      <w:r>
        <w:t>(9)</w:t>
      </w:r>
      <w:r>
        <w:tab/>
      </w:r>
      <w:r>
        <w:rPr>
          <w:noProof/>
        </w:rPr>
        <w:t>Kaubanduskomitee otsusega nr 3/2014 nähti ette vahekohtunike nimekirjade koostamine vastavalt kaubanduslepingu artikli 304 lõigetele 1 ja 4.</w:t>
      </w:r>
    </w:p>
    <w:p>
      <w:pPr>
        <w:pStyle w:val="ManualConsidrant"/>
        <w:rPr>
          <w:noProof/>
        </w:rPr>
      </w:pPr>
      <w:r>
        <w:t>(10)</w:t>
      </w:r>
      <w:r>
        <w:tab/>
      </w:r>
      <w:r>
        <w:rPr>
          <w:noProof/>
        </w:rPr>
        <w:t>Kaubanduskomitee otsusega nr 4/2014 nähti ette kaubanduse ja säästva arengu eksperdirühma kodukorra vastuvõtmine vastavalt kaubanduslepingu artikli 284 lõikele 6.</w:t>
      </w:r>
    </w:p>
    <w:p>
      <w:pPr>
        <w:pStyle w:val="ManualConsidrant"/>
        <w:rPr>
          <w:noProof/>
        </w:rPr>
      </w:pPr>
      <w:r>
        <w:t>(11)</w:t>
      </w:r>
      <w:r>
        <w:tab/>
      </w:r>
      <w:r>
        <w:rPr>
          <w:noProof/>
        </w:rPr>
        <w:t xml:space="preserve">Kaubanduskomitee otsusega nr 5/2014 nähti ette kaubandust ja säästvat arengut käsitleva jaotisega hõlmatud valdkondade eksperdirühma moodustamine vastavalt kaubanduslepingu artikli 284 lõikele 3. </w:t>
      </w:r>
    </w:p>
    <w:p>
      <w:pPr>
        <w:pStyle w:val="ManualConsidrant"/>
        <w:rPr>
          <w:noProof/>
        </w:rPr>
      </w:pPr>
      <w:r>
        <w:t>(12)</w:t>
      </w:r>
      <w:r>
        <w:tab/>
      </w:r>
      <w:r>
        <w:rPr>
          <w:noProof/>
        </w:rPr>
        <w:t>Et võtta arvesse Ecuadori ühinemist kaubanduslepinguga ning vajadust ajakohastada vahekohtunike ning kaubanduse ja säästva arengu valdkonna ekspertide nimekirju, tuleks kaubanduskomitee otsuseid nr 1/2014, nr 2/2014, nr 3/2014, nr 4/2014 ja nr 5/2014 vastavalt muuta,</w:t>
      </w:r>
    </w:p>
    <w:p>
      <w:pPr>
        <w:pStyle w:val="Formuledadoption"/>
        <w:rPr>
          <w:noProof/>
        </w:rPr>
      </w:pPr>
      <w:r>
        <w:rPr>
          <w:noProof/>
        </w:rPr>
        <w:t>ON VASTU VÕTNUD KÄESOLEVA OTSUSE:</w:t>
      </w:r>
    </w:p>
    <w:p>
      <w:pPr>
        <w:pStyle w:val="Titrearticle"/>
        <w:rPr>
          <w:noProof/>
        </w:rPr>
      </w:pPr>
      <w:r>
        <w:rPr>
          <w:noProof/>
        </w:rPr>
        <w:t>Artikkel 1</w:t>
      </w:r>
    </w:p>
    <w:p>
      <w:pPr>
        <w:spacing w:before="0" w:after="0"/>
        <w:rPr>
          <w:noProof/>
        </w:rPr>
      </w:pPr>
      <w:r>
        <w:rPr>
          <w:noProof/>
        </w:rPr>
        <w:t>Liidu nimel ühelt poolt Euroopa Liidu ja selle liikmesriikide ning teiselt poolt Colombia, Peruu ja Ecuadori vahelise kaubanduslepingu kohases kaubanduskomitees võetav seisukoht seoses kaubanduskomitee otsuste nr 1/2014, nr 2/2014, nr 3/2014, nr 4/2014 ja nr 5/2014 muutmisega põhineb käesolevale otsuse lisatud kaubanduskomitee otsuse eelnõul.</w:t>
      </w:r>
    </w:p>
    <w:p>
      <w:pPr>
        <w:pStyle w:val="Titrearticle"/>
        <w:rPr>
          <w:iCs/>
          <w:noProof/>
          <w:color w:val="000000"/>
        </w:rPr>
      </w:pPr>
      <w:r>
        <w:rPr>
          <w:iCs/>
          <w:noProof/>
          <w:color w:val="000000"/>
          <w:bdr w:val="none" w:sz="0" w:space="0" w:color="auto" w:frame="1"/>
        </w:rPr>
        <w:t>Artikkel 2</w:t>
      </w:r>
    </w:p>
    <w:p>
      <w:pPr>
        <w:autoSpaceDE w:val="0"/>
        <w:autoSpaceDN w:val="0"/>
        <w:adjustRightInd w:val="0"/>
        <w:spacing w:before="0" w:after="240"/>
        <w:rPr>
          <w:noProof/>
          <w:color w:val="000000"/>
        </w:rPr>
      </w:pPr>
      <w:r>
        <w:rPr>
          <w:noProof/>
          <w:color w:val="000000"/>
          <w:bdr w:val="none" w:sz="0" w:space="0" w:color="auto" w:frame="1"/>
        </w:rPr>
        <w:t xml:space="preserve">Kaubanduskomitee otsus avaldatakse pärast selle vastuvõtmist </w:t>
      </w:r>
      <w:r>
        <w:rPr>
          <w:i/>
          <w:noProof/>
          <w:color w:val="000000"/>
          <w:bdr w:val="none" w:sz="0" w:space="0" w:color="auto" w:frame="1"/>
        </w:rPr>
        <w:t>Euroopa Liidu Teatajas</w:t>
      </w:r>
      <w:r>
        <w:rPr>
          <w:noProof/>
          <w:color w:val="000000"/>
          <w:bdr w:val="none" w:sz="0" w:space="0" w:color="auto" w:frame="1"/>
        </w:rPr>
        <w:t>.</w:t>
      </w:r>
    </w:p>
    <w:p>
      <w:pPr>
        <w:pStyle w:val="Titrearticle"/>
        <w:rPr>
          <w:iCs/>
          <w:noProof/>
          <w:color w:val="000000"/>
        </w:rPr>
      </w:pPr>
      <w:r>
        <w:rPr>
          <w:iCs/>
          <w:noProof/>
          <w:color w:val="000000"/>
          <w:bdr w:val="none" w:sz="0" w:space="0" w:color="auto" w:frame="1"/>
        </w:rPr>
        <w:t>Artikkel 3</w:t>
      </w:r>
    </w:p>
    <w:p>
      <w:pPr>
        <w:autoSpaceDE w:val="0"/>
        <w:autoSpaceDN w:val="0"/>
        <w:adjustRightInd w:val="0"/>
        <w:spacing w:before="0" w:after="240"/>
        <w:rPr>
          <w:noProof/>
          <w:color w:val="000000"/>
        </w:rPr>
      </w:pPr>
      <w:r>
        <w:rPr>
          <w:noProof/>
          <w:color w:val="000000"/>
          <w:bdr w:val="none" w:sz="0" w:space="0" w:color="auto" w:frame="1"/>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354, 21.12.2012, lk 1–2.</w:t>
      </w:r>
    </w:p>
  </w:footnote>
  <w:footnote w:id="2">
    <w:p>
      <w:pPr>
        <w:pStyle w:val="FootnoteText"/>
      </w:pPr>
      <w:r>
        <w:rPr>
          <w:rStyle w:val="FootnoteReference"/>
        </w:rPr>
        <w:footnoteRef/>
      </w:r>
      <w:r>
        <w:tab/>
        <w:t>ELT L 56, 28.2.2013, lk 1.</w:t>
      </w:r>
    </w:p>
  </w:footnote>
  <w:footnote w:id="3">
    <w:p>
      <w:pPr>
        <w:pStyle w:val="FootnoteText"/>
      </w:pPr>
      <w:r>
        <w:rPr>
          <w:rStyle w:val="FootnoteReference"/>
        </w:rPr>
        <w:footnoteRef/>
      </w:r>
      <w:r>
        <w:tab/>
        <w:t>ELT L 201, 26.7.2013, lk 7.</w:t>
      </w:r>
    </w:p>
  </w:footnote>
  <w:footnote w:id="4">
    <w:p>
      <w:pPr>
        <w:pStyle w:val="FootnoteText"/>
      </w:pPr>
      <w:r>
        <w:rPr>
          <w:rStyle w:val="FootnoteReference"/>
        </w:rPr>
        <w:footnoteRef/>
      </w:r>
      <w:r>
        <w:tab/>
        <w:t>ELT L 356, 24.12.2016, lk 3.</w:t>
      </w:r>
    </w:p>
  </w:footnote>
  <w:footnote w:id="5">
    <w:p>
      <w:pPr>
        <w:pStyle w:val="FootnoteText"/>
      </w:pPr>
      <w:r>
        <w:rPr>
          <w:rStyle w:val="FootnoteReference"/>
        </w:rPr>
        <w:footnoteRef/>
      </w:r>
      <w:r>
        <w:tab/>
        <w:t>ELT L 358, 29.12.2016, lk 1.</w:t>
      </w:r>
    </w:p>
  </w:footnote>
  <w:footnote w:id="6">
    <w:p>
      <w:pPr>
        <w:pStyle w:val="FootnoteText"/>
      </w:pPr>
      <w:r>
        <w:rPr>
          <w:rStyle w:val="FootnoteReference"/>
        </w:rPr>
        <w:footnoteRef/>
      </w:r>
      <w:r>
        <w:tab/>
        <w:t xml:space="preserve">Kohtuasi C-399/12: Saksamaa </w:t>
      </w:r>
      <w:r>
        <w:rPr>
          <w:i/>
        </w:rPr>
        <w:t>vs.</w:t>
      </w:r>
      <w:r>
        <w:t xml:space="preserve"> nõukogu (OIV), ECLI:EU:C:2014:2258, punktid 61–64. </w:t>
      </w:r>
    </w:p>
  </w:footnote>
  <w:footnote w:id="7">
    <w:p>
      <w:pPr>
        <w:pStyle w:val="FootnoteText"/>
      </w:pPr>
      <w:r>
        <w:rPr>
          <w:rStyle w:val="FootnoteReference"/>
        </w:rPr>
        <w:footnoteRef/>
      </w:r>
      <w:r>
        <w:tab/>
        <w:t>Nõukogu 31. mai 2012. aasta otsus 2012/735/EL ühelt poolt Euroopa Liidu ja selle liikmesriikide ning teiselt poolt Colombia ja Peruu vahelise kaubanduslepingu Euroopa Liidu nimel allkirjastamise ja selle ajutise kohaldamise kohta (ELT L 354, 21.12.2012, lk 1).</w:t>
      </w:r>
    </w:p>
  </w:footnote>
  <w:footnote w:id="8">
    <w:p>
      <w:pPr>
        <w:pStyle w:val="FootnoteText"/>
      </w:pPr>
      <w:r>
        <w:rPr>
          <w:rStyle w:val="FootnoteReference"/>
        </w:rPr>
        <w:footnoteRef/>
      </w:r>
      <w:r>
        <w:tab/>
        <w:t>ELT L 356, 24.12.2016, lk 3.</w:t>
      </w:r>
    </w:p>
  </w:footnote>
  <w:footnote w:id="9">
    <w:p>
      <w:pPr>
        <w:pStyle w:val="FootnoteText"/>
      </w:pPr>
      <w:r>
        <w:rPr>
          <w:rStyle w:val="FootnoteReference"/>
        </w:rPr>
        <w:footnoteRef/>
      </w:r>
      <w:r>
        <w:tab/>
        <w:t>Nõukogu 11. novembri 2016. aasta otsus (EL) 2016/2369 ühelt poolt Euroopa Liidu ja selle liikmesriikide ning teiselt poolt Colombia ja Peruu vahelisele kaubanduslepingule Ecuadori kõnealuse lepinguga ühinemise arvesse võtmiseks lisatud ühinemisprotokolli liidu nimel allkirjastamise ja selle ajutise kohaldamise kohta (ELT L 356, 24.12.2016,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B840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8C77C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B654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1DE2F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CAE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0048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22DC68"/>
    <w:lvl w:ilvl="0">
      <w:start w:val="1"/>
      <w:numFmt w:val="decimal"/>
      <w:pStyle w:val="ListNumber"/>
      <w:lvlText w:val="%1."/>
      <w:lvlJc w:val="left"/>
      <w:pPr>
        <w:tabs>
          <w:tab w:val="num" w:pos="360"/>
        </w:tabs>
        <w:ind w:left="360" w:hanging="360"/>
      </w:pPr>
    </w:lvl>
  </w:abstractNum>
  <w:abstractNum w:abstractNumId="7">
    <w:nsid w:val="FFFFFF89"/>
    <w:multiLevelType w:val="singleLevel"/>
    <w:tmpl w:val="C6DC66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4"/>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30 11:15: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61D864-2580-4B95-A981-0F4B4B5A0EEC"/>
    <w:docVar w:name="LW_COVERPAGE_TYPE" w:val="1"/>
    <w:docVar w:name="LW_CROSSREFERENCE" w:val="&lt;UNUSED&gt;"/>
    <w:docVar w:name="LW_DocType" w:val="COM"/>
    <w:docVar w:name="LW_EMISSION" w:val="12.4.2021"/>
    <w:docVar w:name="LW_EMISSION_ISODATE" w:val="2021-04-12"/>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92"/>
    <w:docVar w:name="LW_REF.II.NEW.CP_YEAR" w:val="2021"/>
    <w:docVar w:name="LW_REF.INST.NEW" w:val="COM"/>
    <w:docVar w:name="LW_REF.INST.NEW_ADOPTED" w:val="final"/>
    <w:docVar w:name="LW_REF.INST.NEW_TEXT" w:val="(2021)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seisukoha kohta, mis võetakse Euroopa Liidu nimel ühelt poolt Euroopa Liidu ja selle liikmesriikide ning teiselt poolt Colombia, Peruu ja Ecuadori vahelise kaubanduslepingu kohases kaubanduskomitees seoses kaubanduskomitee otsuste nr 1/2014, nr 2/2014, nr 3/2014, nr 4/2014 ja nr 5/2014 muutmisega, et võtta arvesse Ecuadori ühinemist kaubanduslepinguga ning ajakohastada vahekohtunike ja kaubanduse ja säästva arengu valdkonna ekspertide nimekirju"/>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ListBullet4">
    <w:name w:val="List Bullet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ListBullet4">
    <w:name w:val="List Bullet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F2E1-656E-4BF8-B49A-55DBA9CD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1385</Words>
  <Characters>9923</Characters>
  <Application>Microsoft Office Word</Application>
  <DocSecurity>0</DocSecurity>
  <Lines>174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2021-03-24T20:24:00Z</dcterms:created>
  <dcterms:modified xsi:type="dcterms:W3CDTF">2021-03-30T09:15:00Z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