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645755E-EC13-48EA-9367-D698B335262F" style="width:450.4pt;height:438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NÁVRH</w:t>
      </w:r>
    </w:p>
    <w:p>
      <w:pPr>
        <w:jc w:val="center"/>
        <w:rPr>
          <w:rFonts w:eastAsia="Calibri"/>
          <w:noProof/>
          <w:color w:val="000000"/>
          <w:szCs w:val="24"/>
        </w:rPr>
      </w:pPr>
      <w:r>
        <w:rPr>
          <w:b/>
          <w:noProof/>
        </w:rPr>
        <w:t xml:space="preserve">ROZHODNUTÍ </w:t>
      </w:r>
      <w:r>
        <w:rPr>
          <w:b/>
          <w:bCs/>
          <w:noProof/>
          <w:color w:val="000000"/>
          <w:szCs w:val="24"/>
        </w:rPr>
        <w:t>VÝBORU PRO OBCHOD EU-KOLUMBIE-PERU-EKVÁDOR Č. 2/2021</w:t>
      </w:r>
    </w:p>
    <w:p>
      <w:pPr>
        <w:spacing w:before="0" w:after="160" w:line="259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>ze dne XXX,</w:t>
      </w:r>
    </w:p>
    <w:p>
      <w:pPr>
        <w:spacing w:before="0" w:after="160" w:line="259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kterým se mění rozhodnutí č. 1/2014, č. 2/2014, č. 3/2014, č. 4/2014 a č. 5/2014 s ohledem na přistoupení Ekvádoru k Obchodní dohodě mezi Evropskou unií a jejími členskými státy na jedné straně a Kolumbií, Peru a Ekvádorem na straně druhé a za účelem aktualizace seznamů rozhodců a odborníků v oblasti obchodu a udržitelného rozvoje </w:t>
      </w:r>
    </w:p>
    <w:p>
      <w:pPr>
        <w:rPr>
          <w:noProof/>
          <w:szCs w:val="24"/>
        </w:rPr>
      </w:pPr>
      <w:r>
        <w:rPr>
          <w:noProof/>
        </w:rPr>
        <w:t xml:space="preserve">VÝBOR PRO OBCHOD, </w:t>
      </w:r>
    </w:p>
    <w:p>
      <w:pPr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s ohledem na Obchodní dohodu mezi Evropskou unií a jejími členskými státy na jedné straně a Kolumbií, Ekvádorem a Peru na straně druhé (dále jen „obchodní dohoda“), a zejména na článek 13 uvedené dohody, 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vzhledem k těmto důvodům: 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V souladu s čl. 13 odst. 2 písm. g) bodem vi) dohody může Výbor pro obchod pokročit v dosahování cílů dohody prostřednictvím v ní stanovených změn jiných ustanovení s výhradou změn provedených Výborem pro obchod podle výslovného ustanovení dohody. Podle čl. 13 odst. 5 dohody může Výbor pro obchod při výkonu některé z funkcí stanovených v uvedeném článku přijmout jakékoli rozhodnutí podle dohody.</w:t>
      </w:r>
    </w:p>
    <w:p>
      <w:pPr>
        <w:pStyle w:val="Considrant"/>
        <w:rPr>
          <w:noProof/>
        </w:rPr>
      </w:pPr>
      <w:r>
        <w:rPr>
          <w:noProof/>
        </w:rPr>
        <w:t>Rozhodnutí č. 1/2014 stanovilo přijetí jeho jednacího řádu podle čl. 13 odst. 1 písm. j) dohody.</w:t>
      </w:r>
    </w:p>
    <w:p>
      <w:pPr>
        <w:pStyle w:val="Considrant"/>
        <w:rPr>
          <w:noProof/>
        </w:rPr>
      </w:pPr>
      <w:r>
        <w:rPr>
          <w:noProof/>
        </w:rPr>
        <w:t>Rozhodnutí č. 2/2014 stanovilo přijetí jednacího řádu a kodexu chování rozhodců podle čl. 13 odst. 1 písm. h) a článku 315 dohody.</w:t>
      </w:r>
    </w:p>
    <w:p>
      <w:pPr>
        <w:pStyle w:val="Considrant"/>
        <w:rPr>
          <w:noProof/>
        </w:rPr>
      </w:pPr>
      <w:r>
        <w:rPr>
          <w:noProof/>
        </w:rPr>
        <w:t>Rozhodnutí č. 3/2014 stanovilo sestavení seznamů rozhodců podle čl. 304 odst. 1 a 4 dohody.</w:t>
      </w:r>
    </w:p>
    <w:p>
      <w:pPr>
        <w:pStyle w:val="Considrant"/>
        <w:rPr>
          <w:noProof/>
        </w:rPr>
      </w:pPr>
      <w:r>
        <w:rPr>
          <w:noProof/>
        </w:rPr>
        <w:t>Rozhodnutí č. 4/2014 stanovilo přijetí jednacího řádu odborné skupiny pro obchod a udržitelný rozvoj podle čl. 284 odst. 6 dohody.</w:t>
      </w:r>
    </w:p>
    <w:p>
      <w:pPr>
        <w:pStyle w:val="Considrant"/>
        <w:rPr>
          <w:noProof/>
        </w:rPr>
      </w:pPr>
      <w:r>
        <w:rPr>
          <w:noProof/>
        </w:rPr>
        <w:t xml:space="preserve">Rozhodnutí č. 5/2014 stanovilo zřízení odborné skupiny pro otázky, na něž se vztahuje hlava o obchodu a udržitelném rozvoji, podle čl. 284 odst. 3 dohody. </w:t>
      </w:r>
    </w:p>
    <w:p>
      <w:pPr>
        <w:pStyle w:val="Considrant"/>
        <w:rPr>
          <w:noProof/>
        </w:rPr>
      </w:pPr>
      <w:r>
        <w:rPr>
          <w:noProof/>
        </w:rPr>
        <w:t>Aby se zohlednilo přistoupení Ekvádoru k obchodní dohodě a potřeba aktualizovat seznamy rozhodců a odborníků v oblasti obchodu a udržitelného rozvoje, měla by být rozhodnutí Výboru pro obchod č. 1/2014, č. 2/2014, č. 3/2014, č. 4/2014 a č. 5/2014 odpovídajícím způsobem změněna,</w:t>
      </w:r>
    </w:p>
    <w:p>
      <w:pPr>
        <w:spacing w:before="0" w:after="160" w:line="259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Příloha rozhodnutí Výboru pro obchod EU-Kolumbie-Peru č. 1/2014 ze dne 16. května 2014 o přijetí jednacího řádu uvedeného v čl. 13 odst. 1 písm. j) Obchodní dohody mezi Evropskou unií a jejími členskými státy na jedné straně a Kolumbií a Peru na straně druhé [2015/1045] se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Článek 1 se mění takto:</w:t>
      </w:r>
    </w:p>
    <w:p>
      <w:pPr>
        <w:pStyle w:val="Point1"/>
        <w:rPr>
          <w:noProof/>
        </w:rPr>
      </w:pPr>
      <w:r>
        <w:rPr>
          <w:noProof/>
        </w:rPr>
        <w:t xml:space="preserve">a) </w:t>
      </w:r>
      <w:r>
        <w:rPr>
          <w:noProof/>
          <w:color w:val="000000"/>
          <w:szCs w:val="24"/>
        </w:rPr>
        <w:t>odstavec</w:t>
      </w:r>
      <w:r>
        <w:rPr>
          <w:noProof/>
        </w:rPr>
        <w:t xml:space="preserve"> 1 se nahrazuje tímto: </w:t>
      </w:r>
    </w:p>
    <w:p>
      <w:pPr>
        <w:pStyle w:val="Text1"/>
        <w:rPr>
          <w:noProof/>
        </w:rPr>
      </w:pPr>
      <w:r>
        <w:rPr>
          <w:noProof/>
        </w:rPr>
        <w:lastRenderedPageBreak/>
        <w:t>„1. Výbor pro obchod, zřízený podle článku 12 Obchodní dohody mezi Evropskou unií a jejími členskými státy na jedné straně a Kolumbií, Peru a Ekvádorem na straně druhé (dále jen „dohoda“), plní své povinnosti stanovené v článku 12 dohody a nese odpovědnost za její fungování a správné uplatňování.“,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b) odstavec 3 se nahrazuje tímto:</w:t>
      </w:r>
    </w:p>
    <w:p>
      <w:pPr>
        <w:pStyle w:val="Text1"/>
        <w:rPr>
          <w:noProof/>
        </w:rPr>
      </w:pPr>
      <w:r>
        <w:rPr>
          <w:noProof/>
        </w:rPr>
        <w:t>„3. Výboru pro obchod předsedá vždy jeden rok střídavě ministr obchodu, průmyslu a cestovního ruchu Kolumbie, ministr zahraničních věcí a cestovního ruchu Peru, ministr výroby, zahraničního obchodu, investic a rybolovu Ekvádoru nebo člen Evropské komise odpovědný za obchod. První období začíná datem prvního zasedání Výboru pro obchod a končí dne 31. prosince téhož roku. Předseda se může nechat zastupovat osobami k tomu zmocněnými, jak stanoví čl. 12 odst. 2 dohody.“;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2)</w:t>
      </w:r>
      <w:r>
        <w:rPr>
          <w:noProof/>
        </w:rPr>
        <w:tab/>
      </w:r>
      <w:r>
        <w:rPr>
          <w:noProof/>
          <w:color w:val="000000"/>
          <w:szCs w:val="24"/>
        </w:rPr>
        <w:t xml:space="preserve">v článku 3 se odstavec 1 nahrazuje tímto: </w:t>
      </w:r>
    </w:p>
    <w:p>
      <w:pPr>
        <w:pStyle w:val="Text1"/>
        <w:rPr>
          <w:noProof/>
        </w:rPr>
      </w:pPr>
      <w:r>
        <w:rPr>
          <w:noProof/>
        </w:rPr>
        <w:t>„1. Výbor pro obchod zasedá jednou za rok nebo na žádost kterékoli ze stran, jak je stanoveno v čl. 12 odst. 2 dohody. Zasedání se konají střídavě v Bogotě, Bruselu, Limě a Quitu, pokud se strany nedohodnou jinak.</w:t>
      </w:r>
    </w:p>
    <w:p>
      <w:pPr>
        <w:pStyle w:val="Titrearticle"/>
        <w:rPr>
          <w:rFonts w:eastAsia="Calibri"/>
          <w:noProof/>
          <w:color w:val="000000"/>
          <w:szCs w:val="24"/>
        </w:rPr>
      </w:pPr>
      <w:r>
        <w:rPr>
          <w:noProof/>
        </w:rPr>
        <w:t>Článek 2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Příloha rozhodnutí Výboru pro obchod EU-Kolumbie-Peru č. 2/2014 ze dne 16. května 2014 o přijetí jednacího řádu a kodexu chování rozhodců, uvedených v čl. 13 odst. 1 písm. h) a článku 315 Obchodní dohody mezi Evropskou unií a jejími členskými státy na jedné straně a Kolumbií a Peru na straně druhé [2015/1046], se mění takto: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1)</w:t>
      </w:r>
      <w:r>
        <w:rPr>
          <w:noProof/>
        </w:rPr>
        <w:tab/>
      </w:r>
      <w:r>
        <w:rPr>
          <w:noProof/>
          <w:color w:val="000000"/>
          <w:szCs w:val="24"/>
        </w:rPr>
        <w:t xml:space="preserve">v pravidle 1 se písmeno a) nahrazuje tímto: 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„a) „dohodou“ obchodní dohoda mezi Kolumbií a Peru na jedné straně a Evropskou unií a jejími členskými státy na straně druhé, podepsaná v Bruselu dne 26. června 2012, ve znění protokolu o přistoupení Ekvádoru k dohodě, podepsaného dne 11. listopadu 2016;“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2)</w:t>
      </w:r>
      <w:r>
        <w:rPr>
          <w:noProof/>
        </w:rPr>
        <w:tab/>
      </w:r>
      <w:r>
        <w:rPr>
          <w:noProof/>
          <w:color w:val="000000"/>
          <w:szCs w:val="24"/>
        </w:rPr>
        <w:t xml:space="preserve">Pravidlo 7 se nahrazuje tímto: 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„7. Pokud poslední den pro doručení dokumentu připadne na den pracovního klidu v Kolumbii, Peru, Ekvádoru nebo Evropské unii, může být dokument doručen v následující pracovní den.“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3)</w:t>
      </w:r>
      <w:r>
        <w:rPr>
          <w:noProof/>
        </w:rPr>
        <w:tab/>
      </w:r>
      <w:r>
        <w:rPr>
          <w:noProof/>
          <w:color w:val="000000"/>
          <w:szCs w:val="24"/>
        </w:rPr>
        <w:t>Pravidlo 33 se nahrazuje tímto: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„33. Nedohodnou-li se strany sporu jinak, koná se slyšení v Bruselu, je-li žalující stranou Kolumbie, Peru nebo Ekvádor, a v Bogotě, Limě nebo Quitu, podle daného případu, je-li žalující stranou EU.“</w:t>
      </w:r>
    </w:p>
    <w:p>
      <w:pPr>
        <w:pStyle w:val="Titrearticle"/>
        <w:rPr>
          <w:rFonts w:eastAsia="Calibri"/>
          <w:noProof/>
          <w:color w:val="000000"/>
          <w:szCs w:val="24"/>
        </w:rPr>
      </w:pPr>
      <w:r>
        <w:rPr>
          <w:noProof/>
        </w:rPr>
        <w:t>Článek 3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Příloha rozhodnutí Výboru pro obchod EU-Kolumbie-Peru č. 3/2014 ze dne 16. května 2014, sestavení seznamu rozhodců, uvedeného v čl. 304 odst. 1 a 4 obchodní dohody mezi Evropskou unií a jejími členskými státy na jedné straně a Kolumbií a Peru na straně druhé [2015/1047], se mění takto: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1)</w:t>
      </w:r>
      <w:r>
        <w:rPr>
          <w:noProof/>
        </w:rPr>
        <w:tab/>
      </w:r>
      <w:r>
        <w:rPr>
          <w:noProof/>
          <w:color w:val="000000"/>
          <w:szCs w:val="24"/>
        </w:rPr>
        <w:t>„seznam rozhodců uvedený v čl. 304 odst. 1 dohody“ se mění takto: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 xml:space="preserve">a) v seznamu „rozhodci navržení Kolumbií“ se body 2 a 3 nahrazují tímto: </w:t>
      </w:r>
    </w:p>
    <w:p>
      <w:pPr>
        <w:pStyle w:val="Point1"/>
        <w:rPr>
          <w:noProof/>
        </w:rPr>
      </w:pPr>
      <w:r>
        <w:rPr>
          <w:noProof/>
        </w:rPr>
        <w:t>„2.</w:t>
      </w:r>
      <w:r>
        <w:rPr>
          <w:noProof/>
        </w:rPr>
        <w:tab/>
        <w:t>Javier Gamboa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Claudia Orozco“,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>b) mezi seznam „Rozhodci navržení Kolumbií“ a seznam „Rozhodci navržení EU“ se vkládá tento seznam:</w:t>
      </w:r>
    </w:p>
    <w:p>
      <w:pPr>
        <w:pStyle w:val="Text1"/>
        <w:rPr>
          <w:noProof/>
        </w:rPr>
      </w:pPr>
      <w:r>
        <w:rPr>
          <w:noProof/>
        </w:rPr>
        <w:t>„Rozhodci navržení Ekvádorem“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1.</w:t>
      </w:r>
      <w:r>
        <w:rPr>
          <w:noProof/>
        </w:rPr>
        <w:tab/>
        <w:t xml:space="preserve">Hugo Perezcano Díaz 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Alejandro Sánchez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Carlos Vejar 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Alan Yanovich 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</w:rPr>
        <w:t>5.</w:t>
      </w:r>
      <w:r>
        <w:rPr>
          <w:noProof/>
        </w:rPr>
        <w:tab/>
        <w:t>Andrés</w:t>
      </w:r>
      <w:r>
        <w:rPr>
          <w:noProof/>
          <w:color w:val="000000"/>
          <w:szCs w:val="24"/>
        </w:rPr>
        <w:t xml:space="preserve"> Jana“,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 xml:space="preserve">c) v seznamu „Rozhodci navržení Peru“ se body 4 a 5 nahrazují tímto: 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„4.</w:t>
      </w:r>
      <w:r>
        <w:rPr>
          <w:noProof/>
        </w:rPr>
        <w:tab/>
        <w:t>Victor Saco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</w:rPr>
        <w:t>5.</w:t>
      </w:r>
      <w:r>
        <w:rPr>
          <w:noProof/>
        </w:rPr>
        <w:tab/>
        <w:t>J</w:t>
      </w:r>
      <w:r>
        <w:rPr>
          <w:noProof/>
          <w:color w:val="000000"/>
          <w:szCs w:val="24"/>
        </w:rPr>
        <w:t>avier Hernando Illescas Mucha“,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>d) v seznamu „předsedů“ se bod 2 nahrazuje tímto: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„2.</w:t>
      </w:r>
      <w:r>
        <w:rPr>
          <w:noProof/>
        </w:rPr>
        <w:tab/>
      </w:r>
      <w:r>
        <w:rPr>
          <w:noProof/>
          <w:color w:val="000000"/>
          <w:szCs w:val="24"/>
        </w:rPr>
        <w:t xml:space="preserve">Pedro </w:t>
      </w:r>
      <w:r>
        <w:rPr>
          <w:noProof/>
        </w:rPr>
        <w:t>Negueloaetcheverry (Ekvádor)“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2)</w:t>
      </w:r>
      <w:r>
        <w:rPr>
          <w:noProof/>
        </w:rPr>
        <w:tab/>
      </w:r>
      <w:r>
        <w:rPr>
          <w:noProof/>
          <w:color w:val="000000"/>
          <w:szCs w:val="24"/>
        </w:rPr>
        <w:t>Další seznam rozhodců, kteří mají odborné znalosti v oborech, na něž se vztahuje tato dohoda (čl. 304 odst. 4), se mění takto: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>a) pod nadpis „Odborníci v oblasti obchodu zbožím“ se mezi seznam „Rozhodci navržení Kolumbií“ a seznam „Rozhodci navržení EU“ vkládá tento seznam:</w:t>
      </w:r>
    </w:p>
    <w:p>
      <w:pPr>
        <w:pStyle w:val="Text1"/>
        <w:rPr>
          <w:rFonts w:eastAsia="Calibri"/>
          <w:noProof/>
          <w:color w:val="000000"/>
          <w:szCs w:val="24"/>
        </w:rPr>
      </w:pPr>
      <w:r>
        <w:rPr>
          <w:noProof/>
        </w:rPr>
        <w:t>„Rozhodci navržení Ekvádorem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1.</w:t>
      </w:r>
      <w:r>
        <w:rPr>
          <w:noProof/>
        </w:rPr>
        <w:tab/>
        <w:t xml:space="preserve">Pablo Bentes 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Jan Bohanes 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</w:rPr>
        <w:t>3.</w:t>
      </w:r>
      <w:r>
        <w:rPr>
          <w:noProof/>
        </w:rPr>
        <w:tab/>
        <w:t>Sofía</w:t>
      </w:r>
      <w:r>
        <w:rPr>
          <w:noProof/>
          <w:color w:val="000000"/>
          <w:szCs w:val="24"/>
        </w:rPr>
        <w:t xml:space="preserve"> Bonilla“,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>b) pod nadpis „Odborníci v oblastech obchodu službami, usazování, hospodářské soutěže, práv duševního vlastnictví nebo veřejných zakázek“ se mezi seznam „Rozhodci navržení Kolumbií“ a seznam „Rozhodci navržení EU“ vkládá tento seznam:</w:t>
      </w:r>
    </w:p>
    <w:p>
      <w:pPr>
        <w:pStyle w:val="Text1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„Rozhodci navržení Ekvádorem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1.</w:t>
      </w:r>
      <w:r>
        <w:rPr>
          <w:noProof/>
        </w:rPr>
        <w:tab/>
        <w:t xml:space="preserve">Gustavo Guerra 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Alfredo Corral 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</w:rPr>
        <w:t>3.</w:t>
      </w:r>
      <w:r>
        <w:rPr>
          <w:noProof/>
        </w:rPr>
        <w:tab/>
        <w:t>Genaro</w:t>
      </w:r>
      <w:r>
        <w:rPr>
          <w:noProof/>
          <w:color w:val="000000"/>
          <w:szCs w:val="24"/>
        </w:rPr>
        <w:t xml:space="preserve"> Eguiguren“,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</w:rPr>
        <w:tab/>
      </w:r>
      <w:r>
        <w:rPr>
          <w:noProof/>
          <w:color w:val="000000"/>
          <w:szCs w:val="24"/>
        </w:rPr>
        <w:t>c) v oddíle „Odborníci v oblastech obchodu službami, usazování, hospodářské soutěže, práv duševního vlastnictví nebo veřejných zakázek“ se v seznamu předsedů bod 2 nahrazuje tímto: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„2.</w:t>
      </w:r>
      <w:r>
        <w:rPr>
          <w:noProof/>
        </w:rPr>
        <w:tab/>
        <w:t>Tania</w:t>
      </w:r>
      <w:r>
        <w:rPr>
          <w:noProof/>
          <w:color w:val="000000"/>
          <w:szCs w:val="24"/>
        </w:rPr>
        <w:t xml:space="preserve"> Voon“ </w:t>
      </w:r>
    </w:p>
    <w:p>
      <w:pPr>
        <w:pStyle w:val="Titrearticle"/>
        <w:rPr>
          <w:rFonts w:eastAsia="Calibri"/>
          <w:noProof/>
          <w:color w:val="000000"/>
          <w:szCs w:val="24"/>
        </w:rPr>
      </w:pPr>
      <w:r>
        <w:rPr>
          <w:noProof/>
        </w:rPr>
        <w:t>Článek 4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Příloha</w:t>
      </w:r>
      <w:r>
        <w:rPr>
          <w:noProof/>
        </w:rPr>
        <w:t xml:space="preserve"> rozhodnutí Výboru pro obchod EU-Kolumbie-Peru č. 4/2014 ze dne 16. května 2014 o přijetí jednacího řádu odborné komise pro obchod a udržitelný rozvoj uvedeného v čl. 284 odst. 6 obchodní dohody mezi Evropskou unií a jejími členskými státy na jedné straně a Kolumbií a Peru na straně druhé [2015/1048] </w:t>
      </w:r>
      <w:r>
        <w:rPr>
          <w:noProof/>
          <w:color w:val="000000"/>
          <w:szCs w:val="24"/>
        </w:rPr>
        <w:t>se mění takto:</w:t>
      </w:r>
    </w:p>
    <w:p>
      <w:pPr>
        <w:pStyle w:val="Point0"/>
        <w:rPr>
          <w:noProof/>
        </w:rPr>
      </w:pPr>
      <w:r>
        <w:rPr>
          <w:noProof/>
        </w:rPr>
        <w:t>1) v pravidle 1 se písmeno a) nahrazuje tímto:</w:t>
      </w:r>
    </w:p>
    <w:p>
      <w:pPr>
        <w:pStyle w:val="Point1"/>
        <w:rPr>
          <w:noProof/>
        </w:rPr>
      </w:pPr>
      <w:r>
        <w:rPr>
          <w:noProof/>
        </w:rPr>
        <w:t>„a)</w:t>
      </w:r>
      <w:r>
        <w:rPr>
          <w:noProof/>
        </w:rPr>
        <w:tab/>
        <w:t>„dohodou“ obchodní dohoda mezi Kolumbií a Peru na jedné straně a Evropskou unií a jejími členskými státy na straně druhé, podepsaná dne 26. června 2012, ve znění protokolu o přistoupení Ekvádoru k dohodě, podepsaného dne 11. listopadu 2016;“</w:t>
      </w:r>
    </w:p>
    <w:p>
      <w:pPr>
        <w:pStyle w:val="Titrearticle"/>
        <w:rPr>
          <w:rFonts w:eastAsia="Calibri"/>
          <w:noProof/>
          <w:color w:val="000000"/>
          <w:szCs w:val="24"/>
        </w:rPr>
      </w:pPr>
      <w:r>
        <w:rPr>
          <w:noProof/>
        </w:rPr>
        <w:t>Článek 5</w:t>
      </w:r>
    </w:p>
    <w:p>
      <w:pPr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Příloha</w:t>
      </w:r>
      <w:r>
        <w:rPr>
          <w:noProof/>
        </w:rPr>
        <w:t xml:space="preserve"> rozhodnutí Výboru pro obchod EU-Kolumbie-Peru č. 5/2014 ze dne 16. května 2014 o zřízení skupiny odborníků pro otázky, na něž se vztahuje hlava o obchodu a udržitelném rozvoji, uvedené v čl. 284 odst. 3 obchodní dohody mezi Evropskou unií a jejími členskými státy na jedné straně a Kolumbií a Peru na straně druhé [2015/1049], </w:t>
      </w:r>
      <w:r>
        <w:rPr>
          <w:noProof/>
          <w:color w:val="000000"/>
          <w:szCs w:val="24"/>
        </w:rPr>
        <w:t>se mění takto: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1)</w:t>
      </w:r>
      <w:r>
        <w:rPr>
          <w:noProof/>
        </w:rPr>
        <w:tab/>
        <w:t>v „Seznamu odborníků“ se doplňují nové body 13, 14, 15 a 16, které znějí:</w:t>
      </w:r>
    </w:p>
    <w:p>
      <w:pPr>
        <w:pStyle w:val="Point1"/>
        <w:rPr>
          <w:noProof/>
        </w:rPr>
      </w:pPr>
      <w:r>
        <w:rPr>
          <w:noProof/>
        </w:rPr>
        <w:t>„13.</w:t>
      </w:r>
      <w:r>
        <w:rPr>
          <w:noProof/>
        </w:rPr>
        <w:tab/>
        <w:t xml:space="preserve">María Amparo Albán </w:t>
      </w:r>
    </w:p>
    <w:p>
      <w:pPr>
        <w:pStyle w:val="Point1"/>
        <w:rPr>
          <w:noProof/>
        </w:rPr>
      </w:pPr>
      <w:r>
        <w:rPr>
          <w:noProof/>
        </w:rPr>
        <w:t>14.</w:t>
      </w:r>
      <w:r>
        <w:rPr>
          <w:noProof/>
        </w:rPr>
        <w:tab/>
        <w:t xml:space="preserve">Alice Tipping </w:t>
      </w:r>
    </w:p>
    <w:p>
      <w:pPr>
        <w:pStyle w:val="Point1"/>
        <w:rPr>
          <w:noProof/>
        </w:rPr>
      </w:pPr>
      <w:r>
        <w:rPr>
          <w:noProof/>
        </w:rPr>
        <w:t>15.</w:t>
      </w:r>
      <w:r>
        <w:rPr>
          <w:noProof/>
        </w:rPr>
        <w:tab/>
        <w:t>Leopoldo González</w:t>
      </w:r>
    </w:p>
    <w:p>
      <w:pPr>
        <w:pStyle w:val="Point1"/>
        <w:rPr>
          <w:noProof/>
        </w:rPr>
      </w:pPr>
      <w:r>
        <w:rPr>
          <w:noProof/>
        </w:rPr>
        <w:t>16.</w:t>
      </w:r>
      <w:r>
        <w:rPr>
          <w:noProof/>
        </w:rPr>
        <w:tab/>
        <w:t>Fabián Jaramillo“;</w:t>
      </w:r>
    </w:p>
    <w:p>
      <w:pPr>
        <w:pStyle w:val="Point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2)</w:t>
      </w:r>
      <w:r>
        <w:rPr>
          <w:noProof/>
        </w:rPr>
        <w:tab/>
        <w:t>v seznamu „předsedů“ se doplňují nové body 7 a 8, které znějí:</w:t>
      </w:r>
    </w:p>
    <w:p>
      <w:pPr>
        <w:pStyle w:val="Point1"/>
        <w:rPr>
          <w:noProof/>
        </w:rPr>
      </w:pPr>
      <w:r>
        <w:rPr>
          <w:noProof/>
          <w:color w:val="000000"/>
          <w:szCs w:val="24"/>
        </w:rPr>
        <w:t>„7.</w:t>
      </w:r>
      <w:r>
        <w:rPr>
          <w:noProof/>
        </w:rPr>
        <w:tab/>
        <w:t xml:space="preserve">Jacob Olander </w:t>
      </w:r>
    </w:p>
    <w:p>
      <w:pPr>
        <w:pStyle w:val="Point1"/>
        <w:rPr>
          <w:rFonts w:eastAsia="Calibri"/>
          <w:noProof/>
          <w:color w:val="000000"/>
          <w:szCs w:val="24"/>
        </w:rPr>
      </w:pPr>
      <w:r>
        <w:rPr>
          <w:noProof/>
        </w:rPr>
        <w:t>8.</w:t>
      </w:r>
      <w:r>
        <w:rPr>
          <w:noProof/>
        </w:rPr>
        <w:tab/>
        <w:t>Mar</w:t>
      </w:r>
      <w:r>
        <w:rPr>
          <w:noProof/>
          <w:color w:val="000000"/>
          <w:szCs w:val="24"/>
        </w:rPr>
        <w:t>tín Padulla“.</w:t>
      </w:r>
    </w:p>
    <w:p>
      <w:pPr>
        <w:pStyle w:val="Titrearticle"/>
        <w:rPr>
          <w:rFonts w:eastAsia="Calibri"/>
          <w:noProof/>
          <w:color w:val="000000"/>
          <w:szCs w:val="24"/>
        </w:rPr>
      </w:pPr>
      <w:r>
        <w:rPr>
          <w:noProof/>
        </w:rPr>
        <w:t>Článek 6</w:t>
      </w:r>
    </w:p>
    <w:p>
      <w:pPr>
        <w:spacing w:before="0" w:after="240" w:line="259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Toto rozhodnutí vstupuje v platnost dne […].</w:t>
      </w:r>
    </w:p>
    <w:p>
      <w:pPr>
        <w:spacing w:before="0" w:after="24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Toto rozhodnutí se vyhotoví v úředních jazycích stran dohody, přičemž všechna znění mají stejnou platnost.</w:t>
      </w:r>
    </w:p>
    <w:p>
      <w:pPr>
        <w:spacing w:before="0" w:after="160" w:line="259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V […] dne […].</w:t>
      </w:r>
    </w:p>
    <w:p>
      <w:pPr>
        <w:spacing w:before="0" w:after="160" w:line="259" w:lineRule="auto"/>
        <w:jc w:val="center"/>
        <w:rPr>
          <w:noProof/>
        </w:rPr>
      </w:pPr>
      <w:r>
        <w:rPr>
          <w:i/>
          <w:noProof/>
          <w:color w:val="000000"/>
          <w:szCs w:val="24"/>
        </w:rPr>
        <w:t>Za Výbor pro obchod</w:t>
      </w:r>
      <w:r>
        <w:rPr>
          <w:noProof/>
        </w:rPr>
        <w:t xml:space="preserve">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CE8D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226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B5239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1206F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D028C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80ED3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D9A9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C78A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30 11:16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645755E-EC13-48EA-9367-D698B335262F"/>
    <w:docVar w:name="LW_COVERPAGE_TYPE" w:val="1"/>
    <w:docVar w:name="LW_CROSSREFERENCE" w:val="&lt;UNUSED&gt;"/>
    <w:docVar w:name="LW_DocType" w:val="ANNEX"/>
    <w:docVar w:name="LW_EMISSION" w:val="12.4.2021"/>
    <w:docVar w:name="LW_EMISSION_ISODATE" w:val="2021-04-12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zaujat jménem Evropské unie ve Výboru pro obchod Obchodní dohody mezi Evropskou unií a jejími \u269?lenskými státy na jedné stran\u283? a Kolumbií, Peru a Ekvádorem na stran\u283? druhé, pokud jde o zm\u283?ny rozhodnutí Výboru pro obchod \u269?. 1/2014, \u269?. 2/2014, \u269?. 3/2014, \u269?. 4/2014 a \u269?. 5/2014 s ohledem na p\u345?istoupení Ekvádoru k obchodní dohod\u283? a aktualizaci seznam\u367? rozhodc\u367? a odborník\u367? v oblasti obchodu a udr\u382?itelného rozvoje"/>
    <w:docVar w:name="LW_OBJETACTEPRINCIPAL.CP" w:val="o postoji, který má být zaujat jménem Evropské unie ve Výboru pro obchod Obchodní dohody mezi Evropskou unií a jejími \u269?lenskými státy na jedné stran\u283? a Kolumbií, Peru a Ekvádorem na stran\u283? druhé, pokud jde o zm\u283?ny rozhodnutí Výboru pro obchod \u269?. 1/2014, \u269?. 2/2014, \u269?. 3/2014, \u269?. 4/2014 a \u269?. 5/2014 s ohledem na p\u345?istoupení Ekvádoru k obchodní dohod\u283? a aktualizaci seznam\u367? rozhodc\u367? a odborník\u367? v oblasti obchodu a udr\u382?itelného rozvoje"/>
    <w:docVar w:name="LW_PART_NBR" w:val="1"/>
    <w:docVar w:name="LW_PART_NBR_TOTAL" w:val="1"/>
    <w:docVar w:name="LW_REF.INST.NEW" w:val="COM"/>
    <w:docVar w:name="LW_REF.INST.NEW_ADOPTED" w:val="final"/>
    <w:docVar w:name="LW_REF.INST.NEW_TEXT" w:val="(2021) 1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042A-6FFC-4317-9618-B956AECF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1250</Words>
  <Characters>6502</Characters>
  <Application>Microsoft Office Word</Application>
  <DocSecurity>0</DocSecurity>
  <Lines>147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2021-03-25T14:39:00Z</dcterms:created>
  <dcterms:modified xsi:type="dcterms:W3CDTF">2021-03-30T09:16:00Z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