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749B6FC-6233-4BAA-BCE3-46BE13CB1D8F" style="width:451pt;height:347.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hAnsi="Times New Roman"/>
          <w:b/>
          <w:noProof/>
          <w:sz w:val="24"/>
        </w:rPr>
      </w:pPr>
      <w:bookmarkStart w:id="1" w:name="_GoBack"/>
      <w:bookmarkEnd w:id="1"/>
      <w:r>
        <w:rPr>
          <w:rFonts w:ascii="Times New Roman" w:hAnsi="Times New Roman"/>
          <w:b/>
          <w:noProof/>
          <w:sz w:val="24"/>
        </w:rPr>
        <w:lastRenderedPageBreak/>
        <w:t>ΕΚΘΕΣΗ ΤΗΣ ΕΠΙΤΡΟΠΗΣ ΠΡΟΣ ΤΟ ΕΥΡΩΠΑΪΚΟ ΚΟΙΝΟΒΟΥΛΙΟ ΚΑΙ ΤΟ ΣΥΜΒΟΥΛΙΟ</w:t>
      </w:r>
    </w:p>
    <w:p>
      <w:pPr>
        <w:spacing w:before="360" w:after="360" w:line="240" w:lineRule="auto"/>
        <w:jc w:val="center"/>
        <w:rPr>
          <w:rFonts w:ascii="Times New Roman" w:hAnsi="Times New Roman"/>
          <w:b/>
          <w:noProof/>
          <w:sz w:val="24"/>
        </w:rPr>
      </w:pPr>
      <w:r>
        <w:rPr>
          <w:rFonts w:ascii="Times New Roman" w:hAnsi="Times New Roman"/>
          <w:b/>
          <w:noProof/>
          <w:sz w:val="24"/>
        </w:rPr>
        <w:t xml:space="preserve">σχετικά με την άσκηση της εξουσίας έκδοσης κατ’ εξουσιοδότηση πράξεων που ανατίθεται στην Επιτροπή σύμφωνα με τον κανονισμό (ΕΕ) αριθ. 70/2012 </w:t>
      </w:r>
      <w:r>
        <w:rPr>
          <w:rFonts w:ascii="Times New Roman" w:hAnsi="Times New Roman"/>
          <w:b/>
          <w:noProof/>
          <w:sz w:val="24"/>
          <w:szCs w:val="24"/>
        </w:rPr>
        <w:t>του Ευρωπαϊκού Κοινοβουλίου και του Συμβουλίου,</w:t>
      </w:r>
      <w:r>
        <w:rPr>
          <w:rFonts w:ascii="Times New Roman" w:hAnsi="Times New Roman"/>
          <w:noProof/>
          <w:sz w:val="24"/>
          <w:szCs w:val="24"/>
        </w:rPr>
        <w:t xml:space="preserve"> </w:t>
      </w:r>
      <w:r>
        <w:rPr>
          <w:rFonts w:ascii="Times New Roman" w:hAnsi="Times New Roman"/>
          <w:b/>
          <w:noProof/>
          <w:sz w:val="24"/>
          <w:szCs w:val="24"/>
        </w:rPr>
        <w:t xml:space="preserve">της 18ης Ιανουαρίου 2012, </w:t>
      </w:r>
      <w:r>
        <w:rPr>
          <w:rFonts w:ascii="Times New Roman" w:hAnsi="Times New Roman"/>
          <w:b/>
          <w:noProof/>
          <w:sz w:val="24"/>
        </w:rPr>
        <w:t>σχετικά με τις στατιστικές καταγραφές των οδικών μεταφορών εμπορευμάτων</w:t>
      </w:r>
    </w:p>
    <w:p>
      <w:pPr>
        <w:keepNext/>
        <w:numPr>
          <w:ilvl w:val="0"/>
          <w:numId w:val="7"/>
        </w:numPr>
        <w:shd w:val="clear" w:color="auto" w:fill="FFFFFF"/>
        <w:spacing w:before="720" w:after="120" w:line="240" w:lineRule="auto"/>
        <w:jc w:val="both"/>
        <w:outlineLvl w:val="0"/>
        <w:rPr>
          <w:rFonts w:ascii="Times New Roman Bold" w:hAnsi="Times New Roman Bold" w:hint="eastAsia"/>
          <w:b/>
          <w:bCs/>
          <w:caps/>
          <w:noProof/>
          <w:sz w:val="24"/>
          <w:szCs w:val="28"/>
        </w:rPr>
      </w:pPr>
      <w:r>
        <w:rPr>
          <w:rFonts w:ascii="Times New Roman Bold" w:hAnsi="Times New Roman Bold"/>
          <w:b/>
          <w:bCs/>
          <w:caps/>
          <w:noProof/>
          <w:sz w:val="24"/>
          <w:szCs w:val="28"/>
        </w:rPr>
        <w:t>Εισαγωγή</w:t>
      </w:r>
    </w:p>
    <w:p>
      <w:pPr>
        <w:spacing w:before="240" w:after="0" w:line="276" w:lineRule="auto"/>
        <w:jc w:val="both"/>
        <w:rPr>
          <w:rFonts w:ascii="Times New Roman" w:hAnsi="Times New Roman"/>
          <w:noProof/>
          <w:sz w:val="24"/>
        </w:rPr>
      </w:pPr>
      <w:r>
        <w:rPr>
          <w:rFonts w:ascii="Times New Roman" w:hAnsi="Times New Roman"/>
          <w:noProof/>
          <w:sz w:val="24"/>
        </w:rPr>
        <w:t xml:space="preserve">Το άρθρο 3 παράγραφος 4 του κανονισμού (ΕΕ) αριθ. 70/2012 </w:t>
      </w:r>
      <w:r>
        <w:rPr>
          <w:rFonts w:ascii="Times New Roman" w:hAnsi="Times New Roman"/>
          <w:noProof/>
          <w:sz w:val="24"/>
          <w:szCs w:val="24"/>
        </w:rPr>
        <w:t>του Ευρωπαϊκού Κοινοβουλίου και του Συμβουλίου</w:t>
      </w:r>
      <w:r>
        <w:rPr>
          <w:rStyle w:val="FootnoteReference"/>
          <w:rFonts w:ascii="Times New Roman" w:hAnsi="Times New Roman"/>
          <w:noProof/>
          <w:sz w:val="24"/>
          <w:lang w:eastAsia="en-GB"/>
        </w:rPr>
        <w:footnoteReference w:id="1"/>
      </w:r>
      <w:r>
        <w:rPr>
          <w:rFonts w:ascii="Times New Roman" w:hAnsi="Times New Roman"/>
          <w:noProof/>
          <w:sz w:val="24"/>
        </w:rPr>
        <w:t xml:space="preserve"> εξουσιοδοτεί την Επιτροπή να εκδίδει, οσάκις απαιτείται, κατ’ εξουσιοδότηση πράξεις, σύμφωνα με το άρθρο 8, με σκοπό: </w:t>
      </w:r>
    </w:p>
    <w:p>
      <w:pPr>
        <w:pStyle w:val="ListParagraph"/>
        <w:numPr>
          <w:ilvl w:val="0"/>
          <w:numId w:val="8"/>
        </w:numPr>
        <w:spacing w:before="120" w:after="0" w:line="276" w:lineRule="auto"/>
        <w:ind w:left="709" w:hanging="283"/>
        <w:jc w:val="both"/>
        <w:rPr>
          <w:rFonts w:ascii="Times New Roman" w:hAnsi="Times New Roman"/>
          <w:noProof/>
          <w:sz w:val="24"/>
        </w:rPr>
      </w:pPr>
      <w:r>
        <w:rPr>
          <w:rFonts w:ascii="Times New Roman" w:hAnsi="Times New Roman"/>
          <w:noProof/>
          <w:sz w:val="24"/>
        </w:rPr>
        <w:t>την επικαιροποίηση του μέρους 1 του παραρτήματος Ι, μόνο για να λαμβάνονται υπόψη οι οικονομικές και τεχνικές εξελίξεις, εξαιρουμένης κάθε τροποποίησης στον μη υποχρεωτικό χαρακτήρα των απαιτούμενων πληροφοριών·</w:t>
      </w:r>
    </w:p>
    <w:p>
      <w:pPr>
        <w:pStyle w:val="ListParagraph"/>
        <w:numPr>
          <w:ilvl w:val="0"/>
          <w:numId w:val="8"/>
        </w:numPr>
        <w:spacing w:before="120" w:after="0" w:line="276" w:lineRule="auto"/>
        <w:ind w:left="709" w:hanging="284"/>
        <w:contextualSpacing w:val="0"/>
        <w:jc w:val="both"/>
        <w:rPr>
          <w:rFonts w:ascii="Times New Roman" w:hAnsi="Times New Roman"/>
          <w:noProof/>
          <w:sz w:val="24"/>
        </w:rPr>
      </w:pPr>
      <w:r>
        <w:rPr>
          <w:rFonts w:ascii="Times New Roman" w:hAnsi="Times New Roman"/>
          <w:noProof/>
          <w:sz w:val="24"/>
        </w:rPr>
        <w:t xml:space="preserve">την προσαρμογή των παραρτημάτων II έως VII ώστε να λαμβάνονται υπόψη οι οικονομικές και τεχνικές εξελίξεις. </w:t>
      </w:r>
    </w:p>
    <w:p>
      <w:pPr>
        <w:spacing w:before="240" w:after="0" w:line="276" w:lineRule="auto"/>
        <w:jc w:val="both"/>
        <w:rPr>
          <w:rFonts w:ascii="Times New Roman" w:hAnsi="Times New Roman"/>
          <w:noProof/>
          <w:sz w:val="24"/>
        </w:rPr>
      </w:pPr>
      <w:r>
        <w:rPr>
          <w:rFonts w:ascii="Times New Roman" w:hAnsi="Times New Roman"/>
          <w:noProof/>
          <w:sz w:val="24"/>
        </w:rPr>
        <w:t>Σύμφωνα με το άρθρο 3 παράγραφος 4 του ίδιου κανονισμού, κατά την άσκηση των εξουσιών της, η Επιτροπή πρέπει να διασφαλίζει ότι καμία κατ’ εξουσιοδότηση πράξη που εκδίδεται δεν επιβάλλει σημαντικές επιπρόσθετες επιβαρύνσεις διοικητικού χαρακτήρα στα κράτη μέλη και στους ερωτώμενους.</w:t>
      </w:r>
    </w:p>
    <w:p>
      <w:pPr>
        <w:keepNext/>
        <w:numPr>
          <w:ilvl w:val="0"/>
          <w:numId w:val="7"/>
        </w:numPr>
        <w:shd w:val="clear" w:color="auto" w:fill="FFFFFF"/>
        <w:spacing w:before="480" w:after="120" w:line="240" w:lineRule="auto"/>
        <w:jc w:val="both"/>
        <w:outlineLvl w:val="0"/>
        <w:rPr>
          <w:rFonts w:ascii="Times New Roman Bold" w:hAnsi="Times New Roman Bold" w:hint="eastAsia"/>
          <w:b/>
          <w:bCs/>
          <w:caps/>
          <w:noProof/>
          <w:sz w:val="24"/>
          <w:szCs w:val="28"/>
        </w:rPr>
      </w:pPr>
      <w:r>
        <w:rPr>
          <w:rFonts w:ascii="Times New Roman Bold" w:hAnsi="Times New Roman Bold"/>
          <w:b/>
          <w:bCs/>
          <w:caps/>
          <w:noProof/>
          <w:sz w:val="24"/>
          <w:szCs w:val="28"/>
        </w:rPr>
        <w:t>Νομική βάση</w:t>
      </w:r>
    </w:p>
    <w:p>
      <w:pPr>
        <w:spacing w:before="240" w:after="0" w:line="276" w:lineRule="auto"/>
        <w:jc w:val="both"/>
        <w:rPr>
          <w:rFonts w:ascii="Times New Roman" w:hAnsi="Times New Roman"/>
          <w:noProof/>
          <w:sz w:val="24"/>
        </w:rPr>
      </w:pPr>
      <w:r>
        <w:rPr>
          <w:rFonts w:ascii="Times New Roman" w:hAnsi="Times New Roman"/>
          <w:noProof/>
          <w:sz w:val="24"/>
        </w:rPr>
        <w:t xml:space="preserve">Σύμφωνα με το άρθρο 8 παράγραφος 2 του κανονισμού (ΕΕ) 70/2012, η προβλεπόμενη στο άρθρο 3 παράγραφος 4 εξουσία έκδοσης κατ’ εξουσιοδότηση πράξεων ανατίθεται στην Επιτροπή για περίοδο πέντε ετών από τις 23 Φεβρουαρίου 2012. Η εξουσιοδότηση ανανεώνεται σιωπηρά για περιόδους 5 ετών, εκτός αν το Ευρωπαϊκό Κοινοβούλιο ή το Συμβούλιο προβάλλουν αντιρρήσεις για την εν λόγω ανανέωση. </w:t>
      </w:r>
    </w:p>
    <w:p>
      <w:pPr>
        <w:spacing w:before="240" w:after="0" w:line="276" w:lineRule="auto"/>
        <w:jc w:val="both"/>
        <w:rPr>
          <w:rFonts w:ascii="Times New Roman" w:hAnsi="Times New Roman"/>
          <w:noProof/>
          <w:sz w:val="24"/>
        </w:rPr>
      </w:pPr>
      <w:r>
        <w:rPr>
          <w:rFonts w:ascii="Times New Roman" w:hAnsi="Times New Roman"/>
          <w:noProof/>
          <w:sz w:val="24"/>
        </w:rPr>
        <w:t xml:space="preserve">Η Επιτροπή υποβάλλει έκθεση σχετικά με την εξουσία που της έχουν ανατεθεί το αργότερο 9 μήνες πριν από τη λήξη της πενταετούς περιόδου. </w:t>
      </w:r>
    </w:p>
    <w:p>
      <w:pPr>
        <w:spacing w:before="240" w:after="0" w:line="276" w:lineRule="auto"/>
        <w:jc w:val="both"/>
        <w:rPr>
          <w:rFonts w:ascii="Times New Roman" w:hAnsi="Times New Roman"/>
          <w:noProof/>
          <w:sz w:val="24"/>
        </w:rPr>
      </w:pPr>
      <w:r>
        <w:rPr>
          <w:rFonts w:ascii="Times New Roman" w:hAnsi="Times New Roman"/>
          <w:noProof/>
          <w:sz w:val="24"/>
        </w:rPr>
        <w:t>Η Επιτροπή υπέβαλε μια πρώτη έκθεση το 2016</w:t>
      </w:r>
      <w:r>
        <w:rPr>
          <w:rStyle w:val="FootnoteReference"/>
          <w:rFonts w:ascii="Times New Roman" w:hAnsi="Times New Roman"/>
          <w:noProof/>
          <w:sz w:val="24"/>
          <w:lang w:eastAsia="en-GB"/>
        </w:rPr>
        <w:footnoteReference w:id="2"/>
      </w:r>
      <w:r>
        <w:rPr>
          <w:rFonts w:ascii="Times New Roman" w:hAnsi="Times New Roman"/>
          <w:noProof/>
          <w:sz w:val="24"/>
        </w:rPr>
        <w:t>. Η εξουσιοδότηση παρατάθηκε αυτομάτως για άλλα 5 έτη από τον Φεβρουάριο του 2017 έως τον Φεβρουάριο του 2022, δεδομένου ότι το Κοινοβούλιο ή το Συμβούλιο δεν την ανακάλεσαν σύμφωνα με το άρθρο 8 παράγραφος 3.</w:t>
      </w:r>
    </w:p>
    <w:p>
      <w:pPr>
        <w:spacing w:before="240" w:after="0" w:line="276" w:lineRule="auto"/>
        <w:jc w:val="both"/>
        <w:rPr>
          <w:rFonts w:ascii="Times New Roman" w:hAnsi="Times New Roman"/>
          <w:noProof/>
          <w:sz w:val="24"/>
        </w:rPr>
      </w:pPr>
      <w:r>
        <w:rPr>
          <w:rFonts w:ascii="Times New Roman" w:hAnsi="Times New Roman"/>
          <w:noProof/>
          <w:sz w:val="24"/>
        </w:rPr>
        <w:t>Η παρούσα έκθεση εκπληρώνει την υποχρέωση της Επιτροπής να καταρτίσει δεύτερη έκθεση σχετικά με την άσκηση της εξουσίας της να εκδίδει κατ’ εξουσιοδότηση πράξεις.</w:t>
      </w:r>
    </w:p>
    <w:p>
      <w:pPr>
        <w:keepNext/>
        <w:numPr>
          <w:ilvl w:val="0"/>
          <w:numId w:val="7"/>
        </w:numPr>
        <w:shd w:val="clear" w:color="auto" w:fill="FFFFFF"/>
        <w:spacing w:before="480" w:after="0" w:line="240" w:lineRule="auto"/>
        <w:jc w:val="both"/>
        <w:outlineLvl w:val="0"/>
        <w:rPr>
          <w:rFonts w:ascii="Times New Roman Bold" w:eastAsia="Times New Roman" w:hAnsi="Times New Roman Bold"/>
          <w:b/>
          <w:bCs/>
          <w:caps/>
          <w:noProof/>
          <w:sz w:val="24"/>
          <w:szCs w:val="28"/>
        </w:rPr>
      </w:pPr>
      <w:r>
        <w:rPr>
          <w:b/>
          <w:bCs/>
          <w:caps/>
          <w:noProof/>
          <w:sz w:val="24"/>
          <w:szCs w:val="28"/>
        </w:rPr>
        <w:t>Α</w:t>
      </w:r>
      <w:r>
        <w:rPr>
          <w:rFonts w:ascii="Times New Roman Bold" w:hAnsi="Times New Roman Bold"/>
          <w:b/>
          <w:bCs/>
          <w:caps/>
          <w:noProof/>
          <w:sz w:val="24"/>
          <w:szCs w:val="28"/>
        </w:rPr>
        <w:t>σκηση της εξουσιοδότησης</w:t>
      </w:r>
    </w:p>
    <w:p>
      <w:pPr>
        <w:spacing w:before="240" w:after="0" w:line="276" w:lineRule="auto"/>
        <w:jc w:val="both"/>
        <w:rPr>
          <w:rFonts w:ascii="Times New Roman" w:hAnsi="Times New Roman"/>
          <w:noProof/>
          <w:sz w:val="24"/>
        </w:rPr>
      </w:pPr>
      <w:r>
        <w:rPr>
          <w:rFonts w:ascii="Times New Roman" w:hAnsi="Times New Roman"/>
          <w:noProof/>
          <w:sz w:val="24"/>
        </w:rPr>
        <w:t>Η Επιτροπή δεν έχει ακόμη ασκήσει την εξουσία έκδοσης κατ’ εξουσιοδότηση πράξεων που της έχει ανατεθεί με τον κανονισμό (ΕΚ) αριθ. 70/2012.</w:t>
      </w:r>
    </w:p>
    <w:p>
      <w:pPr>
        <w:spacing w:before="240" w:after="240" w:line="276" w:lineRule="auto"/>
        <w:jc w:val="both"/>
        <w:rPr>
          <w:rFonts w:ascii="Times New Roman" w:hAnsi="Times New Roman"/>
          <w:noProof/>
          <w:sz w:val="24"/>
        </w:rPr>
      </w:pPr>
      <w:r>
        <w:rPr>
          <w:rFonts w:ascii="Times New Roman" w:hAnsi="Times New Roman"/>
          <w:noProof/>
          <w:sz w:val="24"/>
        </w:rPr>
        <w:t xml:space="preserve">Η Επιτροπή συζητά τακτικά με τα κράτη μέλη πιθανές βελτιώσεις των στατιστικών σχετικά με τις οδικές εμπορευματικές μεταφορές, στο πλαίσιο των τεχνικών εξελίξεων και των νέων οικονομικών, περιβαλλοντικών και κοινωνικών απαιτήσεων. Η Επιτροπή, μαζί με την ομάδα εμπειρογνωμόνων για τις στατιστικές σχετικά με τις οδικές εμπορευματικές μεταφορές και τη </w:t>
      </w:r>
      <w:r>
        <w:rPr>
          <w:rFonts w:ascii="Times New Roman" w:hAnsi="Times New Roman"/>
          <w:noProof/>
          <w:sz w:val="24"/>
          <w:szCs w:val="24"/>
        </w:rPr>
        <w:t xml:space="preserve">συντονιστική ομάδα για τις στατιστικές σχετικά με τις μεταφορές, εξετάζουν τις δυνατότητες βελτίωσης των </w:t>
      </w:r>
      <w:r>
        <w:rPr>
          <w:rFonts w:ascii="Times New Roman" w:hAnsi="Times New Roman"/>
          <w:noProof/>
          <w:sz w:val="24"/>
        </w:rPr>
        <w:t>στατιστικών σχετικά με τις οδικές εμπορευματικές μεταφορές, λαμβάνοντας παράλληλα υπόψη το δυνητικό κόστος και την επιβάρυνση για τις χώρες και τους ερωτώμενους.</w:t>
      </w:r>
    </w:p>
    <w:p>
      <w:pPr>
        <w:spacing w:after="120" w:line="276" w:lineRule="auto"/>
        <w:jc w:val="both"/>
        <w:rPr>
          <w:rFonts w:ascii="Times New Roman" w:hAnsi="Times New Roman"/>
          <w:noProof/>
          <w:sz w:val="24"/>
          <w:szCs w:val="24"/>
        </w:rPr>
      </w:pPr>
      <w:r>
        <w:rPr>
          <w:rFonts w:ascii="Times New Roman" w:hAnsi="Times New Roman"/>
          <w:noProof/>
          <w:sz w:val="24"/>
          <w:szCs w:val="24"/>
        </w:rPr>
        <w:t>Οι στατιστικές ανάγκες στο πλαίσιο της στρατηγικής για βιώσιμη και έξυπνη κινητικότητα</w:t>
      </w:r>
      <w:r>
        <w:rPr>
          <w:rStyle w:val="FootnoteReference"/>
          <w:rFonts w:ascii="Times New Roman" w:hAnsi="Times New Roman"/>
          <w:noProof/>
          <w:sz w:val="24"/>
          <w:szCs w:val="24"/>
          <w:lang w:eastAsia="de-DE"/>
        </w:rPr>
        <w:footnoteReference w:id="3"/>
      </w:r>
      <w:r>
        <w:rPr>
          <w:rFonts w:ascii="Times New Roman" w:hAnsi="Times New Roman"/>
          <w:noProof/>
          <w:sz w:val="24"/>
          <w:szCs w:val="24"/>
        </w:rPr>
        <w:t xml:space="preserve"> και των πρωτοβουλιών πολιτικής που καθορίζονται στην ανακοίνωση της Επιτροπής σχετικά με την Ευρωπαϊκή Πράσινη Συμφωνία</w:t>
      </w:r>
      <w:r>
        <w:rPr>
          <w:rStyle w:val="FootnoteReference"/>
          <w:rFonts w:ascii="Times New Roman" w:hAnsi="Times New Roman"/>
          <w:noProof/>
          <w:sz w:val="24"/>
          <w:szCs w:val="24"/>
          <w:lang w:eastAsia="de-DE"/>
        </w:rPr>
        <w:footnoteReference w:id="4"/>
      </w:r>
      <w:r>
        <w:rPr>
          <w:rFonts w:ascii="Times New Roman" w:hAnsi="Times New Roman"/>
          <w:noProof/>
          <w:sz w:val="24"/>
          <w:szCs w:val="24"/>
        </w:rPr>
        <w:t xml:space="preserve"> ενδέχεται να απαιτήσουν από την Επιτροπή να εκδώσει κατ’ εξουσιοδότηση πράξεις για την προσαρμογή των προαναφερθέντων παραρτημάτων του </w:t>
      </w:r>
      <w:r>
        <w:rPr>
          <w:rFonts w:ascii="Times New Roman" w:hAnsi="Times New Roman"/>
          <w:noProof/>
          <w:sz w:val="24"/>
        </w:rPr>
        <w:t>κανονισμού (ΕΕ) αριθ. 70/2012</w:t>
      </w:r>
      <w:r>
        <w:rPr>
          <w:rFonts w:ascii="Times New Roman" w:hAnsi="Times New Roman"/>
          <w:noProof/>
          <w:sz w:val="24"/>
          <w:szCs w:val="24"/>
        </w:rPr>
        <w:t xml:space="preserve"> στις οικονομικές και τεχνικές εξελίξεις και για τη βελτίωση της παρακολούθησης των στόχων πολιτικής και των τάσεων. </w:t>
      </w:r>
    </w:p>
    <w:p>
      <w:pPr>
        <w:keepNext/>
        <w:numPr>
          <w:ilvl w:val="0"/>
          <w:numId w:val="7"/>
        </w:numPr>
        <w:shd w:val="clear" w:color="auto" w:fill="FFFFFF"/>
        <w:spacing w:before="480" w:after="120" w:line="240" w:lineRule="auto"/>
        <w:jc w:val="both"/>
        <w:outlineLvl w:val="0"/>
        <w:rPr>
          <w:rFonts w:ascii="Times New Roman Bold" w:hAnsi="Times New Roman Bold" w:hint="eastAsia"/>
          <w:b/>
          <w:bCs/>
          <w:caps/>
          <w:noProof/>
          <w:sz w:val="24"/>
          <w:szCs w:val="28"/>
        </w:rPr>
      </w:pPr>
      <w:r>
        <w:rPr>
          <w:rFonts w:ascii="Times New Roman Bold" w:hAnsi="Times New Roman Bold"/>
          <w:b/>
          <w:bCs/>
          <w:caps/>
          <w:noProof/>
          <w:sz w:val="24"/>
          <w:szCs w:val="28"/>
        </w:rPr>
        <w:t>Συμπεράσματα</w:t>
      </w:r>
    </w:p>
    <w:p>
      <w:pPr>
        <w:spacing w:before="240" w:after="120" w:line="276" w:lineRule="auto"/>
        <w:jc w:val="both"/>
        <w:rPr>
          <w:rFonts w:ascii="Times New Roman" w:hAnsi="Times New Roman"/>
          <w:noProof/>
          <w:sz w:val="24"/>
        </w:rPr>
      </w:pPr>
      <w:r>
        <w:rPr>
          <w:rFonts w:ascii="Times New Roman" w:hAnsi="Times New Roman"/>
          <w:noProof/>
          <w:sz w:val="24"/>
        </w:rPr>
        <w:t>Η Επιτροπή δεν έχει ακόμη ασκήσει την εξουσία έκδοσης κατ’ εξουσιοδότηση πράξεων δυνάμει του κανονισμού (ΕΚ) αριθ. 70/2012.</w:t>
      </w:r>
    </w:p>
    <w:p>
      <w:pPr>
        <w:spacing w:before="240" w:after="0" w:line="276"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Η Επιτροπή θεωρεί ότι </w:t>
      </w:r>
      <w:r>
        <w:rPr>
          <w:rFonts w:ascii="Times New Roman" w:hAnsi="Times New Roman"/>
          <w:noProof/>
          <w:sz w:val="24"/>
        </w:rPr>
        <w:t>θα πρέπει να εξακολουθήσει να έχει τις εν λόγω κατ’ εξουσιοδότηση εξουσίες</w:t>
      </w:r>
      <w:r>
        <w:rPr>
          <w:rFonts w:ascii="Times New Roman" w:hAnsi="Times New Roman"/>
          <w:noProof/>
          <w:sz w:val="24"/>
          <w:szCs w:val="24"/>
        </w:rPr>
        <w:t>, δεδομένου ότι ενδέχεται να χρειαστεί να εκδίδει κατ’ εξουσιοδότηση πράξεις στο μέλλον προκειμένου να υποστηρίξει τις εξελίξεις στις στατιστικές σχετικά με τις οδικές εμπορευματικές μεταφορές.</w:t>
      </w:r>
    </w:p>
    <w:p>
      <w:pPr>
        <w:spacing w:before="240" w:after="0" w:line="276" w:lineRule="auto"/>
        <w:jc w:val="both"/>
        <w:rPr>
          <w:rFonts w:ascii="Times New Roman" w:hAnsi="Times New Roman"/>
          <w:noProof/>
          <w:sz w:val="24"/>
          <w:szCs w:val="24"/>
          <w:lang w:eastAsia="de-DE"/>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60516"/>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356002"/>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line="240" w:lineRule="auto"/>
        <w:jc w:val="both"/>
        <w:rPr>
          <w:rFonts w:ascii="Times New Roman" w:hAnsi="Times New Roman"/>
          <w:noProof/>
        </w:rPr>
      </w:pPr>
      <w:r>
        <w:rPr>
          <w:rStyle w:val="FootnoteReference"/>
          <w:rFonts w:ascii="Times New Roman" w:hAnsi="Times New Roman"/>
        </w:rPr>
        <w:footnoteRef/>
      </w:r>
      <w:r>
        <w:rPr>
          <w:rFonts w:ascii="Times New Roman" w:hAnsi="Times New Roman"/>
          <w:sz w:val="24"/>
          <w:szCs w:val="24"/>
        </w:rPr>
        <w:t xml:space="preserve"> </w:t>
      </w:r>
      <w:r>
        <w:rPr>
          <w:rFonts w:ascii="Times New Roman" w:hAnsi="Times New Roman"/>
        </w:rPr>
        <w:t>Κανονισμός (ΕΕ) αριθ. 70/2012 του Ευρωπαϊκού Κοινοβουλίου και του Συμβουλίου, της 18ης Ιανουαρίου 2012, σχετικά με τις στατιστικές καταγραφές των οδικών μεταφορών εμπορευμάτων (ΕΕ L 32 της 3.2.2012, σ. 1).</w:t>
      </w:r>
    </w:p>
  </w:footnote>
  <w:footnote w:id="2">
    <w:p>
      <w:pPr>
        <w:pStyle w:val="FootnoteText"/>
        <w:spacing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Έκθεση της Επιτροπής προς το Ευρωπαϊκό Κοινοβούλιο και το Συμβούλιο σχετικά με την άσκηση της αρμοδιότητας για την έκδοση κατ’ εξουσιοδότηση πράξεων που έχει ανατεθεί στην Επιτροπή σύμφωνα με τον κανονισμό (ΕΕ) αριθ. 70/2012, της 18ης Ιανουαρίου 2012, σχετικά με τις στατιστικές καταγραφές των οδικών μεταφορών εμπορευμάτων [COM(2016) 562 final της 12.9.2016].</w:t>
      </w:r>
    </w:p>
  </w:footnote>
  <w:footnote w:id="3">
    <w:p>
      <w:pPr>
        <w:pStyle w:val="FootnoteText"/>
      </w:pPr>
      <w:r>
        <w:rPr>
          <w:rStyle w:val="FootnoteReference"/>
          <w:rFonts w:ascii="Times New Roman" w:hAnsi="Times New Roman"/>
        </w:rPr>
        <w:footnoteRef/>
      </w:r>
      <w:r>
        <w:rPr>
          <w:rFonts w:ascii="Times New Roman" w:hAnsi="Times New Roman"/>
        </w:rPr>
        <w:t xml:space="preserve"> COM(2020) 789 final.</w:t>
      </w:r>
    </w:p>
  </w:footnote>
  <w:footnote w:id="4">
    <w:p>
      <w:pPr>
        <w:pStyle w:val="FootnoteText"/>
      </w:pPr>
      <w:r>
        <w:rPr>
          <w:rStyle w:val="FootnoteReference"/>
          <w:rFonts w:ascii="Times New Roman" w:hAnsi="Times New Roman"/>
        </w:rPr>
        <w:footnoteRef/>
      </w:r>
      <w:r>
        <w:rPr>
          <w:rFonts w:ascii="Times New Roman" w:hAnsi="Times New Roman"/>
        </w:rPr>
        <w:t xml:space="preserve"> COM(2019) 640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0C4"/>
    <w:multiLevelType w:val="hybridMultilevel"/>
    <w:tmpl w:val="E1588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B155F3"/>
    <w:multiLevelType w:val="hybridMultilevel"/>
    <w:tmpl w:val="2CAE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63AF2"/>
    <w:multiLevelType w:val="hybridMultilevel"/>
    <w:tmpl w:val="23CCC4EE"/>
    <w:lvl w:ilvl="0" w:tplc="01EC09CE">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3">
    <w:nsid w:val="33172DD4"/>
    <w:multiLevelType w:val="hybridMultilevel"/>
    <w:tmpl w:val="B3B24934"/>
    <w:lvl w:ilvl="0" w:tplc="428A1060">
      <w:numFmt w:val="bullet"/>
      <w:lvlText w:val="-"/>
      <w:lvlJc w:val="left"/>
      <w:pPr>
        <w:ind w:left="1210" w:hanging="360"/>
      </w:pPr>
      <w:rPr>
        <w:rFonts w:ascii="Times New Roman" w:eastAsiaTheme="minorEastAsia"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355F3A3C"/>
    <w:multiLevelType w:val="hybridMultilevel"/>
    <w:tmpl w:val="0B1CA37E"/>
    <w:lvl w:ilvl="0" w:tplc="08090017">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6412804"/>
    <w:multiLevelType w:val="hybridMultilevel"/>
    <w:tmpl w:val="9906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EC207B"/>
    <w:multiLevelType w:val="hybridMultilevel"/>
    <w:tmpl w:val="6BA88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749B6FC-6233-4BAA-BCE3-46BE13CB1D8F"/>
    <w:docVar w:name="LW_COVERPAGE_TYPE" w:val="1"/>
    <w:docVar w:name="LW_CROSSREFERENCE" w:val="&lt;UNUSED&gt;"/>
    <w:docVar w:name="LW_DocType" w:val="NORMAL"/>
    <w:docVar w:name="LW_EMISSION" w:val="14.4.2021"/>
    <w:docVar w:name="LW_EMISSION_ISODATE" w:val="2021-04-14"/>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1)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963?\u967?\u949?\u964?\u953?\u954?\u940? \u956?\u949? \u964?\u951?\u957? \u940?\u963?\u954?\u951?\u963?\u951? \u964?\u951?\u962? \u949?\u958?\u959?\u965?\u963?\u943?\u945?\u962? \u941?\u954?\u948?\u959?\u963?\u951?\u962? \u954?\u945?\u964?\u8217? \u949?\u958?\u959?\u965?\u963?\u953?\u959?\u948?\u972?\u964?\u951?\u963?\u951? \u960?\u961?\u940?\u958?\u949?\u969?\u957? \u960?\u959?\u965? \u945?\u957?\u945?\u964?\u943?\u952?\u949?\u964?\u945?\u953? \u963?\u964?\u951?\u957? \u917?\u960?\u953?\u964?\u961?\u959?\u960?\u942? \u963?\u973?\u956?\u966?\u969?\u957?\u945? \u956?\u949? \u964?\u959?\u957? \u954?\u945?\u957?\u959?\u957?\u953?\u963?\u956?\u972? (\u917?\u917?) \u945?\u961?\u953?\u952?. 70/2012 \u964?\u959?\u965? \u917?\u965?\u961?\u969?\u960?\u945?\u970?\u954?\u959?\u973? \u922?\u959?\u953?\u957?\u959?\u946?\u959?\u965?\u955?\u943?\u959?\u965? \u954?\u945?\u953? \u964?\u959?\u965? \u931?\u965?\u956?\u946?\u959?\u965?\u955?\u943?\u959?\u965?,&lt;/FMT&gt; &lt;FMT:Bold&gt;\u964?\u951?\u962? 18\u951?\u962? \u921?\u945?\u957?\u959?\u965?\u945?\u961?\u943?\u959?\u965? 2012, \u963?\u967?\u949?\u964?\u953?\u954?\u940? \u956?\u949? \u964?\u953?\u962? \u963?\u964?\u945?\u964?\u953?\u963?\u964?\u953?\u954?\u941?\u962? \u954?\u945?\u964?\u945?\u947?\u961?\u945?\u966?\u941?\u962? \u964?\u969?\u957? \u959?\u948?\u953?\u954?\u974?\u957? \u956?\u949?\u964?\u945?\u966?\u959?\u961?\u974?\u957? \u949?\u956?\u960?\u959?\u961?\u949?\u965?\u956?\u940?\u964?\u969?\u957?&lt;/FMT&gt;"/>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semiHidden/>
    <w:unhideWhenUsed/>
    <w:pPr>
      <w:spacing w:after="200" w:line="276"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semiHidden/>
    <w:rPr>
      <w:rFonts w:ascii="Calibri" w:eastAsia="Calibri" w:hAnsi="Calibri" w:cs="Times New Roman"/>
      <w:sz w:val="20"/>
      <w:szCs w:val="20"/>
      <w:lang w:eastAsia="en-US"/>
    </w:rPr>
  </w:style>
  <w:style w:type="character" w:styleId="FootnoteReference">
    <w:name w:val="footnote reference"/>
    <w:semiHidden/>
    <w:rPr>
      <w:shd w:val="clear" w:color="auto" w:fill="auto"/>
      <w:vertAlign w:val="superscript"/>
    </w:r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semiHidden/>
    <w:unhideWhenUsed/>
    <w:pPr>
      <w:spacing w:after="200" w:line="276"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semiHidden/>
    <w:rPr>
      <w:rFonts w:ascii="Calibri" w:eastAsia="Calibri" w:hAnsi="Calibri" w:cs="Times New Roman"/>
      <w:sz w:val="20"/>
      <w:szCs w:val="20"/>
      <w:lang w:eastAsia="en-US"/>
    </w:rPr>
  </w:style>
  <w:style w:type="character" w:styleId="FootnoteReference">
    <w:name w:val="footnote reference"/>
    <w:semiHidden/>
    <w:rPr>
      <w:shd w:val="clear" w:color="auto" w:fill="auto"/>
      <w:vertAlign w:val="superscript"/>
    </w:r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8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95AFBB-9EF6-4666-8FD4-A00CDF01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562</Words>
  <Characters>3286</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Road_2921 Report_Exercise power to adopt delegated acts</vt:lpstr>
    </vt:vector>
  </TitlesOfParts>
  <Manager/>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Road_2921 Report_Exercise power to adopt delegated acts</dc:title>
  <dc:subject>Road_2921 Report_Exercise power to adopt delegated acts</dc:subject>
  <dc:creator/>
  <cp:keywords/>
  <dc:description/>
  <cp:lastModifiedBy>DIGIT/C6</cp:lastModifiedBy>
  <cp:revision>24</cp:revision>
  <dcterms:created xsi:type="dcterms:W3CDTF">2021-03-17T14:07:00Z</dcterms:created>
  <dcterms:modified xsi:type="dcterms:W3CDTF">2021-03-30T15:57:00Z</dcterms:modified>
  <cp:category>Road freight transport 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