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2F8B7BED-550E-4563-8B5F-3FEB49417ED5" style="width:450.5pt;height:459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2018/0191 (COD)</w:t>
      </w:r>
    </w:p>
    <w:p>
      <w:pPr>
        <w:pStyle w:val="Typedudocument"/>
        <w:rPr>
          <w:noProof/>
        </w:rPr>
      </w:pPr>
      <w:r>
        <w:rPr>
          <w:noProof/>
        </w:rPr>
        <w:t>СЪОБЩЕНИЕ НА КОМИСИЯТА ДО ЕВРОПЕЙСКИЯ ПАРЛАМЕНТ</w:t>
      </w:r>
      <w:r>
        <w:rPr>
          <w:noProof/>
        </w:rPr>
        <w:br/>
      </w:r>
      <w:r>
        <w:rPr>
          <w:noProof/>
        </w:rPr>
        <w:br/>
        <w:t>съгласно член 294, параграф 6 от Договора за функционирането на Европейския съюз</w:t>
      </w:r>
      <w:r>
        <w:rPr>
          <w:noProof/>
        </w:rPr>
        <w:br/>
      </w:r>
      <w:r>
        <w:rPr>
          <w:noProof/>
        </w:rPr>
        <w:br/>
        <w:t>относно</w:t>
      </w:r>
    </w:p>
    <w:p>
      <w:pPr>
        <w:pStyle w:val="Titreobjet"/>
        <w:rPr>
          <w:noProof/>
        </w:rPr>
      </w:pPr>
      <w:r>
        <w:rPr>
          <w:noProof/>
        </w:rPr>
        <w:t>позицията на Съвета във връзка с приемането на Регламент на Европейския парламент и на Съвета за създаване на „Еразъм+“: програма на Съюза в областта на образованието, обучението, младежта и спорта и за отмяна на Регламент (ЕС) № 1288/2013</w:t>
      </w:r>
    </w:p>
    <w:p>
      <w:pPr>
        <w:pStyle w:val="IntrtEEE"/>
        <w:rPr>
          <w:noProof/>
        </w:rPr>
      </w:pPr>
      <w:r>
        <w:rPr>
          <w:noProof/>
        </w:rPr>
        <w:t>(текст от значение за ЕИП)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Контекст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Дата на предаване на предложението на Европейския парламент и на Съвета (документ COM(2018) 367 final — 2018/0191 COD)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30 май 2018 г.</w:t>
            </w:r>
          </w:p>
        </w:tc>
      </w:tr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Дата на приемане на становището на Комитета на регионите относно предложението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 февруари 2019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приемане на становището на Европейския икономически и социален комитет относно предложението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19 октомври 2018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позицията на Европейския парламент на първо четене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 март 2019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Дата на съгласието на Съвета относно общ подход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26 ноември 2018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Дати на тристранните срещи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 октомври 2019 г.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19 ноември 2019 г.</w:t>
            </w:r>
          </w:p>
          <w:p>
            <w:pPr>
              <w:jc w:val="left"/>
              <w:rPr>
                <w:noProof/>
                <w:u w:color="000000"/>
              </w:rPr>
            </w:pPr>
            <w:r>
              <w:rPr>
                <w:noProof/>
              </w:rPr>
              <w:t>9 декември 2019 г.</w:t>
            </w:r>
          </w:p>
          <w:p>
            <w:pPr>
              <w:jc w:val="left"/>
              <w:rPr>
                <w:noProof/>
                <w:u w:color="000000"/>
              </w:rPr>
            </w:pPr>
            <w:r>
              <w:rPr>
                <w:noProof/>
              </w:rPr>
              <w:t>7 декември 2020 г.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 декември 2020 г.</w:t>
            </w:r>
          </w:p>
        </w:tc>
      </w:tr>
      <w:tr>
        <w:tc>
          <w:tcPr>
            <w:tcW w:w="6804" w:type="dxa"/>
          </w:tcPr>
          <w:p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Дата на потвърждаване на компромисното споразумение от страна на Комитета на постоянните представители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  <w:highlight w:val="yellow"/>
              </w:rPr>
            </w:pPr>
            <w:r>
              <w:rPr>
                <w:noProof/>
              </w:rPr>
              <w:t>18 декември 2020 г.</w:t>
            </w:r>
          </w:p>
        </w:tc>
      </w:tr>
      <w:tr>
        <w:tc>
          <w:tcPr>
            <w:tcW w:w="6804" w:type="dxa"/>
          </w:tcPr>
          <w:p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Дата, на която комисията по култура и образование на Европейския парламент гласува за одобряване на компромисното споразумение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 януари 2021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Дата, на която позицията на Съвета е приета от Комитета на постоянните представители (точка I/A)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31 март 2021 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приемане на позицията на Съвета на първо четене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13 април 2021 г.</w:t>
            </w:r>
          </w:p>
        </w:tc>
      </w:tr>
    </w:tbl>
    <w:p>
      <w:pPr>
        <w:pStyle w:val="ManualHeading1"/>
        <w:rPr>
          <w:noProof/>
          <w:szCs w:val="24"/>
        </w:rPr>
      </w:pPr>
      <w:r>
        <w:rPr>
          <w:noProof/>
        </w:rPr>
        <w:lastRenderedPageBreak/>
        <w:t>2.</w:t>
      </w:r>
      <w:r>
        <w:rPr>
          <w:noProof/>
        </w:rPr>
        <w:tab/>
        <w:t>Цел на предложението на Комисията</w:t>
      </w:r>
    </w:p>
    <w:p>
      <w:pPr>
        <w:rPr>
          <w:noProof/>
          <w:szCs w:val="24"/>
        </w:rPr>
      </w:pPr>
    </w:p>
    <w:p>
      <w:pPr>
        <w:pStyle w:val="Text"/>
        <w:spacing w:after="240"/>
        <w:jc w:val="both"/>
        <w:rPr>
          <w:noProof/>
          <w:lang w:val="bg-BG"/>
        </w:rPr>
      </w:pPr>
      <w:r>
        <w:rPr>
          <w:noProof/>
          <w:lang w:val="bg-BG"/>
        </w:rPr>
        <w:t>Програмата „Еразъм+“ е един от инструментите за финансиране по многогодишната финансова рамка (МФР) за периода 2021—2027</w:t>
      </w:r>
      <w:r>
        <w:rPr>
          <w:noProof/>
        </w:rPr>
        <w:t> </w:t>
      </w:r>
      <w:r>
        <w:rPr>
          <w:noProof/>
          <w:lang w:val="bg-BG"/>
        </w:rPr>
        <w:t>г., насочени към инвестиране в хората, социалното сближаване и ценностите. Комисията предложи бюджет в размер на общо 30</w:t>
      </w:r>
      <w:r>
        <w:rPr>
          <w:noProof/>
        </w:rPr>
        <w:t> </w:t>
      </w:r>
      <w:r>
        <w:rPr>
          <w:noProof/>
          <w:lang w:val="bg-BG"/>
        </w:rPr>
        <w:t>милиарда евро.</w:t>
      </w:r>
    </w:p>
    <w:p>
      <w:pPr>
        <w:pStyle w:val="Text"/>
        <w:spacing w:after="240"/>
        <w:jc w:val="both"/>
        <w:rPr>
          <w:noProof/>
          <w:lang w:val="bg-BG"/>
        </w:rPr>
      </w:pPr>
      <w:r>
        <w:rPr>
          <w:noProof/>
          <w:lang w:val="bg-BG"/>
        </w:rPr>
        <w:t>Общата цел на програмата „Еразъм+“ е да подкрепя, чрез учене през целия живот, образователното, професионалното и личностното развитие на хората в областта на образованието, обучението, младежта и спорта в Европа и извън нея, като по този начин допринася за устойчивия растеж, качествените работни места и социалното сближаване, стимулира иновациите и също така подсилва европейската идентичност и активното гражданство. Програмата е структурирана около три ключови действия: 1) мобилност с учебна цел, 2) сътрудничество между организации и институции и 3) подкрепа за разработването на политики и за сътрудничеството. Интегрираният характер на програмата, обхващащ формалното, неформалното и информалното учене, предлага възможности за учене на всички етапи от живота.</w:t>
      </w:r>
    </w:p>
    <w:p>
      <w:pPr>
        <w:pStyle w:val="Text"/>
        <w:spacing w:after="240"/>
        <w:jc w:val="both"/>
        <w:rPr>
          <w:noProof/>
          <w:lang w:val="bg-BG"/>
        </w:rPr>
      </w:pPr>
      <w:r>
        <w:rPr>
          <w:noProof/>
          <w:lang w:val="bg-BG"/>
        </w:rPr>
        <w:t>В съответствие с констатациите от междинната оценка на предходната програма и становищата на заинтересованите страни новата програма „Еразъм+“ запазва стабилността, като същевременно предлага подобрения, както и нови мерки и действия, отразявайки по-широката амбиция на новата програма на ЕС за политиката. Значително подсилената, приобщаваща и разширена програма засилва мобилността и обмена.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Коментари относно позицията на Европейския парламент</w:t>
      </w:r>
    </w:p>
    <w:p>
      <w:pPr>
        <w:rPr>
          <w:noProof/>
          <w:szCs w:val="24"/>
        </w:rPr>
      </w:pPr>
      <w:r>
        <w:rPr>
          <w:noProof/>
        </w:rPr>
        <w:t>В позицията на Европейския парламент на първо четене, приета на 28 март 2019 г., бяха предложени изменения на предложението на Комисията, а именно:</w:t>
      </w: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име: запазване на името „Еразъм+“ (вместо „Еразъм“, както предлага Комисията);</w:t>
      </w:r>
    </w:p>
    <w:p>
      <w:pPr>
        <w:pStyle w:val="Tiret0"/>
        <w:rPr>
          <w:noProof/>
        </w:rPr>
      </w:pPr>
      <w:r>
        <w:rPr>
          <w:noProof/>
        </w:rPr>
        <w:t>бюджет: утрояване на бюджета; промяна на разбивката по сектори (професионално образование и обучение — от 21 % на 23 %; училищно образование — от 15,2 % на 15,6 %; образование за възрастни — от 4,8 % на 6 %; спортът се увеличава от 1,8 % на 2 %); годишните бюджетни кредити да бъдат разрешавани от Европейския парламент; линеен профил на разходите за 7-годишната продължителност на програмата;</w:t>
      </w:r>
    </w:p>
    <w:p>
      <w:pPr>
        <w:pStyle w:val="Tiret0"/>
        <w:rPr>
          <w:noProof/>
        </w:rPr>
      </w:pPr>
      <w:r>
        <w:rPr>
          <w:noProof/>
        </w:rPr>
        <w:t>цели: нови специфични цели в областта на международното сътрудничество, ученето през целия живот и европейската добавена стойност;</w:t>
      </w:r>
    </w:p>
    <w:p>
      <w:pPr>
        <w:pStyle w:val="Tiret0"/>
        <w:rPr>
          <w:noProof/>
          <w:szCs w:val="24"/>
        </w:rPr>
      </w:pPr>
      <w:r>
        <w:rPr>
          <w:noProof/>
        </w:rPr>
        <w:t>управление: делегирани актове за приемането на годишните работни програми; в хода на преговорите Европейският парламент формулира искането си за управленско решение, което да гарантира участието му в политическия избор във връзка с изпълнението на програмата;</w:t>
      </w:r>
    </w:p>
    <w:p>
      <w:pPr>
        <w:pStyle w:val="Tiret0"/>
        <w:rPr>
          <w:noProof/>
        </w:rPr>
      </w:pPr>
      <w:r>
        <w:rPr>
          <w:noProof/>
        </w:rPr>
        <w:t>засилено измерение на програмата, свързано с приобщаването: самостоятелна глава за приобщаването и членове, изискващи от Комисията да изготви рамка от мерки за приобщаване, а от националните агенции да изготвят национални стратегии за приобщаване; специфични цели и показатели;</w:t>
      </w:r>
    </w:p>
    <w:p>
      <w:pPr>
        <w:pStyle w:val="Tiret0"/>
        <w:rPr>
          <w:noProof/>
        </w:rPr>
      </w:pPr>
      <w:r>
        <w:rPr>
          <w:noProof/>
        </w:rPr>
        <w:t>европейска добавена стойност: неизчерпателен списък с критерии за доказване на европейската добавена стойност на действията в рамките на програмата;</w:t>
      </w:r>
    </w:p>
    <w:p>
      <w:pPr>
        <w:pStyle w:val="Tiret0"/>
        <w:rPr>
          <w:noProof/>
        </w:rPr>
      </w:pPr>
      <w:r>
        <w:rPr>
          <w:noProof/>
        </w:rPr>
        <w:lastRenderedPageBreak/>
        <w:t>DiscoverEU: разширяване на обхвата от 18-годишните до лицата на възраст 18—20 години;</w:t>
      </w:r>
    </w:p>
    <w:p>
      <w:pPr>
        <w:pStyle w:val="Tiret0"/>
        <w:rPr>
          <w:noProof/>
        </w:rPr>
      </w:pPr>
      <w:r>
        <w:rPr>
          <w:noProof/>
        </w:rPr>
        <w:t>европейските университети и центровете за високи постижения в областта на професионалното образование следва да включват поне един субект, установен в държава членка;</w:t>
      </w:r>
    </w:p>
    <w:p>
      <w:pPr>
        <w:pStyle w:val="Tiret0"/>
        <w:rPr>
          <w:noProof/>
        </w:rPr>
      </w:pPr>
      <w:r>
        <w:rPr>
          <w:noProof/>
        </w:rPr>
        <w:t xml:space="preserve">възрастни учащи се: добавяне на индивидуална мобилност в ключово действие 1 (мобилност с учебна цел); </w:t>
      </w:r>
    </w:p>
    <w:p>
      <w:pPr>
        <w:pStyle w:val="Tiret0"/>
        <w:rPr>
          <w:noProof/>
        </w:rPr>
      </w:pPr>
      <w:r>
        <w:rPr>
          <w:noProof/>
        </w:rPr>
        <w:t>ключово действие 1 в областта на спорта (мобилност с учебна цел): индивидуалната мобилност с учебна цел се разширява, за да включва и младите хора, практикуващи спорт в организирана среда, и международната мобилност на спортния персонал;</w:t>
      </w:r>
    </w:p>
    <w:p>
      <w:pPr>
        <w:pStyle w:val="Tiret0"/>
        <w:rPr>
          <w:noProof/>
        </w:rPr>
      </w:pPr>
      <w:r>
        <w:rPr>
          <w:noProof/>
        </w:rPr>
        <w:t>синергии: използване на Печата за високи постижения, за да се даде възможност за алтернативно финансиране по линия на фондовете на политиката на сближаване;</w:t>
      </w:r>
    </w:p>
    <w:p>
      <w:pPr>
        <w:pStyle w:val="Tiret0"/>
        <w:rPr>
          <w:noProof/>
          <w:spacing w:val="-6"/>
        </w:rPr>
      </w:pPr>
      <w:r>
        <w:rPr>
          <w:noProof/>
          <w:spacing w:val="-6"/>
        </w:rPr>
        <w:t>международно сътрудничество: заличаване на упоменаванията на вида на третите държави, участващи в програмата; добавяне в ключово действие 2 (сътрудничество) на упоменавания на изграждането на капацитет в областта на висшето образование в трети държави; специален акцент върху развиващите се държави;</w:t>
      </w:r>
    </w:p>
    <w:p>
      <w:pPr>
        <w:pStyle w:val="Tiret0"/>
        <w:rPr>
          <w:noProof/>
        </w:rPr>
      </w:pPr>
      <w:r>
        <w:rPr>
          <w:noProof/>
        </w:rPr>
        <w:t>показатели: приложението се заменя с по-подробен списък на показателите.</w:t>
      </w:r>
    </w:p>
    <w:p>
      <w:pPr>
        <w:rPr>
          <w:noProof/>
          <w:spacing w:val="-4"/>
        </w:rPr>
      </w:pPr>
      <w:r>
        <w:rPr>
          <w:noProof/>
          <w:spacing w:val="-4"/>
        </w:rPr>
        <w:t>Европейският парламент прие също политическо изявление, придружаващо позицията му на първо четене, в което се запазва правото на Европейския парламент да преразгледа позицията си, за да се гарантира, че основните дейности на програмата и измерението, свързано с приобщаването, се изпълняват ефективно, в случай че бюджетът не бъде утроен. В изявлението се подчертава също, че подкрепата на Европейския парламент за европейските университети, центровете за високи постижения в областта на професионалното образование и DiscoverEU ще зависи от оценката на техните пилотни фази и от по-нататъшното определяне на всяка инициатива.</w:t>
      </w:r>
    </w:p>
    <w:p>
      <w:pPr>
        <w:rPr>
          <w:b/>
          <w:noProof/>
        </w:rPr>
      </w:pPr>
      <w:r>
        <w:rPr>
          <w:noProof/>
        </w:rPr>
        <w:t>Като част от споразумението, постигнато по време на тристранните срещи, Комисията прие следното:</w:t>
      </w:r>
    </w:p>
    <w:p>
      <w:pPr>
        <w:pStyle w:val="Tiret0"/>
        <w:rPr>
          <w:noProof/>
        </w:rPr>
      </w:pPr>
      <w:r>
        <w:rPr>
          <w:noProof/>
        </w:rPr>
        <w:t xml:space="preserve">името на програмата е „Еразъм+“ вместо „Еразъм“; </w:t>
      </w:r>
    </w:p>
    <w:p>
      <w:pPr>
        <w:pStyle w:val="Tiret0"/>
        <w:rPr>
          <w:noProof/>
        </w:rPr>
      </w:pPr>
      <w:r>
        <w:rPr>
          <w:noProof/>
        </w:rPr>
        <w:t>финансовият пакет на програмата се определя на 24,574 милиарда евро по текущи цени с допълнително финансиране в размер на 1,7 милиарда евро по цени от 2018 г. в резултат на специфичната за програмата корекция, предвидена в член 5 от и приложение II към Регламент (ЕС, Евратом) 2020/2093 на Съвета (т.е. Регламента за МФР); леко адаптирани секторни бюджетни средства;</w:t>
      </w:r>
    </w:p>
    <w:p>
      <w:pPr>
        <w:pStyle w:val="Tiret0"/>
        <w:rPr>
          <w:noProof/>
        </w:rPr>
      </w:pPr>
      <w:r>
        <w:rPr>
          <w:noProof/>
        </w:rPr>
        <w:t>ново приложение, в което се описват в общи линии действията по програмата, които могат да бъдат изменени с делегиран акт;</w:t>
      </w:r>
    </w:p>
    <w:p>
      <w:pPr>
        <w:pStyle w:val="Tiret0"/>
        <w:rPr>
          <w:noProof/>
        </w:rPr>
      </w:pPr>
      <w:r>
        <w:rPr>
          <w:noProof/>
        </w:rPr>
        <w:t xml:space="preserve">засилено измерение, свързано с приобщаването; </w:t>
      </w:r>
    </w:p>
    <w:p>
      <w:pPr>
        <w:pStyle w:val="Tiret0"/>
        <w:rPr>
          <w:noProof/>
        </w:rPr>
      </w:pPr>
      <w:r>
        <w:rPr>
          <w:noProof/>
        </w:rPr>
        <w:t>добавяне на нов член относно европейската добавена стойност;</w:t>
      </w:r>
    </w:p>
    <w:p>
      <w:pPr>
        <w:pStyle w:val="Tiret0"/>
        <w:rPr>
          <w:noProof/>
        </w:rPr>
      </w:pPr>
      <w:r>
        <w:rPr>
          <w:noProof/>
        </w:rPr>
        <w:t>мобилност на възрастните учащи се в ключово действие 1 (мобилност с учебна цел);</w:t>
      </w:r>
    </w:p>
    <w:p>
      <w:pPr>
        <w:pStyle w:val="Tiret0"/>
        <w:rPr>
          <w:noProof/>
        </w:rPr>
      </w:pPr>
      <w:r>
        <w:rPr>
          <w:noProof/>
        </w:rPr>
        <w:t>разширяване на обхвата на спортната мобилност, за да включва и международните действия;</w:t>
      </w:r>
    </w:p>
    <w:p>
      <w:pPr>
        <w:pStyle w:val="Tiret0"/>
        <w:rPr>
          <w:noProof/>
        </w:rPr>
      </w:pPr>
      <w:r>
        <w:rPr>
          <w:noProof/>
        </w:rPr>
        <w:lastRenderedPageBreak/>
        <w:t>изричното упоменаване на Печата за високи постижения;</w:t>
      </w:r>
    </w:p>
    <w:p>
      <w:pPr>
        <w:pStyle w:val="Tiret0"/>
        <w:rPr>
          <w:noProof/>
        </w:rPr>
      </w:pPr>
      <w:r>
        <w:rPr>
          <w:noProof/>
        </w:rPr>
        <w:t>разясняване на члена, в който се говори за участието на организациите в трети държави, които не са асоциирани към програмата;</w:t>
      </w:r>
    </w:p>
    <w:p>
      <w:pPr>
        <w:pStyle w:val="Tiret0"/>
        <w:rPr>
          <w:noProof/>
        </w:rPr>
      </w:pPr>
      <w:r>
        <w:rPr>
          <w:noProof/>
        </w:rPr>
        <w:t>разширен и преструктуриран списък на показателите.</w:t>
      </w:r>
    </w:p>
    <w:p>
      <w:pPr>
        <w:rPr>
          <w:noProof/>
        </w:rPr>
      </w:pPr>
      <w:r>
        <w:rPr>
          <w:noProof/>
        </w:rPr>
        <w:t>Комисията се съгласи също така да направи следното изявление относно индикативния бюджет за платформите на центровете за високи постижения в областта на професионалното образование:</w:t>
      </w:r>
    </w:p>
    <w:p>
      <w:pPr>
        <w:rPr>
          <w:noProof/>
          <w:spacing w:val="-4"/>
        </w:rPr>
      </w:pPr>
      <w:r>
        <w:rPr>
          <w:noProof/>
          <w:spacing w:val="-4"/>
        </w:rPr>
        <w:t>„Без да се засягат правомощията на законодателния и бюджетния орган, Комисията се ангажира да отпусне индикативна сума от 400 милиона евро по текущи цени за подкрепа на платформите на центровете за високи постижения в областта на професионалното образование за цялата продължителност на програмата, при условие че при междинната оценка на програмата бъде дадена положителна оценка на резултатите от действието.“</w:t>
      </w:r>
    </w:p>
    <w:p>
      <w:pPr>
        <w:rPr>
          <w:rFonts w:ascii="&amp;quot" w:hAnsi="&amp;quot"/>
          <w:noProof/>
          <w:color w:val="444444"/>
        </w:rPr>
      </w:pPr>
      <w:r>
        <w:rPr>
          <w:noProof/>
        </w:rPr>
        <w:t>След като Съветът прие своята позиция на първо четене, се очаква Европейският парламент официално да одобри споразумението, постигнато на тристранните срещи.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Коментари относно позицията на Съвета</w:t>
      </w:r>
    </w:p>
    <w:p>
      <w:pPr>
        <w:widowControl w:val="0"/>
        <w:rPr>
          <w:noProof/>
        </w:rPr>
      </w:pPr>
      <w:r>
        <w:rPr>
          <w:noProof/>
        </w:rPr>
        <w:t>Позицията на Съвета отразява споразумението, постигнато по време на тристранните срещи. Най-важните промени, въведени в сравнение с предложението на Комисията, включват:</w:t>
      </w:r>
    </w:p>
    <w:p>
      <w:pPr>
        <w:pStyle w:val="Tiret1"/>
        <w:numPr>
          <w:ilvl w:val="0"/>
          <w:numId w:val="11"/>
        </w:numPr>
        <w:rPr>
          <w:noProof/>
        </w:rPr>
      </w:pPr>
      <w:r>
        <w:rPr>
          <w:noProof/>
        </w:rPr>
        <w:t>името на програмата е „Еразъм+“ вместо „Еразъм“;</w:t>
      </w:r>
    </w:p>
    <w:p>
      <w:pPr>
        <w:pStyle w:val="Tiret1"/>
        <w:rPr>
          <w:noProof/>
          <w:szCs w:val="24"/>
        </w:rPr>
      </w:pPr>
      <w:r>
        <w:rPr>
          <w:noProof/>
        </w:rPr>
        <w:t>финансовият пакет на програмата се определя на 24,574 милиарда евро по текущи цени с допълнително финансиране в размер на 1,7 милиарда евро по цени от 2018 г. в резултат на специфичната за програмата корекция, предвидена в член 5 от и приложение II към Регламент (ЕС, Евратом) 2020/2093 на Съвета (т.е. Регламента за МФР);</w:t>
      </w:r>
    </w:p>
    <w:p>
      <w:pPr>
        <w:pStyle w:val="Tiret0"/>
        <w:rPr>
          <w:noProof/>
        </w:rPr>
      </w:pPr>
      <w:r>
        <w:rPr>
          <w:noProof/>
        </w:rPr>
        <w:t>разпределението на бюджета е изменено, както следва:</w:t>
      </w:r>
    </w:p>
    <w:p>
      <w:pPr>
        <w:pStyle w:val="Bullet1"/>
        <w:numPr>
          <w:ilvl w:val="0"/>
          <w:numId w:val="12"/>
        </w:numPr>
        <w:rPr>
          <w:noProof/>
        </w:rPr>
      </w:pPr>
      <w:r>
        <w:rPr>
          <w:noProof/>
        </w:rPr>
        <w:t>общ финансов пакет: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делът на образованието и обучението е намален от 83,1 % на 83 %;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спортът е увеличен от 1,8 % на 1,9 %;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таксите за управление на националните агенции са увеличени от 3,2 % на 3,3 %;</w:t>
      </w:r>
    </w:p>
    <w:p>
      <w:pPr>
        <w:pStyle w:val="Bullet1"/>
        <w:rPr>
          <w:noProof/>
        </w:rPr>
      </w:pPr>
      <w:r>
        <w:rPr>
          <w:noProof/>
        </w:rPr>
        <w:t>дялове в бюджета за образованието и обучението: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мобилността на възрастните учащи се е увеличена от 4,8 % на 5,8 %;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професионалното образование и обучение е увеличено от 21 % на 21,5 %;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„поне“ 1,8 % са предназначени за действия по инициативата „Жан Моне“;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t>„поне“ дял от 17 % за хоризонталните дейности и централно управляваните действия, включително индикативната сума от 400 милиона евро за центровете за високи постижения в областта на професионалното образование, посочена в изявлението на Комисията;</w:t>
      </w:r>
    </w:p>
    <w:p>
      <w:pPr>
        <w:pStyle w:val="Bullet2"/>
        <w:numPr>
          <w:ilvl w:val="0"/>
          <w:numId w:val="9"/>
        </w:numPr>
        <w:rPr>
          <w:noProof/>
        </w:rPr>
      </w:pPr>
      <w:r>
        <w:rPr>
          <w:noProof/>
        </w:rPr>
        <w:lastRenderedPageBreak/>
        <w:t>маржът за гъвкавост е намален от 5,5 % на 4,1 %.</w:t>
      </w:r>
    </w:p>
    <w:p>
      <w:pPr>
        <w:pStyle w:val="Tiret0"/>
        <w:rPr>
          <w:noProof/>
        </w:rPr>
      </w:pPr>
      <w:r>
        <w:rPr>
          <w:noProof/>
        </w:rPr>
        <w:t>мобилност на възрастните учащи се в ключово действие 1 (мобилност с учебна цел);</w:t>
      </w:r>
    </w:p>
    <w:p>
      <w:pPr>
        <w:pStyle w:val="Tiret0"/>
        <w:rPr>
          <w:noProof/>
        </w:rPr>
      </w:pPr>
      <w:r>
        <w:rPr>
          <w:noProof/>
        </w:rPr>
        <w:t>засилено измерение, свързано с приобщаването (самостоятелна глава с два нови члена);</w:t>
      </w:r>
    </w:p>
    <w:p>
      <w:pPr>
        <w:pStyle w:val="Tiret0"/>
        <w:rPr>
          <w:noProof/>
        </w:rPr>
      </w:pPr>
      <w:r>
        <w:rPr>
          <w:noProof/>
        </w:rPr>
        <w:t>ново приложение, описващо в общи линии действията по програмата, като се запазва необходимата гъвкавост за изпълнението на програмата, и което може да бъде изменяно с делегиран акт;</w:t>
      </w:r>
    </w:p>
    <w:p>
      <w:pPr>
        <w:pStyle w:val="Tiret0"/>
        <w:rPr>
          <w:noProof/>
        </w:rPr>
      </w:pPr>
      <w:r>
        <w:rPr>
          <w:noProof/>
        </w:rPr>
        <w:t>променен и преструктуриран списък на показателите;</w:t>
      </w:r>
    </w:p>
    <w:p>
      <w:pPr>
        <w:pStyle w:val="Tiret0"/>
        <w:rPr>
          <w:noProof/>
        </w:rPr>
      </w:pPr>
      <w:r>
        <w:rPr>
          <w:noProof/>
        </w:rPr>
        <w:t>фиксирана продължителност на програмата, съобразена с продължителността на многогодишната финансова рамка;</w:t>
      </w:r>
    </w:p>
    <w:p>
      <w:pPr>
        <w:pStyle w:val="Tiret0"/>
        <w:rPr>
          <w:noProof/>
        </w:rPr>
      </w:pPr>
      <w:r>
        <w:rPr>
          <w:noProof/>
        </w:rPr>
        <w:t>добавяне на разпоредби за обратно действие;</w:t>
      </w:r>
    </w:p>
    <w:p>
      <w:pPr>
        <w:pStyle w:val="Tiret0"/>
        <w:rPr>
          <w:noProof/>
        </w:rPr>
      </w:pPr>
      <w:r>
        <w:rPr>
          <w:noProof/>
        </w:rPr>
        <w:t>променени разпоредби относно условията за участие на трети държави, които са асоциирани или не са асоциирани към програмата.</w:t>
      </w:r>
    </w:p>
    <w:p>
      <w:pPr>
        <w:widowControl w:val="0"/>
        <w:rPr>
          <w:noProof/>
        </w:rPr>
      </w:pPr>
      <w:r>
        <w:rPr>
          <w:noProof/>
        </w:rPr>
        <w:t>Като цяло постигнатото споразумение запазва целите на първоначалното предложение на Комисията, като запазва степента на амбициозност и позволява гъвкавостта, необходима за изпълнението на програмата.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Заключение</w:t>
      </w:r>
    </w:p>
    <w:p>
      <w:pPr>
        <w:keepNext/>
        <w:rPr>
          <w:noProof/>
        </w:rPr>
      </w:pPr>
      <w:r>
        <w:rPr>
          <w:noProof/>
        </w:rPr>
        <w:t>Комисията е съгласна с позицията на Съвета.</w:t>
      </w:r>
    </w:p>
    <w:p>
      <w:pPr>
        <w:pStyle w:val="ManualHeading1"/>
        <w:rPr>
          <w:noProof/>
        </w:rPr>
      </w:pPr>
      <w:r>
        <w:rPr>
          <w:noProof/>
        </w:rPr>
        <w:t>6.</w:t>
      </w:r>
      <w:r>
        <w:rPr>
          <w:noProof/>
        </w:rPr>
        <w:tab/>
        <w:t>Декларация на Комисията</w:t>
      </w:r>
    </w:p>
    <w:p>
      <w:pPr>
        <w:rPr>
          <w:noProof/>
        </w:rPr>
      </w:pPr>
      <w:r>
        <w:rPr>
          <w:noProof/>
        </w:rPr>
        <w:t>Комисията направи една декларация, която се съдържа в приложението.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spacing w:before="0" w:after="0" w:line="360" w:lineRule="auto"/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ПРИЛОЖЕНИЕ</w:t>
      </w:r>
    </w:p>
    <w:p>
      <w:pPr>
        <w:spacing w:before="0" w:after="0" w:line="360" w:lineRule="auto"/>
        <w:jc w:val="left"/>
        <w:rPr>
          <w:noProof/>
        </w:rPr>
      </w:pPr>
    </w:p>
    <w:p>
      <w:pPr>
        <w:spacing w:before="0" w:after="0" w:line="360" w:lineRule="auto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Изявление на Европейската комисия относно специалните средства за платформите на центровете за високи постижения в областта на професионалното образование</w:t>
      </w:r>
    </w:p>
    <w:p>
      <w:pPr>
        <w:spacing w:before="0" w:after="0" w:line="360" w:lineRule="auto"/>
        <w:ind w:left="5724"/>
        <w:rPr>
          <w:noProof/>
          <w:sz w:val="28"/>
          <w:szCs w:val="28"/>
        </w:rPr>
      </w:pPr>
    </w:p>
    <w:p>
      <w:pPr>
        <w:keepNext/>
        <w:spacing w:before="0" w:after="0" w:line="360" w:lineRule="auto"/>
        <w:rPr>
          <w:noProof/>
        </w:rPr>
      </w:pPr>
      <w:r>
        <w:rPr>
          <w:noProof/>
        </w:rPr>
        <w:t>Без да се засягат правомощията на законодателния и бюджетния орган, Комисията се ангажира да отпусне индикативна сума от 400 милиона евро по текущи цени за подкрепа на платформите на центровете за високи постижения в областта на професионалното образование за цялата продължителност на програмата, при условие че при междинната оценка на програмата бъде дадена положителна оценка на резултатите от действието.</w:t>
      </w:r>
    </w:p>
    <w:p>
      <w:pPr>
        <w:spacing w:before="0" w:after="0" w:line="360" w:lineRule="auto"/>
        <w:rPr>
          <w:noProof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9347E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57491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5C0B5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D468E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DAA13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FE3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89A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24F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7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4-09 13:29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F8B7BED-550E-4563-8B5F-3FEB49417ED5"/>
    <w:docVar w:name="LW_COVERPAGE_TYPE" w:val="1"/>
    <w:docVar w:name="LW_CROSSREFERENCE" w:val="&lt;UNUSED&gt;"/>
    <w:docVar w:name="LW_DocType" w:val="COM"/>
    <w:docVar w:name="LW_EMISSION" w:val="16.4.2021"/>
    <w:docVar w:name="LW_EMISSION_ISODATE" w:val="2021-04-16"/>
    <w:docVar w:name="LW_EMISSION_LOCATION" w:val="BRX"/>
    <w:docVar w:name="LW_EMISSION_PREFIX" w:val="\u1041?\u1088?\u1102?\u1082?\u1089?\u1077?\u1083?, "/>
    <w:docVar w:name="LW_EMISSION_SUFFIX" w:val=" \u1075?."/>
    <w:docVar w:name="LW_ID_DOCMODEL" w:val="SJ-028"/>
    <w:docVar w:name="LW_ID_DOCSTRUCTURE" w:val="COM/PL/CODEC"/>
    <w:docVar w:name="LW_ID_DOCTYPE" w:val="SJ-028"/>
    <w:docVar w:name="LW_INTERETEEE.CP" w:val="(\u1090?\u1077?\u1082?\u1089?\u1090? \u1086?\u1090? \u1079?\u1085?\u1072?\u1095?\u1077?\u1085?\u1080?\u1077? \u1079?\u1072? \u1045?\u1048?\u1055?)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91"/>
    <w:docVar w:name="LW_REF.II.NEW.CP_YEAR" w:val="2018"/>
    <w:docVar w:name="LW_REF.INST.NEW" w:val="COM"/>
    <w:docVar w:name="LW_REF.INST.NEW_ADOPTED" w:val="final"/>
    <w:docVar w:name="LW_REF.INST.NEW_TEXT" w:val="(2021) 1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\u1087?\u1086?\u1079?\u1080?\u1094?\u1080?\u1103?\u1090?\u1072? \u1085?\u1072? \u1057?\u1098?\u1074?\u1077?\u1090?\u1072? \u1074?\u1098?\u1074? \u1074?\u1088?\u1098?\u1079?\u1082?\u1072? \u1089? \u1087?\u1088?\u1080?\u1077?\u1084?\u1072?\u1085?\u1077?\u1090?\u1086? \u1085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 \u1079?\u1072? \u1089?\u1098?\u1079?\u1076?\u1072?\u1074?\u1072?\u1085?\u1077? \u1085?\u1072? \u8222?\u1045?\u1088?\u1072?\u1079?\u1098?\u1084?+\u8220?: \u1087?\u1088?\u1086?\u1075?\u1088?\u1072?\u1084?\u1072? \u1085?\u1072? \u1057?\u1098?\u1102?\u1079?\u1072? \u1074? \u1086?\u1073?\u1083?\u1072?\u1089?\u1090?\u1090?\u1072? \u1085?\u1072? \u1086?\u1073?\u1088?\u1072?\u1079?\u1086?\u1074?\u1072?\u1085?\u1080?\u1077?\u1090?\u1086?, \u1086?\u1073?\u1091?\u1095?\u1077?\u1085?\u1080?\u1077?\u1090?\u1086?, \u1084?\u1083?\u1072?\u1076?\u1077?\u1078?\u1090?\u1072? \u1080? \u1089?\u1087?\u1086?\u1088?\u1090?\u1072? \u1080? \u1079?\u1072? \u1086?\u1090?\u1084?\u1103?\u1085?\u1072? \u1085?\u1072? \u1056?\u1077?\u1075?\u1083?\u1072?\u1084?\u1077?\u1085?\u1090? (\u1045?\u1057?) \u8470? 1288/2013"/>
    <w:docVar w:name="LW_TYPE.DOC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_x000b__x000b_\u1089?\u1098?\u1075?\u1083?\u1072?\u1089?\u1085?\u1086? \u1095?\u1083?\u1077?\u1085? 294, \u1087?\u1072?\u1088?\u1072?\u1075?\u1088?\u1072?\u1092? 6 \u1086?\u1090? \u1044?\u1086?\u1075?\u1086?\u1074?\u1086?\u1088?\u1072? \u1079?\u1072? \u1092?\u1091?\u1085?\u1082?\u1094?\u1080?\u1086?\u1085?\u1080?\u1088?\u1072?\u1085?\u1077?\u1090?\u1086? \u1085?\u1072? \u1045?\u1074?\u1088?\u1086?\u1087?\u1077?\u1081?\u1089?\u1082?\u1080?\u1103? \u1089?\u1098?\u1102?\u1079?_x000b__x000b_\u1086?\u1090?\u1085?\u1086?\u1089?\u1085?\u1086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29EBD7-F933-45C0-8B4F-732D1CFC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1599</Words>
  <Characters>9519</Characters>
  <Application>Microsoft Office Word</Application>
  <DocSecurity>0</DocSecurity>
  <Lines>211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2021-04-06T08:33:00Z</dcterms:created>
  <dcterms:modified xsi:type="dcterms:W3CDTF">2021-04-09T11:29:00Z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