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ADCE98E3-7C09-40B2-9475-C712150E3968" style="width:450.5pt;height:44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2018/0191 (COD)</w:t>
      </w:r>
    </w:p>
    <w:p>
      <w:pPr>
        <w:pStyle w:val="Typedudocument"/>
        <w:rPr>
          <w:noProof/>
        </w:rPr>
      </w:pPr>
      <w:r>
        <w:rPr>
          <w:noProof/>
        </w:rPr>
        <w:t>KOMUNIKACIJA KOMISIJE</w:t>
      </w:r>
      <w:r>
        <w:rPr>
          <w:noProof/>
        </w:rPr>
        <w:br/>
        <w:t>EUROPSKOM PARLAMENTU</w:t>
      </w:r>
      <w:r>
        <w:rPr>
          <w:noProof/>
        </w:rPr>
        <w:br/>
      </w:r>
      <w:r>
        <w:rPr>
          <w:noProof/>
        </w:rPr>
        <w:br/>
        <w:t>na temelju članka 294. stavka 6. Ugovora o funkcioniranju Europske unije</w:t>
      </w:r>
      <w:r>
        <w:rPr>
          <w:noProof/>
        </w:rPr>
        <w:br/>
      </w:r>
      <w:r>
        <w:rPr>
          <w:noProof/>
        </w:rPr>
        <w:br/>
        <w:t>o</w:t>
      </w:r>
    </w:p>
    <w:p>
      <w:pPr>
        <w:pStyle w:val="Titreobjet"/>
        <w:rPr>
          <w:noProof/>
        </w:rPr>
      </w:pPr>
      <w:r>
        <w:rPr>
          <w:noProof/>
        </w:rPr>
        <w:t>stajalištu Vijeća o donošenju Uredbe Europskog parlamenta i Vijeća o uspostavi programa „Erasmus+”: programa Unije za obrazovanje, osposobljavanje, mlade i sport te o stavljanju izvan snage Uredbe (EU) br. 1288/2013</w:t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Kontekst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slanja prijedloga Europskom parlamentu i Vijeću (dokument COM(2018) 367 final – 2018/0191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30. svibnja 2018.</w:t>
            </w:r>
          </w:p>
        </w:tc>
      </w:tr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donošenja mišljenja Odbora regija o prijedlogu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veljače 2019.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donošenja mišljenja Europskoga gospodarskog i socijalnog odbora o prijedlogu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19. listopada 2018.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stajališta Europskog parlamenta, prvo čitanje: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28. ožujka 2019.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Datum postizanja dogovora u Vijeću o općem pristupu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26. studenoga 2018.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Datum trijaloga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7. listopada 2019.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19. studenoga 2019.</w:t>
            </w:r>
          </w:p>
          <w:p>
            <w:pPr>
              <w:jc w:val="left"/>
              <w:rPr>
                <w:noProof/>
                <w:u w:color="000000"/>
              </w:rPr>
            </w:pPr>
            <w:r>
              <w:rPr>
                <w:noProof/>
              </w:rPr>
              <w:t>9. prosinca 2019.</w:t>
            </w:r>
          </w:p>
          <w:p>
            <w:pPr>
              <w:jc w:val="left"/>
              <w:rPr>
                <w:noProof/>
                <w:u w:color="000000"/>
              </w:rPr>
            </w:pPr>
            <w:r>
              <w:rPr>
                <w:noProof/>
              </w:rPr>
              <w:t>7. prosinca 2020.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prosinca 2020.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na koji je Odbor stalnih predstavnika potvrdio kompromisni dogovor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18. prosinca 2020.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Datum na koji je Odbor Europskog parlamenta za kulturu i obrazovanje (CULT) izglasao odobravanje kompromisnog dogovora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siječnja 2021.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Datum na koji je Odbor stalnih predstavnika prihvatio stajalište Vijeća (točka I/A dnevnog reda)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31. ožujka 2021.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donošenja stajališta Vijeća u prvom čitanju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13. travnja 2021.</w:t>
            </w:r>
          </w:p>
        </w:tc>
      </w:tr>
    </w:tbl>
    <w:p>
      <w:pPr>
        <w:pStyle w:val="ManualHeading1"/>
        <w:rPr>
          <w:noProof/>
          <w:szCs w:val="24"/>
        </w:rPr>
      </w:pPr>
      <w:r>
        <w:rPr>
          <w:noProof/>
        </w:rPr>
        <w:lastRenderedPageBreak/>
        <w:t>2.</w:t>
      </w:r>
      <w:r>
        <w:rPr>
          <w:noProof/>
        </w:rPr>
        <w:tab/>
        <w:t>Cilj prijedloga Komisije</w:t>
      </w:r>
    </w:p>
    <w:p>
      <w:pPr>
        <w:rPr>
          <w:noProof/>
          <w:szCs w:val="24"/>
        </w:rPr>
      </w:pPr>
    </w:p>
    <w:p>
      <w:pPr>
        <w:pStyle w:val="Text"/>
        <w:spacing w:after="240"/>
        <w:jc w:val="both"/>
        <w:rPr>
          <w:noProof/>
          <w:lang w:val="hr-HR"/>
        </w:rPr>
      </w:pPr>
      <w:r>
        <w:rPr>
          <w:noProof/>
          <w:lang w:val="hr-HR"/>
        </w:rPr>
        <w:t>Program Erasmus+ jedan je od instrumenata financiranja iz višegodišnjeg financijskog okvira (VFO) za razdoblje 2021.–2027. koji je namijenjen ulaganju u ljude, socijalnu koheziju i vrijednosti. Komisija je predložila ukupni proračun od 30 milijardi EUR.</w:t>
      </w:r>
    </w:p>
    <w:p>
      <w:pPr>
        <w:pStyle w:val="Text"/>
        <w:spacing w:after="240"/>
        <w:jc w:val="both"/>
        <w:rPr>
          <w:noProof/>
          <w:lang w:val="hr-HR"/>
        </w:rPr>
      </w:pPr>
      <w:r>
        <w:rPr>
          <w:noProof/>
          <w:lang w:val="hr-HR"/>
        </w:rPr>
        <w:t xml:space="preserve">Opći je cilj programa Erasmus+ podupirati, kroz cjeloživotno učenje, obrazovni, profesionalni i osobni razvoj osoba u području obrazovanja, osposobljavanja, mladih i sporta, u Europi i izvan nje te na taj način pridonijeti održivom rastu, kvalitetnim radnim mjestima i socijalnoj koheziji i poticati inovacije, a ujedno i jačati europski identitet i aktivno građanstvo. Program se temelji na tri ključne aktivnosti: 1. mobilnost u svrhu učenja, 2. suradnja među organizacijama i institucijama i 3. potpora razvoju politika i suradnja. Program je integriran i stoga obuhvaća formalno, neformalno i informalno učenje i pruža prilike za učenje u svim fazama života. </w:t>
      </w:r>
    </w:p>
    <w:p>
      <w:pPr>
        <w:pStyle w:val="Text"/>
        <w:spacing w:after="240"/>
        <w:jc w:val="both"/>
        <w:rPr>
          <w:noProof/>
          <w:lang w:val="hr-HR"/>
        </w:rPr>
      </w:pPr>
      <w:r>
        <w:rPr>
          <w:noProof/>
          <w:lang w:val="hr-HR"/>
        </w:rPr>
        <w:t>U skladu s rezultatima evaluacije prethodnog programa u sredini programskog razdoblja i mišljenjima dionika, novim programom Erasmus+ održava se kontinuitet i istovremeno se nude poboljšanja, nove mjere i aktivnosti, što odražava šire ambicije novog političkog programa EU-a. Program je postao inkluzivniji, uvelike je ojačan i proširen te se veći naglasak stavlja na mobilnost i razmjene.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Primjedbe na stajalište Europskog parlamenta</w:t>
      </w:r>
    </w:p>
    <w:p>
      <w:pPr>
        <w:rPr>
          <w:noProof/>
          <w:szCs w:val="24"/>
        </w:rPr>
      </w:pPr>
      <w:r>
        <w:rPr>
          <w:noProof/>
        </w:rPr>
        <w:t>Stajalište Europskog parlamenta u prvom čitanju, doneseno 28. ožujka 2019., sadržavalo je prijedloge za izmjene prijedloga Komisije, konkretnije: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ime: zadržavanje imena Erasmus</w:t>
      </w:r>
      <w:r>
        <w:rPr>
          <w:b/>
          <w:noProof/>
        </w:rPr>
        <w:t>+</w:t>
      </w:r>
      <w:r>
        <w:rPr>
          <w:noProof/>
        </w:rPr>
        <w:t xml:space="preserve"> (umjesto Erasmus prema prijedlogu Komisije),</w:t>
      </w:r>
    </w:p>
    <w:p>
      <w:pPr>
        <w:pStyle w:val="Tiret0"/>
        <w:rPr>
          <w:noProof/>
        </w:rPr>
      </w:pPr>
      <w:r>
        <w:rPr>
          <w:noProof/>
        </w:rPr>
        <w:t>proračun: utrostručenje proračuna; revizija sektorske raščlambe (sredstva za strukovno obrazovanje i osposobljavanje povećana su s 21 na 23 %, sredstva za odgoj i opće obrazovanje povećana su s 15,2 % na 15,6 %, sredstva za obrazovanje odraslih povećana su s 4,8 % na 6 %, sredstva za sport povećana su s 1,8 % na 2 %); godišnja odobrena sredstva odobravat će Europski parlament; linearni profil potrošnje tijekom sedmogodišnjeg trajanja programa,</w:t>
      </w:r>
    </w:p>
    <w:p>
      <w:pPr>
        <w:pStyle w:val="Tiret0"/>
        <w:rPr>
          <w:noProof/>
        </w:rPr>
      </w:pPr>
      <w:r>
        <w:rPr>
          <w:noProof/>
        </w:rPr>
        <w:t>ciljevi: novi specifični ciljevi u području međunarodne suradnje, cjeloživotnog učenja i europske dodane vrijednosti,</w:t>
      </w:r>
    </w:p>
    <w:p>
      <w:pPr>
        <w:pStyle w:val="Tiret0"/>
        <w:rPr>
          <w:noProof/>
          <w:szCs w:val="24"/>
        </w:rPr>
      </w:pPr>
      <w:r>
        <w:rPr>
          <w:noProof/>
        </w:rPr>
        <w:t>upravljanje: delegirani akti za donošenje godišnjih programa rada; tijekom pregovora Europski parlament iznio je svoj zahtjev za rješenje za vođenje programa kojim bi se osiguralo njegovo sudjelovanje u političkim odlukama tijekom provedbe programa,</w:t>
      </w:r>
    </w:p>
    <w:p>
      <w:pPr>
        <w:pStyle w:val="Tiret0"/>
        <w:rPr>
          <w:noProof/>
        </w:rPr>
      </w:pPr>
      <w:r>
        <w:rPr>
          <w:noProof/>
        </w:rPr>
        <w:t xml:space="preserve">ojačana dimenzija uključivanja: zasebno poglavlje o uključivanju i članci u kojima se Komisiju obvezuje da uspostavi okvir mjera za uključivanje, a nacionalne agencije da uspostave nacionalne strategije uključivanja; posebni ciljevi i pokazatelji, </w:t>
      </w:r>
    </w:p>
    <w:p>
      <w:pPr>
        <w:pStyle w:val="Tiret0"/>
        <w:rPr>
          <w:noProof/>
        </w:rPr>
      </w:pPr>
      <w:r>
        <w:rPr>
          <w:noProof/>
        </w:rPr>
        <w:t>europska dodana vrijednost: popis kriterija koji se može dopunjavati i kojima se dokazuje dodana vrijednost aktivnosti programa na razini EU-a,</w:t>
      </w:r>
    </w:p>
    <w:p>
      <w:pPr>
        <w:pStyle w:val="Tiret0"/>
        <w:rPr>
          <w:noProof/>
        </w:rPr>
      </w:pPr>
      <w:r>
        <w:rPr>
          <w:noProof/>
        </w:rPr>
        <w:t>inicijativa DiscoverEU: područje primjene prošireno je s 18-godišnjaka na mlade u dobi od 18 do 20 godina,</w:t>
      </w:r>
    </w:p>
    <w:p>
      <w:pPr>
        <w:pStyle w:val="Tiret0"/>
        <w:rPr>
          <w:noProof/>
        </w:rPr>
      </w:pPr>
      <w:r>
        <w:rPr>
          <w:noProof/>
        </w:rPr>
        <w:t>Europska sveučilišta i Centri strukovne izvrsnosti trebali bi uključivati barem jedan subjekt s poslovnim nastanom u državi članici,</w:t>
      </w:r>
    </w:p>
    <w:p>
      <w:pPr>
        <w:pStyle w:val="Tiret0"/>
        <w:rPr>
          <w:noProof/>
        </w:rPr>
      </w:pPr>
      <w:r>
        <w:rPr>
          <w:noProof/>
        </w:rPr>
        <w:lastRenderedPageBreak/>
        <w:t xml:space="preserve">odrasli polaznici: uvrštavanje individualne mobilnosti u okviru ključne aktivnosti 1 (mobilnost u svrhu učenja), </w:t>
      </w:r>
    </w:p>
    <w:p>
      <w:pPr>
        <w:pStyle w:val="Tiret0"/>
        <w:rPr>
          <w:noProof/>
        </w:rPr>
      </w:pPr>
      <w:r>
        <w:rPr>
          <w:noProof/>
        </w:rPr>
        <w:t>ključna aktivnost 1 za sport (mobilnost u svrhu učenja): individualna mobilnost u svrhu učenja proširena je kako bi se obuhvatilo mlade koji se bave sportom u organiziranom okruženju i međunarodnu mobilnost sportskog osoblja,</w:t>
      </w:r>
    </w:p>
    <w:p>
      <w:pPr>
        <w:pStyle w:val="Tiret0"/>
        <w:rPr>
          <w:noProof/>
        </w:rPr>
      </w:pPr>
      <w:r>
        <w:rPr>
          <w:noProof/>
        </w:rPr>
        <w:t>sinergije: korištenje pečata izvrsnosti kako bi se omogućilo alternativno financiranje u okviru fondova kohezijske politike,</w:t>
      </w:r>
    </w:p>
    <w:p>
      <w:pPr>
        <w:pStyle w:val="Tiret0"/>
        <w:rPr>
          <w:noProof/>
        </w:rPr>
      </w:pPr>
      <w:r>
        <w:rPr>
          <w:noProof/>
        </w:rPr>
        <w:t>međunarodna suradnja: brisanje upućivanja na vrstu trećih zemalja koje sudjeluju u programu; dodavanje upućivanja na izgradnju kapaciteta u području visokog obrazovanja u trećim zemljama, u okviru ključne aktivnosti 2 (suradnja), specifično usmjerenje na zemlje u razvoju,</w:t>
      </w:r>
    </w:p>
    <w:p>
      <w:pPr>
        <w:pStyle w:val="Tiret0"/>
        <w:rPr>
          <w:noProof/>
        </w:rPr>
      </w:pPr>
      <w:r>
        <w:rPr>
          <w:noProof/>
        </w:rPr>
        <w:t>pokazatelji: prilog se zamjenjuje detaljnijim popisom pokazatelja.</w:t>
      </w:r>
    </w:p>
    <w:p>
      <w:pPr>
        <w:rPr>
          <w:noProof/>
        </w:rPr>
      </w:pPr>
      <w:r>
        <w:rPr>
          <w:noProof/>
        </w:rPr>
        <w:t>Europski parlament donio je i političku izjavu priloženu svojem stajalištu u prvom čitanju, u kojoj zadržava pravo da preispita svoje stajalište kako bi osigurao da se osnovne aktivnosti programa i dimenzija uključenosti učinkovito ostvare u slučaju da se proračun ne utrostruči. U izjavi je naglašeno i da će potpora Europskog parlamenta Europskim sveučilištima, Centrima strukovne izvrsnosti i inicijativi DiscoverEU ovisiti o ocjeni njihovih pilot-faza i daljnjem definiranju svake inicijative.</w:t>
      </w:r>
    </w:p>
    <w:p>
      <w:pPr>
        <w:rPr>
          <w:b/>
          <w:noProof/>
        </w:rPr>
      </w:pPr>
      <w:r>
        <w:rPr>
          <w:noProof/>
        </w:rPr>
        <w:t>U dogovoru koji je postignut u okviru trijaloga, Komisija je prihvatila:</w:t>
      </w:r>
    </w:p>
    <w:p>
      <w:pPr>
        <w:pStyle w:val="Tiret0"/>
        <w:rPr>
          <w:noProof/>
        </w:rPr>
      </w:pPr>
      <w:r>
        <w:rPr>
          <w:noProof/>
        </w:rPr>
        <w:t xml:space="preserve">ime programa glasi Erasmus+ umjesto Erasmus, </w:t>
      </w:r>
    </w:p>
    <w:p>
      <w:pPr>
        <w:pStyle w:val="Tiret0"/>
        <w:rPr>
          <w:noProof/>
        </w:rPr>
      </w:pPr>
      <w:r>
        <w:rPr>
          <w:noProof/>
        </w:rPr>
        <w:t>financijska omotnica programa utvrđuje se u iznosu od 24,574 milijarde EUR u tekućim cijenama, a dodatna sredstva iznose 1,7 milijardi EUR u cijenama iz 2018. i proizlaze iz prilagodbe za pojedine programe predviđene člankom 5. i prilogom II. Uredbi Vijeća (EU, Euratom) 2020/2093 (Uredbi o VFO-u); sektorska proračunska sredstva donekle su prilagođena,</w:t>
      </w:r>
    </w:p>
    <w:p>
      <w:pPr>
        <w:pStyle w:val="Tiret0"/>
        <w:rPr>
          <w:noProof/>
        </w:rPr>
      </w:pPr>
      <w:r>
        <w:rPr>
          <w:noProof/>
        </w:rPr>
        <w:t>novi Prilog u kojem se u glavnim crtama opisuju aktivnosti programa koje je moguće izmijeniti delegiranim aktom,</w:t>
      </w:r>
    </w:p>
    <w:p>
      <w:pPr>
        <w:pStyle w:val="Tiret0"/>
        <w:rPr>
          <w:noProof/>
        </w:rPr>
      </w:pPr>
      <w:r>
        <w:rPr>
          <w:noProof/>
        </w:rPr>
        <w:t xml:space="preserve">ojačanu dimenziju uključenosti, </w:t>
      </w:r>
    </w:p>
    <w:p>
      <w:pPr>
        <w:pStyle w:val="Tiret0"/>
        <w:rPr>
          <w:noProof/>
        </w:rPr>
      </w:pPr>
      <w:r>
        <w:rPr>
          <w:noProof/>
        </w:rPr>
        <w:t>dodavanje novog članka o europskoj dodanoj vrijednosti,</w:t>
      </w:r>
    </w:p>
    <w:p>
      <w:pPr>
        <w:pStyle w:val="Tiret0"/>
        <w:rPr>
          <w:noProof/>
        </w:rPr>
      </w:pPr>
      <w:r>
        <w:rPr>
          <w:noProof/>
        </w:rPr>
        <w:t>mobilnost odraslih polaznika u okviru ključne aktivnosti 1 (mobilnost u svrhu učenja),</w:t>
      </w:r>
    </w:p>
    <w:p>
      <w:pPr>
        <w:pStyle w:val="Tiret0"/>
        <w:rPr>
          <w:noProof/>
        </w:rPr>
      </w:pPr>
      <w:r>
        <w:rPr>
          <w:noProof/>
        </w:rPr>
        <w:t>proširenje područja primjene sportske mobilnosti kako bi se obuhvatile međunarodne aktivnosti,</w:t>
      </w:r>
    </w:p>
    <w:p>
      <w:pPr>
        <w:pStyle w:val="Tiret0"/>
        <w:rPr>
          <w:noProof/>
        </w:rPr>
      </w:pPr>
      <w:r>
        <w:rPr>
          <w:noProof/>
        </w:rPr>
        <w:t xml:space="preserve">izričito navođenje pečata izvrsnosti, </w:t>
      </w:r>
    </w:p>
    <w:p>
      <w:pPr>
        <w:pStyle w:val="Tiret0"/>
        <w:rPr>
          <w:noProof/>
        </w:rPr>
      </w:pPr>
      <w:r>
        <w:rPr>
          <w:noProof/>
        </w:rPr>
        <w:t>pojašnjenje članka koji se odnosi na sudjelovanje organizacija u trećim zemljama koje nisu pridružene programu,</w:t>
      </w:r>
    </w:p>
    <w:p>
      <w:pPr>
        <w:pStyle w:val="Tiret0"/>
        <w:rPr>
          <w:noProof/>
        </w:rPr>
      </w:pPr>
      <w:r>
        <w:rPr>
          <w:noProof/>
        </w:rPr>
        <w:t>prošireni i restrukturirani popis pokazatelja.</w:t>
      </w:r>
    </w:p>
    <w:p>
      <w:pPr>
        <w:rPr>
          <w:noProof/>
        </w:rPr>
      </w:pPr>
      <w:r>
        <w:rPr>
          <w:noProof/>
        </w:rPr>
        <w:t>Komisija je pristala i izdati sljedeću izjavu u vezi s okvirnim proračunom za platforme Centara strukovne izvrsnosti:</w:t>
      </w:r>
    </w:p>
    <w:p>
      <w:pPr>
        <w:rPr>
          <w:noProof/>
        </w:rPr>
      </w:pPr>
      <w:r>
        <w:rPr>
          <w:noProof/>
        </w:rPr>
        <w:t>Ne dovodeći u pitanje ovlasti zakonodavnog i proračunskog tijela, Komisija se obvezuje dodijeliti okvirni iznos od 400 milijuna EUR u tekućim cijenama za potporu platformama Centara za strukovnu izvrsnost tijekom cijelog trajanja programa, pod uvjetom da se privremenom evaluacijom programa potvrdi pozitivna ocjena rezultata aktivnosti.</w:t>
      </w:r>
    </w:p>
    <w:p>
      <w:pPr>
        <w:rPr>
          <w:rFonts w:ascii="&amp;quot" w:hAnsi="&amp;quot"/>
          <w:noProof/>
          <w:color w:val="444444"/>
        </w:rPr>
      </w:pPr>
      <w:r>
        <w:rPr>
          <w:noProof/>
        </w:rPr>
        <w:lastRenderedPageBreak/>
        <w:t>Kad Vijeće donese svoje stajalište u prvom čitanju, od Europskog parlamenta očekuje se da formalno potvrdi dogovor postignut u trijalozima.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Primjedbe na stajalište Vijeća</w:t>
      </w:r>
    </w:p>
    <w:p>
      <w:pPr>
        <w:widowControl w:val="0"/>
        <w:rPr>
          <w:noProof/>
        </w:rPr>
      </w:pPr>
      <w:r>
        <w:rPr>
          <w:noProof/>
        </w:rPr>
        <w:t xml:space="preserve">Stajalište Vijeća odražava dogovor postignut u trijalozima. Najvažnije izmjene u usporedbi s prijedlogom Komisije uključuju: </w:t>
      </w:r>
    </w:p>
    <w:p>
      <w:pPr>
        <w:pStyle w:val="Tiret1"/>
        <w:numPr>
          <w:ilvl w:val="0"/>
          <w:numId w:val="11"/>
        </w:numPr>
        <w:rPr>
          <w:noProof/>
        </w:rPr>
      </w:pPr>
      <w:r>
        <w:rPr>
          <w:noProof/>
        </w:rPr>
        <w:t>ime programa Erasmus+ umjesto Erasmus,</w:t>
      </w:r>
    </w:p>
    <w:p>
      <w:pPr>
        <w:pStyle w:val="Tiret1"/>
        <w:rPr>
          <w:noProof/>
          <w:szCs w:val="24"/>
        </w:rPr>
      </w:pPr>
      <w:r>
        <w:rPr>
          <w:noProof/>
        </w:rPr>
        <w:t xml:space="preserve">financijska omotnica programa utvrđuje se u iznosu od 24,574 milijarde EUR u tekućim cijenama, a dodatna sredstva iznose 1,7 milijardi EUR u cijenama iz 2018. i proizlaze iz prilagodbe za pojedine programe predviđene člankom 5. i prilogom II. Uredbi Vijeća (EU, Euratom) 2020/2093 (Uredbi o VFO-u), </w:t>
      </w:r>
    </w:p>
    <w:p>
      <w:pPr>
        <w:pStyle w:val="Tiret0"/>
        <w:rPr>
          <w:noProof/>
        </w:rPr>
      </w:pPr>
      <w:r>
        <w:rPr>
          <w:noProof/>
        </w:rPr>
        <w:t>raspodjela proračuna izmijenjena je kako slijedi:</w:t>
      </w:r>
    </w:p>
    <w:p>
      <w:pPr>
        <w:pStyle w:val="Bullet1"/>
        <w:numPr>
          <w:ilvl w:val="0"/>
          <w:numId w:val="12"/>
        </w:numPr>
        <w:rPr>
          <w:noProof/>
        </w:rPr>
      </w:pPr>
      <w:r>
        <w:rPr>
          <w:noProof/>
        </w:rPr>
        <w:t>ukupna omotnica: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sredstva za obrazovanje i osposobljavanje smanjena su s 83,1 na 83 %,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sredstva za sport povećana su  s 1,8 % na 1,9 %,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 xml:space="preserve">naknade za upravljanje nacionalnim agencijama povećane su s 3,2 na 3,3 %, </w:t>
      </w:r>
    </w:p>
    <w:p>
      <w:pPr>
        <w:pStyle w:val="Bullet1"/>
        <w:rPr>
          <w:noProof/>
        </w:rPr>
      </w:pPr>
      <w:r>
        <w:rPr>
          <w:noProof/>
        </w:rPr>
        <w:t>udjeli u okviru proračuna za obrazovanje i osposobljavanje: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sredstva za mobilnost odraslih polaznika povećana su s 4,8 na 5,8 %,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sredstva za stručno obrazovanje i osposobljavanje povećana su s 21 % na 21,5 %,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„najmanje“ 1,8 % namijenjeno je za aktivnost Jean Monnet,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„najmanje“ 17 % udjela namijenjeno je horizontalnim aktivnostima i projektnim aktivnostima kojima se centralizirano upravlja, uključujući okvirni iznos od 400 milijuna EUR za Centre strukovne izvrsnosti navedene u izjavi Komisije,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granica fleksibilnosti smanjena je s 5,5 % na 4,1 %,</w:t>
      </w:r>
    </w:p>
    <w:p>
      <w:pPr>
        <w:pStyle w:val="Tiret0"/>
        <w:rPr>
          <w:noProof/>
        </w:rPr>
      </w:pPr>
      <w:r>
        <w:rPr>
          <w:noProof/>
        </w:rPr>
        <w:t>mobilnost odraslih polaznika u okviru ključne aktivnosti 1 (mobilnost u svrhu učenja),</w:t>
      </w:r>
    </w:p>
    <w:p>
      <w:pPr>
        <w:pStyle w:val="Tiret0"/>
        <w:rPr>
          <w:noProof/>
        </w:rPr>
      </w:pPr>
      <w:r>
        <w:rPr>
          <w:noProof/>
        </w:rPr>
        <w:t>ojačana dimenzija uključenosti (samostalno poglavlje s dva nova članka),</w:t>
      </w:r>
    </w:p>
    <w:p>
      <w:pPr>
        <w:pStyle w:val="Tiret0"/>
        <w:rPr>
          <w:noProof/>
        </w:rPr>
      </w:pPr>
      <w:r>
        <w:rPr>
          <w:noProof/>
        </w:rPr>
        <w:t>novi prilog u kojem se u glavnim crtama opisuju aktivnosti programa i čuva potrebna fleksibilnost za provedbu programa te koji se može izmijeniti delegiranim aktom,</w:t>
      </w:r>
    </w:p>
    <w:p>
      <w:pPr>
        <w:pStyle w:val="Tiret0"/>
        <w:rPr>
          <w:noProof/>
        </w:rPr>
      </w:pPr>
      <w:r>
        <w:rPr>
          <w:noProof/>
        </w:rPr>
        <w:t>revidirani i restrukturirani popis pokazatelja,</w:t>
      </w:r>
    </w:p>
    <w:p>
      <w:pPr>
        <w:pStyle w:val="Tiret0"/>
        <w:rPr>
          <w:noProof/>
        </w:rPr>
      </w:pPr>
      <w:r>
        <w:rPr>
          <w:noProof/>
        </w:rPr>
        <w:t>fiksno trajanje programa usklađeno s trajanjem višegodišnjeg financijskog okvira,</w:t>
      </w:r>
    </w:p>
    <w:p>
      <w:pPr>
        <w:pStyle w:val="Tiret0"/>
        <w:rPr>
          <w:noProof/>
        </w:rPr>
      </w:pPr>
      <w:r>
        <w:rPr>
          <w:noProof/>
        </w:rPr>
        <w:t>dodavanje odredbi o retroaktivnosti,</w:t>
      </w:r>
    </w:p>
    <w:p>
      <w:pPr>
        <w:pStyle w:val="Tiret0"/>
        <w:rPr>
          <w:noProof/>
        </w:rPr>
      </w:pPr>
      <w:r>
        <w:rPr>
          <w:noProof/>
        </w:rPr>
        <w:t>revidirane odredbe o uvjetima za sudjelovanje trećih zemalja pridruženih programu i nepovezanih s programom.</w:t>
      </w:r>
    </w:p>
    <w:p>
      <w:pPr>
        <w:widowControl w:val="0"/>
        <w:rPr>
          <w:noProof/>
        </w:rPr>
      </w:pPr>
      <w:r>
        <w:rPr>
          <w:noProof/>
        </w:rPr>
        <w:t>Općenito, postignutim dogovorom sačuvani su ciljevi i ambicioznost iz izvornog prijedloga Komisije te je omogućena potrebna razina fleksibilnosti za provedbu programa.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Zaključak</w:t>
      </w:r>
    </w:p>
    <w:p>
      <w:pPr>
        <w:keepNext/>
        <w:rPr>
          <w:noProof/>
        </w:rPr>
      </w:pPr>
      <w:r>
        <w:rPr>
          <w:noProof/>
        </w:rPr>
        <w:t>Komisija prihvaća stajalište Vijeća.</w:t>
      </w: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Izjava Komisije</w:t>
      </w:r>
    </w:p>
    <w:p>
      <w:pPr>
        <w:rPr>
          <w:noProof/>
        </w:rPr>
      </w:pPr>
      <w:r>
        <w:rPr>
          <w:noProof/>
        </w:rPr>
        <w:t>Izjava Komisije nalazi se u prilogu.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spacing w:before="0" w:after="0" w:line="360" w:lineRule="auto"/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PRILOG</w:t>
      </w:r>
    </w:p>
    <w:p>
      <w:pPr>
        <w:spacing w:before="0" w:after="0" w:line="360" w:lineRule="auto"/>
        <w:jc w:val="left"/>
        <w:rPr>
          <w:noProof/>
        </w:rPr>
      </w:pPr>
    </w:p>
    <w:p>
      <w:pPr>
        <w:spacing w:before="0" w:after="0" w:line="360" w:lineRule="auto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Izjava Europske komisije o posebnim dodjelama za platforme Centara strukovne izvrsnosti.</w:t>
      </w:r>
    </w:p>
    <w:p>
      <w:pPr>
        <w:spacing w:before="0" w:after="0" w:line="360" w:lineRule="auto"/>
        <w:ind w:left="5724"/>
        <w:rPr>
          <w:noProof/>
          <w:sz w:val="28"/>
          <w:szCs w:val="28"/>
        </w:rPr>
      </w:pPr>
    </w:p>
    <w:p>
      <w:pPr>
        <w:keepNext/>
        <w:spacing w:before="0" w:after="0" w:line="360" w:lineRule="auto"/>
        <w:rPr>
          <w:noProof/>
        </w:rPr>
      </w:pPr>
      <w:r>
        <w:rPr>
          <w:noProof/>
        </w:rPr>
        <w:t>Ne dovodeći u pitanje ovlasti zakonodavnog i proračunskog tijela, Komisija se obvezuje dodijeliti okvirni iznos od 400 milijuna EUR u tekućim cijenama za potporu platformama Centara za strukovnu izvrsnost tijekom cijelog trajanja programa, pod uvjetom da se privremenom evaluacijom programa potvrdi pozitivna ocjena rezultata aktivnosti.</w:t>
      </w:r>
    </w:p>
    <w:p>
      <w:pPr>
        <w:spacing w:before="0" w:after="0" w:line="360" w:lineRule="auto"/>
        <w:rPr>
          <w:noProof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347E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57491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C0B5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D468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AA13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FE3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89A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24F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09 13:29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DCE98E3-7C09-40B2-9475-C712150E3968"/>
    <w:docVar w:name="LW_COVERPAGE_TYPE" w:val="1"/>
    <w:docVar w:name="LW_CROSSREFERENCE" w:val="&lt;UNUSED&gt;"/>
    <w:docVar w:name="LW_DocType" w:val="COM"/>
    <w:docVar w:name="LW_EMISSION" w:val="16.4.2021."/>
    <w:docVar w:name="LW_EMISSION_ISODATE" w:val="2021-04-16"/>
    <w:docVar w:name="LW_EMISSION_LOCATION" w:val="BRX"/>
    <w:docVar w:name="LW_EMISSION_PREFIX" w:val="Bruxelles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kst zna\u269?ajan za EGP)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1"/>
    <w:docVar w:name="LW_REF.II.NEW.CP_YEAR" w:val="2018"/>
    <w:docVar w:name="LW_REF.INST.NEW" w:val="COM"/>
    <w:docVar w:name="LW_REF.INST.NEW_ADOPTED" w:val="final"/>
    <w:docVar w:name="LW_REF.INST.NEW_TEXT" w:val="(2021) 1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tajali\u353?tu Vije\u263?a o dono\u353?enju Uredbe Europskog parlamenta i Vije\u263?a o uspostavi programa \u8222?Erasmus+\u8221?: programa Unije za obrazovanje, osposobljavanje, mlade i sport te o stavljanju izvan snage Uredbe (EU) br. 1288/2013"/>
    <w:docVar w:name="LW_TYPE.DOC.CP" w:val="KOMUNIKACIJA KOMISIJE_x000b_EUROPSKOM PARLAMENTU_x000b__x000b_na temelju \u269?lanka 294. stavka 6. Ugovora o funkcioniranju Europske unije_x000b__x000b_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D3B14F-9231-46E3-ABAC-EADCB63C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7</Pages>
  <Words>1384</Words>
  <Characters>8613</Characters>
  <Application>Microsoft Office Word</Application>
  <DocSecurity>0</DocSecurity>
  <Lines>183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2021-04-06T08:28:00Z</dcterms:created>
  <dcterms:modified xsi:type="dcterms:W3CDTF">2021-04-09T11:29:00Z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