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6C25EAF9-83F9-44A0-8154-0B2B941E497D" style="width:451.25pt;height:446.25pt">
            <v:imagedata r:id="rId9" o:title=""/>
          </v:shape>
        </w:pict>
      </w:r>
    </w:p>
    <w:p>
      <w:pPr>
        <w:tabs>
          <w:tab w:val="left" w:pos="5432"/>
        </w:tabs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2018/0190 (COD)</w:t>
      </w:r>
    </w:p>
    <w:p>
      <w:pPr>
        <w:pStyle w:val="Typedudocument"/>
        <w:rPr>
          <w:noProof/>
        </w:rPr>
      </w:pPr>
      <w:r>
        <w:rPr>
          <w:noProof/>
        </w:rPr>
        <w:t>COMUNICAZIONE DELLA COMMISSIONE AL PARLAMENTO EUROPEO</w:t>
      </w:r>
      <w:r>
        <w:rPr>
          <w:noProof/>
        </w:rPr>
        <w:br/>
      </w:r>
      <w:r>
        <w:rPr>
          <w:noProof/>
        </w:rPr>
        <w:br/>
        <w:t>a norma dell'articolo 294, paragrafo 6, del trattato sul funzionamento</w:t>
      </w:r>
      <w:r>
        <w:rPr>
          <w:noProof/>
        </w:rPr>
        <w:br/>
        <w:t xml:space="preserve">dell'Unione europea </w:t>
      </w:r>
      <w:r>
        <w:rPr>
          <w:noProof/>
        </w:rPr>
        <w:br/>
      </w:r>
      <w:r>
        <w:rPr>
          <w:noProof/>
        </w:rPr>
        <w:br/>
        <w:t>riguardante la</w:t>
      </w:r>
    </w:p>
    <w:p>
      <w:pPr>
        <w:pStyle w:val="Titreobjet"/>
        <w:rPr>
          <w:noProof/>
        </w:rPr>
      </w:pPr>
      <w:r>
        <w:rPr>
          <w:noProof/>
        </w:rPr>
        <w:t>posizione del Consiglio ai fini dell'adozione di un regolamento del Parlamento europeo e del Consiglio che istituisce il programma Europa creativa (2021-2027) e che abroga il regolamento (UE) n. 1295/2013</w:t>
      </w:r>
    </w:p>
    <w:p>
      <w:pPr>
        <w:pStyle w:val="IntrtEEE"/>
        <w:rPr>
          <w:noProof/>
        </w:rPr>
      </w:pPr>
      <w:r>
        <w:rPr>
          <w:noProof/>
        </w:rPr>
        <w:t>(Testo rilevante ai fini del SEE)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Iter procedurale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Data di trasmissione della proposta al Parlamento europeo e al Consiglio (documento COM(2018) 366):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 maggio 2018</w:t>
            </w:r>
          </w:p>
        </w:tc>
      </w:tr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Data del parere del Comitato delle regioni: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 febbraio 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del parere del Comitato economico e sociale europeo: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 dicembre 2018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della posizione del Parlamento europeo in prima lettura: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 marzo 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Data dell'accordo del Consiglio su un orientamento generale: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 dicembre 2018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Date dei triloghi: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9 ottobre 2019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 novembre 2019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 dicembre 2019</w:t>
            </w:r>
          </w:p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14 dicembre 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in cui il comitato dei rappresentanti permanenti ha confermato l'accordo di compromesso: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18 dicembre 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Data in cui la commissione CULT del Parlamento europeo ha votato a favore dell'accordo di compromesso: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11 gennaio 2021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Data in cui il comitato dei rappresentanti permanenti ha adottato la posizione del Consiglio (punto I/A):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31 marzo 2021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di adozione della posizione del Consiglio in prima lettura: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 aprile 2021</w:t>
            </w:r>
          </w:p>
        </w:tc>
      </w:tr>
    </w:tbl>
    <w:p>
      <w:pPr>
        <w:pStyle w:val="ManualHeading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Finalità della proposta della Commissione</w:t>
      </w:r>
    </w:p>
    <w:p>
      <w:pPr>
        <w:rPr>
          <w:noProof/>
        </w:rPr>
      </w:pPr>
      <w:r>
        <w:rPr>
          <w:noProof/>
        </w:rPr>
        <w:t>Il programma è uno degli strumenti di finanziamento del quadro finanziario pluriennale 2021-2027. Per Europa creativa la Commissione ha proposto un bilancio complessivo di 1,85 miliardi di EUR.</w:t>
      </w:r>
    </w:p>
    <w:p>
      <w:pPr>
        <w:rPr>
          <w:noProof/>
        </w:rPr>
      </w:pPr>
      <w:r>
        <w:rPr>
          <w:noProof/>
        </w:rPr>
        <w:lastRenderedPageBreak/>
        <w:t>Il nuovo programma Europa creativa a sostegno dei settori culturali e creativi, compreso quello audiovisivo, si fonda sui risultati conseguiti dal programma attuale, nel contempo fissando traguardi più ambiziosi e proponendosi di reagire agli sviluppi recenti, tra cui una maggiore concorrenza globale e la digitalizzazione. Il programma si compone delle sezioni CULTURA, MEDIA e TRANSETTORIALE e offre agli operatori culturali e creativi possibilità di sviluppare iniziative transfrontaliere a livello europeo innovative dal punto di vista tecnologico e artistico, al fine di scambiare, creare insieme, coprodurre e distribuire opere europee e renderle accessibili a un pubblico ampio e diversificato. Esso intensificherà anche la sperimentazione di nuovi modelli commerciali che consentano ai creatori, per esempio, di fare il miglior uso della tecnologia digitale per l'allargamento e la diversificazione del pubblico. Il nuovo programma sosterrà inoltre azioni volte a rafforzare un ambiente mediatico libero, diversificato e pluralistico in Europa e un approccio critico al contenuto dei media favorendo l'alfabetizzazione mediatica.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Osservazioni sulla posizione del Parlamento europeo</w:t>
      </w:r>
    </w:p>
    <w:p>
      <w:pPr>
        <w:spacing w:before="240"/>
        <w:rPr>
          <w:noProof/>
          <w:szCs w:val="24"/>
        </w:rPr>
      </w:pPr>
      <w:r>
        <w:rPr>
          <w:noProof/>
        </w:rPr>
        <w:t>Nella posizione adottata in prima lettura il 28 marzo 2019 il Parlamento europeo ha suggerito modifiche alla proposta della Commissione, in particolare per quanto riguarda:</w:t>
      </w: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>il bilancio: raddoppio del bilancio (a prezzi costanti) e ripartizione percentuale tra le sezioni (CULTURA, MEDIA e TRANSETTORIALE);</w:t>
      </w:r>
    </w:p>
    <w:p>
      <w:pPr>
        <w:pStyle w:val="Tiret0"/>
        <w:rPr>
          <w:noProof/>
        </w:rPr>
      </w:pPr>
      <w:r>
        <w:rPr>
          <w:noProof/>
        </w:rPr>
        <w:t xml:space="preserve">la European Film Academy: beneficiaria designata nel contesto della promozione del Premio LUX del Parlamento europeo; </w:t>
      </w:r>
    </w:p>
    <w:p>
      <w:pPr>
        <w:pStyle w:val="Tiret0"/>
        <w:rPr>
          <w:noProof/>
        </w:rPr>
      </w:pPr>
      <w:r>
        <w:rPr>
          <w:noProof/>
        </w:rPr>
        <w:t>l'Orchestra dei giovani dell'Unione europea: elenco delle attività dell'orchestra da finanziare in quanto beneficiaria designata;</w:t>
      </w:r>
    </w:p>
    <w:p>
      <w:pPr>
        <w:pStyle w:val="Tiret0"/>
        <w:rPr>
          <w:noProof/>
        </w:rPr>
      </w:pPr>
      <w:r>
        <w:rPr>
          <w:noProof/>
        </w:rPr>
        <w:t>atti delegati per l'adozione dei programmi di lavoro annuali;</w:t>
      </w:r>
    </w:p>
    <w:p>
      <w:pPr>
        <w:pStyle w:val="Tiret0"/>
        <w:rPr>
          <w:noProof/>
        </w:rPr>
      </w:pPr>
      <w:r>
        <w:rPr>
          <w:noProof/>
        </w:rPr>
        <w:t>maggiori dettagli sull'attuazione delle sinergie con altri programmi;</w:t>
      </w:r>
    </w:p>
    <w:p>
      <w:pPr>
        <w:pStyle w:val="Tiret0"/>
        <w:rPr>
          <w:noProof/>
        </w:rPr>
      </w:pPr>
      <w:r>
        <w:rPr>
          <w:noProof/>
        </w:rPr>
        <w:t>il valore intrinseco della cultura come nuovo obiettivo generale;</w:t>
      </w:r>
    </w:p>
    <w:p>
      <w:pPr>
        <w:pStyle w:val="Tiret0"/>
        <w:rPr>
          <w:noProof/>
        </w:rPr>
      </w:pPr>
      <w:r>
        <w:rPr>
          <w:noProof/>
        </w:rPr>
        <w:t>nuovi obiettivi specifici: mobilità degli artisti e circolazione delle opere, fornitura di dati, analisi e indicatori, diversificazione del pubblico e parità di genere;</w:t>
      </w:r>
    </w:p>
    <w:p>
      <w:pPr>
        <w:pStyle w:val="Tiret0"/>
        <w:rPr>
          <w:noProof/>
        </w:rPr>
      </w:pPr>
      <w:r>
        <w:rPr>
          <w:noProof/>
        </w:rPr>
        <w:t>modifiche del quadro di monitoraggio e valutazione;</w:t>
      </w:r>
    </w:p>
    <w:p>
      <w:pPr>
        <w:pStyle w:val="Tiret0"/>
        <w:rPr>
          <w:noProof/>
        </w:rPr>
      </w:pPr>
      <w:r>
        <w:rPr>
          <w:noProof/>
        </w:rPr>
        <w:t>l'uso dei loghi del programma;</w:t>
      </w:r>
    </w:p>
    <w:p>
      <w:pPr>
        <w:pStyle w:val="Tiret0"/>
        <w:rPr>
          <w:noProof/>
        </w:rPr>
      </w:pPr>
      <w:r>
        <w:rPr>
          <w:noProof/>
        </w:rPr>
        <w:t>la raccolta di dati per i settori culturali e creativi;</w:t>
      </w:r>
    </w:p>
    <w:p>
      <w:pPr>
        <w:pStyle w:val="Tiret0"/>
        <w:rPr>
          <w:noProof/>
        </w:rPr>
      </w:pPr>
      <w:r>
        <w:rPr>
          <w:noProof/>
        </w:rPr>
        <w:t>l'attenzione all'inclusione in tutte le azioni del programma;</w:t>
      </w:r>
    </w:p>
    <w:p>
      <w:pPr>
        <w:pStyle w:val="Tiret0"/>
        <w:rPr>
          <w:noProof/>
        </w:rPr>
      </w:pPr>
      <w:r>
        <w:rPr>
          <w:noProof/>
        </w:rPr>
        <w:t xml:space="preserve">azioni volte a sostenere i paesi dotati di capacità basse nella sezione MEDIA. </w:t>
      </w:r>
    </w:p>
    <w:p>
      <w:pPr>
        <w:rPr>
          <w:noProof/>
        </w:rPr>
      </w:pPr>
      <w:r>
        <w:rPr>
          <w:noProof/>
        </w:rPr>
        <w:t>Nell'ambito dell'accordo raggiunto nei triloghi, la Commissione ha accettato:</w:t>
      </w:r>
    </w:p>
    <w:p>
      <w:pPr>
        <w:pStyle w:val="Tiret0"/>
        <w:rPr>
          <w:noProof/>
        </w:rPr>
      </w:pPr>
      <w:r>
        <w:rPr>
          <w:noProof/>
        </w:rPr>
        <w:t xml:space="preserve">una dotazione finanziaria del programma fissata a 1 842 000 000 EUR a prezzi correnti e una dotazione supplementare di 600 000 000 EUR a prezzi 2018, derivante dall'adeguamento specifico dei programmi di cui all'articolo 5 e all'allegato II del regolamento (UE, Euratom) 2020/2093 del Consiglio (ossia il regolamento QFP); </w:t>
      </w:r>
    </w:p>
    <w:p>
      <w:pPr>
        <w:pStyle w:val="Tiret0"/>
        <w:rPr>
          <w:noProof/>
        </w:rPr>
      </w:pPr>
      <w:r>
        <w:rPr>
          <w:noProof/>
        </w:rPr>
        <w:t>una ripartizione percentuale del bilancio tra le sezioni;</w:t>
      </w:r>
    </w:p>
    <w:p>
      <w:pPr>
        <w:pStyle w:val="Tiret0"/>
        <w:rPr>
          <w:noProof/>
        </w:rPr>
      </w:pPr>
      <w:r>
        <w:rPr>
          <w:noProof/>
        </w:rPr>
        <w:t xml:space="preserve">un legame più stretto tra la European Film Academy e il Premio LUX del Parlamento europeo, senza che la European Film Academy sia una beneficiaria designata; </w:t>
      </w:r>
    </w:p>
    <w:p>
      <w:pPr>
        <w:pStyle w:val="Tiret0"/>
        <w:rPr>
          <w:noProof/>
        </w:rPr>
      </w:pPr>
      <w:r>
        <w:rPr>
          <w:noProof/>
        </w:rPr>
        <w:lastRenderedPageBreak/>
        <w:t>la possibilità, per l'Orchestra dei giovani dell'Unione, di partecipare a inviti a presentare proposte competitivi senza essere una beneficiaria designata;</w:t>
      </w:r>
    </w:p>
    <w:p>
      <w:pPr>
        <w:pStyle w:val="Tiret0"/>
        <w:rPr>
          <w:noProof/>
        </w:rPr>
      </w:pPr>
      <w:r>
        <w:rPr>
          <w:noProof/>
        </w:rPr>
        <w:t xml:space="preserve">il mantenimento del logo MEDIA; </w:t>
      </w:r>
    </w:p>
    <w:p>
      <w:pPr>
        <w:pStyle w:val="Tiret0"/>
        <w:rPr>
          <w:noProof/>
        </w:rPr>
      </w:pPr>
      <w:r>
        <w:rPr>
          <w:noProof/>
        </w:rPr>
        <w:t xml:space="preserve">un articolo sulla raccolta dei dati; </w:t>
      </w:r>
    </w:p>
    <w:p>
      <w:pPr>
        <w:pStyle w:val="Tiret0"/>
        <w:rPr>
          <w:noProof/>
        </w:rPr>
      </w:pPr>
      <w:r>
        <w:rPr>
          <w:noProof/>
        </w:rPr>
        <w:t xml:space="preserve">il riconoscimento del valore intrinseco ed economico della cultura; </w:t>
      </w:r>
    </w:p>
    <w:p>
      <w:pPr>
        <w:pStyle w:val="Tiret0"/>
        <w:rPr>
          <w:noProof/>
        </w:rPr>
      </w:pPr>
      <w:r>
        <w:rPr>
          <w:noProof/>
        </w:rPr>
        <w:t xml:space="preserve">un elenco, più chiaramente definito, delle azioni del programma nell'allegato; </w:t>
      </w:r>
    </w:p>
    <w:p>
      <w:pPr>
        <w:pStyle w:val="Tiret0"/>
        <w:rPr>
          <w:noProof/>
        </w:rPr>
      </w:pPr>
      <w:r>
        <w:rPr>
          <w:noProof/>
        </w:rPr>
        <w:t>l'inserimento dell'inclusione e della parità di genere come principi trasversali nell'attuazione del programma;</w:t>
      </w:r>
    </w:p>
    <w:p>
      <w:pPr>
        <w:pStyle w:val="Tiret0"/>
        <w:rPr>
          <w:noProof/>
        </w:rPr>
      </w:pPr>
      <w:r>
        <w:rPr>
          <w:noProof/>
        </w:rPr>
        <w:t xml:space="preserve">un più chiaro riconoscimento delle differenze tra i diversi paesi per quanto riguarda la produzione, la distribuzione e l'accesso ai contenuti audiovisivi come pure le loro specificità linguistiche e geografiche. </w:t>
      </w:r>
    </w:p>
    <w:p>
      <w:pPr>
        <w:rPr>
          <w:noProof/>
        </w:rPr>
      </w:pPr>
      <w:r>
        <w:rPr>
          <w:noProof/>
        </w:rPr>
        <w:t>La Commissione ha inoltre accettato di pubblicare la seguente lettera di intenti relativa all'Orchestra dei giovani dell'Unione europea:</w:t>
      </w:r>
    </w:p>
    <w:p>
      <w:pPr>
        <w:rPr>
          <w:noProof/>
        </w:rPr>
      </w:pPr>
      <w:r>
        <w:rPr>
          <w:noProof/>
        </w:rPr>
        <w:t>"Nel contesto del considerando 23 e dell'allegato I, parte 1, "Azioni specifiche", lettera e), e dell'articolo 7, paragrafo 5, del regolamento summenzionato, quale concordato dai colegislatori in data 14 dicembre 2020, la Commissione europea conferma l'intenzione di pubblicare inviti a presentare proposte per la domanda di sovvenzioni di funzionamento pluriennali, ai quali potrebbero partecipare l'Orchestra dei giovani dell'Unione europea e altre entità e che garantirebbero la stabilità necessaria al loro funzionamento. Tali inviti saranno subordinati all'adozione di programmi di lavoro che ne definiscano le esatte condizioni, come il calendario stesso o la durata delle convenzioni di sovvenzione previste. La Commissione conferma inoltre l'intenzione di pubblicare il primo di tali inviti nell'ambito del programma di lavoro annuale 2021. Questa intenzione è subordinata all'adozione del regolamento summenzionato e all'accordo definitivo sul bilancio dell'Unione per il 2021."</w:t>
      </w:r>
    </w:p>
    <w:p>
      <w:pPr>
        <w:rPr>
          <w:noProof/>
        </w:rPr>
      </w:pPr>
      <w:r>
        <w:rPr>
          <w:noProof/>
        </w:rPr>
        <w:t>Per quanto riguarda il mantenimento del logo MEDIA, la Commissione ha rilasciato la seguente dichiarazione:</w:t>
      </w:r>
    </w:p>
    <w:p>
      <w:pPr>
        <w:rPr>
          <w:noProof/>
        </w:rPr>
      </w:pPr>
      <w:r>
        <w:rPr>
          <w:noProof/>
        </w:rPr>
        <w:t>"La Commissione si rammarica che i colegislatori abbiano deciso di mantenere il logo MEDIA, in quanto tale scelta è in contrasto con l'approccio orizzontale che non prevede loghi specifici per i programmi nell'ambito del futuro bilancio a lungo termine. L'obiettivo della Commissione è far sì che i cittadini europei possano percepire l'Unione come un soggetto unitario grazie all'utilizzo di un unico emblema europeo nei suoi vari programmi. Tale emblema, comune a tutte le istituzioni dell'UE, sarà un elemento importante per rispettare i requisiti di semplicità, di coerenza e di obbligatorietà delle attività di comunicazione e visibilità in tutti i programmi. Al fine di raggiungere un accordo globale sul programma, la Commissione può accettare di mantenere il logo MEDIA a condizione che ciò sia limitato alla durata del periodo di programmazione in questione.</w:t>
      </w:r>
    </w:p>
    <w:p>
      <w:pPr>
        <w:rPr>
          <w:noProof/>
        </w:rPr>
      </w:pPr>
      <w:r>
        <w:rPr>
          <w:noProof/>
        </w:rPr>
        <w:t>La Commissione resta convinta che le attività di comunicazione e visibilità dell'azione dell'UE rivolte al grande pubblico siano più efficaci senza l'uso di loghi specifici per i singoli programmi ed è a disposizione dei colegislatori per dimostrare la validità di tale impostazione con ampio anticipo rispetto ai negoziati per il prossimo periodo di programmazione."</w:t>
      </w:r>
    </w:p>
    <w:p>
      <w:pPr>
        <w:rPr>
          <w:noProof/>
        </w:rPr>
      </w:pPr>
      <w:r>
        <w:rPr>
          <w:noProof/>
        </w:rPr>
        <w:t>Dopo l'adozione della posizione del Consiglio in prima lettura, il Parlamento europeo dovrebbe approvare formalmente l'accordo raggiunto nei triloghi.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Osservazioni sulla posizione del Consiglio</w:t>
      </w:r>
    </w:p>
    <w:p>
      <w:pPr>
        <w:widowControl w:val="0"/>
        <w:rPr>
          <w:noProof/>
        </w:rPr>
      </w:pPr>
      <w:r>
        <w:rPr>
          <w:noProof/>
        </w:rPr>
        <w:t xml:space="preserve">La posizione del Consiglio riflette l'accordo raggiunto nei triloghi. Le principali modifiche </w:t>
      </w:r>
      <w:r>
        <w:rPr>
          <w:noProof/>
        </w:rPr>
        <w:lastRenderedPageBreak/>
        <w:t xml:space="preserve">introdotte rispetto alla proposta della Commissione comprendono: </w:t>
      </w:r>
    </w:p>
    <w:p>
      <w:pPr>
        <w:pStyle w:val="Tiret0"/>
        <w:rPr>
          <w:noProof/>
        </w:rPr>
      </w:pPr>
      <w:r>
        <w:rPr>
          <w:noProof/>
        </w:rPr>
        <w:t>una dotazione finanziaria del programma fissata a 1 842 000 000 EUR a prezzi correnti e una dotazione supplementare di 600 000 000 EUR a prezzi 2018, derivante dall'adeguamento specifico dei programmi di cui all'articolo 5 e all'allegato II del regolamento (UE, Euratom) 2020/2093 del Consiglio (ossia il regolamento QFP);</w:t>
      </w:r>
    </w:p>
    <w:p>
      <w:pPr>
        <w:pStyle w:val="Tiret0"/>
        <w:rPr>
          <w:noProof/>
        </w:rPr>
      </w:pPr>
      <w:r>
        <w:rPr>
          <w:noProof/>
        </w:rPr>
        <w:t>una ripartizione del bilancio tra le sezioni espressa in percentuale anziché in cifre assolute;</w:t>
      </w:r>
    </w:p>
    <w:p>
      <w:pPr>
        <w:pStyle w:val="Tiret0"/>
        <w:rPr>
          <w:noProof/>
        </w:rPr>
      </w:pPr>
      <w:r>
        <w:rPr>
          <w:noProof/>
        </w:rPr>
        <w:t>una maggiore attenzione alla dimensione dell'inclusione e della parità di genere;</w:t>
      </w:r>
    </w:p>
    <w:p>
      <w:pPr>
        <w:pStyle w:val="Tiret0"/>
        <w:rPr>
          <w:noProof/>
        </w:rPr>
      </w:pPr>
      <w:r>
        <w:rPr>
          <w:noProof/>
        </w:rPr>
        <w:t>un riferimento alla "parità di condizioni" nel contesto della sezione MEDIA del programma;</w:t>
      </w:r>
    </w:p>
    <w:p>
      <w:pPr>
        <w:pStyle w:val="Tiret0"/>
        <w:rPr>
          <w:noProof/>
        </w:rPr>
      </w:pPr>
      <w:r>
        <w:rPr>
          <w:noProof/>
        </w:rPr>
        <w:t>un riferimento più forte alla musica;</w:t>
      </w:r>
    </w:p>
    <w:p>
      <w:pPr>
        <w:pStyle w:val="Tiret0"/>
        <w:rPr>
          <w:noProof/>
        </w:rPr>
      </w:pPr>
      <w:r>
        <w:rPr>
          <w:noProof/>
        </w:rPr>
        <w:t>il riconoscimento del valore intrinseco ed economico della cultura;</w:t>
      </w:r>
    </w:p>
    <w:p>
      <w:pPr>
        <w:pStyle w:val="Tiret0"/>
        <w:rPr>
          <w:noProof/>
        </w:rPr>
      </w:pPr>
      <w:r>
        <w:rPr>
          <w:noProof/>
        </w:rPr>
        <w:t>la soppressione della European Film Academy e dell'Orchestra dei giovani dell'Unione europea quali beneficiarie designate;</w:t>
      </w:r>
    </w:p>
    <w:p>
      <w:pPr>
        <w:pStyle w:val="Tiret0"/>
        <w:rPr>
          <w:noProof/>
        </w:rPr>
      </w:pPr>
      <w:r>
        <w:rPr>
          <w:noProof/>
        </w:rPr>
        <w:t>l'aggiunta di un articolo sulla procedura di comitato;</w:t>
      </w:r>
    </w:p>
    <w:p>
      <w:pPr>
        <w:pStyle w:val="Tiret0"/>
        <w:rPr>
          <w:noProof/>
        </w:rPr>
      </w:pPr>
      <w:r>
        <w:rPr>
          <w:noProof/>
        </w:rPr>
        <w:t>un articolo sulla raccolta dei dati;</w:t>
      </w:r>
    </w:p>
    <w:p>
      <w:pPr>
        <w:pStyle w:val="Tiret0"/>
        <w:rPr>
          <w:noProof/>
        </w:rPr>
      </w:pPr>
      <w:r>
        <w:rPr>
          <w:noProof/>
        </w:rPr>
        <w:t>la revisione degli indicatori;</w:t>
      </w:r>
    </w:p>
    <w:p>
      <w:pPr>
        <w:pStyle w:val="Tiret0"/>
        <w:rPr>
          <w:noProof/>
        </w:rPr>
      </w:pPr>
      <w:r>
        <w:rPr>
          <w:noProof/>
        </w:rPr>
        <w:t>una durata fissa del programma allineata a quella del quadro finanziario pluriennale;</w:t>
      </w:r>
    </w:p>
    <w:p>
      <w:pPr>
        <w:pStyle w:val="Tiret0"/>
        <w:rPr>
          <w:noProof/>
        </w:rPr>
      </w:pPr>
      <w:r>
        <w:rPr>
          <w:noProof/>
        </w:rPr>
        <w:t>il riferimento alle disposizioni relative alla retroattività.</w:t>
      </w:r>
    </w:p>
    <w:p>
      <w:pPr>
        <w:widowControl w:val="0"/>
        <w:rPr>
          <w:noProof/>
        </w:rPr>
      </w:pPr>
      <w:r>
        <w:rPr>
          <w:noProof/>
        </w:rPr>
        <w:t xml:space="preserve">In linea generale, l'accordo raggiunto preserva gli obiettivi della proposta originaria della Commissione, mantenendo il livello di ambizione ma consentendo la flessibilità necessaria per l'attuazione del programma.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Conclusioni</w:t>
      </w:r>
    </w:p>
    <w:p>
      <w:pPr>
        <w:keepNext/>
        <w:rPr>
          <w:noProof/>
        </w:rPr>
      </w:pPr>
      <w:r>
        <w:rPr>
          <w:noProof/>
        </w:rPr>
        <w:t>La Commissione accetta la posizione assunta dal Consiglio.</w:t>
      </w:r>
    </w:p>
    <w:p>
      <w:pPr>
        <w:keepNext/>
        <w:rPr>
          <w:noProof/>
        </w:rPr>
      </w:pPr>
    </w:p>
    <w:p>
      <w:pPr>
        <w:rPr>
          <w:noProof/>
        </w:rPr>
      </w:pPr>
    </w:p>
    <w:sectPr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347E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57491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C0B5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D468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AA13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FE3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89A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24F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14 08:35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C25EAF9-83F9-44A0-8154-0B2B941E497D"/>
    <w:docVar w:name="LW_COVERPAGE_TYPE" w:val="1"/>
    <w:docVar w:name="LW_CROSSREFERENCE" w:val="&lt;UNUSED&gt;"/>
    <w:docVar w:name="LW_DocType" w:val="COM"/>
    <w:docVar w:name="LW_EMISSION" w:val="16.4.2021"/>
    <w:docVar w:name="LW_EMISSION_ISODATE" w:val="2021-04-16"/>
    <w:docVar w:name="LW_EMISSION_LOCATION" w:val="BRX"/>
    <w:docVar w:name="LW_EMISSION_PREFIX" w:val="Bruxelles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sto rilevante ai fini del SEE)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90"/>
    <w:docVar w:name="LW_REF.II.NEW.CP_YEAR" w:val="2018"/>
    <w:docVar w:name="LW_REF.INST.NEW" w:val="COM"/>
    <w:docVar w:name="LW_REF.INST.NEW_ADOPTED" w:val="final"/>
    <w:docVar w:name="LW_REF.INST.NEW_TEXT" w:val="(2021) 1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posizione del Consiglio ai fini dell'adozione di un regolamento del Parlamento europeo e del Consiglio che istituisce il programma Europa creativa (2021-2027) e che abroga il regolamento (UE) n. 1295/2013"/>
    <w:docVar w:name="LW_TYPE.DOC.CP" w:val="COMUNICAZIONE DELLA COMMISSIONE AL PARLAMENTO EUROPEO_x000b__x000b_a norma dell'articolo 294, paragrafo 6, del trattato sul funzionamento_x000b_dell'Unione europea _x000b__x000b_riguardante l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riefingtext">
    <w:name w:val="Briefing text"/>
    <w:basedOn w:val="Normal"/>
    <w:link w:val="BriefingtextChar"/>
    <w:pPr>
      <w:spacing w:before="0" w:after="240"/>
    </w:pPr>
    <w:rPr>
      <w:rFonts w:ascii="Arial" w:eastAsia="Times New Roman" w:hAnsi="Arial" w:cs="Arial"/>
      <w:sz w:val="22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riefingtext">
    <w:name w:val="Briefing text"/>
    <w:basedOn w:val="Normal"/>
    <w:link w:val="BriefingtextChar"/>
    <w:pPr>
      <w:spacing w:before="0" w:after="240"/>
    </w:pPr>
    <w:rPr>
      <w:rFonts w:ascii="Arial" w:eastAsia="Times New Roman" w:hAnsi="Arial" w:cs="Arial"/>
      <w:sz w:val="22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0E0D8F-B9B3-4099-96CB-3775A8CD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1343</Words>
  <Characters>8197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2021-04-06T09:38:00Z</dcterms:created>
  <dcterms:modified xsi:type="dcterms:W3CDTF">2021-04-14T06:35:00Z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