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63CE504-26BE-4804-925D-A9605633DF56" style="width:450.4pt;height:408.55pt">
            <v:imagedata r:id="rId10" o:title=""/>
          </v:shape>
        </w:pict>
      </w:r>
    </w:p>
    <w:bookmarkEnd w:id="0"/>
    <w:p>
      <w:pPr>
        <w:rPr>
          <w:noProof/>
        </w:rPr>
        <w:sectPr>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line="240" w:lineRule="auto"/>
              <w:rPr>
                <w:rFonts w:ascii="Times New Roman" w:hAnsi="Times New Roman" w:cs="Times New Roman"/>
                <w:b/>
                <w:noProof/>
              </w:rPr>
            </w:pPr>
            <w:bookmarkStart w:id="1" w:name="_GoBack"/>
            <w:bookmarkEnd w:id="1"/>
            <w:r>
              <w:rPr>
                <w:rFonts w:ascii="Times New Roman" w:hAnsi="Times New Roman"/>
                <w:b/>
                <w:noProof/>
              </w:rPr>
              <w:lastRenderedPageBreak/>
              <w:t>Scheda di sintesi</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spacing w:line="240" w:lineRule="auto"/>
              <w:rPr>
                <w:rFonts w:ascii="Times New Roman" w:hAnsi="Times New Roman" w:cs="Times New Roman"/>
                <w:noProof/>
              </w:rPr>
            </w:pPr>
            <w:r>
              <w:rPr>
                <w:rFonts w:ascii="Times New Roman" w:hAnsi="Times New Roman"/>
                <w:noProof/>
              </w:rPr>
              <w:t>Valutazione d'impatto del partenariato europeo sulla metrologia</w:t>
            </w:r>
          </w:p>
        </w:tc>
      </w:tr>
      <w:tr>
        <w:tc>
          <w:tcPr>
            <w:tcW w:w="10490" w:type="dxa"/>
            <w:tcBorders>
              <w:bottom w:val="single" w:sz="4" w:space="0" w:color="auto"/>
            </w:tcBorders>
            <w:shd w:val="clear" w:color="auto" w:fill="CCCCCC"/>
          </w:tcPr>
          <w:p>
            <w:pPr>
              <w:spacing w:line="240" w:lineRule="auto"/>
              <w:rPr>
                <w:rFonts w:ascii="Times New Roman" w:hAnsi="Times New Roman" w:cs="Times New Roman"/>
                <w:b/>
                <w:noProof/>
              </w:rPr>
            </w:pPr>
            <w:r>
              <w:rPr>
                <w:rFonts w:ascii="Times New Roman" w:hAnsi="Times New Roman"/>
                <w:b/>
                <w:noProof/>
              </w:rPr>
              <w:t>A. Necessità di intervenire</w:t>
            </w:r>
          </w:p>
        </w:tc>
      </w:tr>
      <w:tr>
        <w:tc>
          <w:tcPr>
            <w:tcW w:w="10490" w:type="dxa"/>
            <w:tcBorders>
              <w:bottom w:val="single" w:sz="4" w:space="0" w:color="auto"/>
            </w:tcBorders>
            <w:shd w:val="clear" w:color="auto" w:fill="E0E0E0"/>
          </w:tcPr>
          <w:p>
            <w:pPr>
              <w:spacing w:line="240" w:lineRule="auto"/>
              <w:rPr>
                <w:rFonts w:ascii="Times New Roman" w:hAnsi="Times New Roman" w:cs="Times New Roman"/>
                <w:noProof/>
              </w:rPr>
            </w:pPr>
            <w:r>
              <w:rPr>
                <w:rFonts w:ascii="Times New Roman" w:hAnsi="Times New Roman"/>
                <w:b/>
                <w:noProof/>
              </w:rPr>
              <w:t xml:space="preserve">Qual è il problema e perché si pone a livello dell'UE?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La metrologia è lo studio scientifico della misurazione: si tratta di un elemento fondamentale per l'attività economica e sociale e di un bene pubblico. Attualmente i programmi di ricerca metrologica hanno un impatto limitato a livello di UE a causa della frammentazione delle attività e della duplicazione degli sforzi tra gli Stati membri. Viviamo un momento in cui l'Europa deve far fronte a una forte concorrenza globale nel settore della metrologia a causa della crescente esigenza di soluzioni metrologiche destinate alle tecnologie emergenti e allo sviluppo di nuovi prodotti. Inoltre, visto l'incremento delle sfide sociali che richiedono norme e regolamenti tecnici affidabili, diventa urgente affrontare la mancata integrazione della metrologia nel sistema di innovazione a livello europeo.</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Quali sono gli obiettivi da conseguire?</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 xml:space="preserve">Entro il 2030 l'iniziativa dovrebbe fornire, attraverso reti specializzate paneuropee, soluzioni metrologiche equivalenti almeno a quelle dei paesi che vantano i migliori risultati a livello mondiale. Grazie all'adozione e all'utilizzo di tecnologie emergenti fondamentali, queste soluzioni metrologiche dovrebbero favorire la vendita di nuovi prodotti e servizi innovativi. Le soluzioni dovrebbero inoltre contribuire all'elaborazione e all'attuazione efficaci di norme e regolamenti tecnici specifici su cui fondare le politiche pubbliche destinate ad affrontare le sfide della società. </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Qual è il valore aggiunto dell'intervento a livello dell'UE (sussidiarietà)?</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 xml:space="preserve">Il sostegno fornito finora a livello dell'UE ha dimostrato che è possibile promuovere livelli significativi di integrazione delle attività di ricerca metrologica in tutta Europa. Finora l'integrazione è stata trainata dalla collaborazione dal basso verso l'alto a livello di progetti. Data la crescente importanza della metrologia per la facilitazione delle tecnologie emergenti e la risposta alle sfide per la società, è necessario un approccio più strategico all'integrazione delle attività metrologiche per rafforzare la direzionalità della ricerca. Di conseguenza il valore aggiunto dell'azione a livello dell'UE dopo il 2020 deriverà dallo sviluppo e dall'attuazione di un approccio più programmatico incentrato sulla ricerca metrologica in settori di crescente importanza tecnologica e sociale. </w:t>
            </w:r>
          </w:p>
        </w:tc>
      </w:tr>
      <w:tr>
        <w:tc>
          <w:tcPr>
            <w:tcW w:w="10490" w:type="dxa"/>
            <w:tcBorders>
              <w:bottom w:val="single" w:sz="4" w:space="0" w:color="auto"/>
            </w:tcBorders>
            <w:shd w:val="clear" w:color="auto" w:fill="CCCCCC"/>
          </w:tcPr>
          <w:p>
            <w:pPr>
              <w:spacing w:line="240" w:lineRule="auto"/>
              <w:rPr>
                <w:rFonts w:ascii="Times New Roman" w:hAnsi="Times New Roman" w:cs="Times New Roman"/>
                <w:b/>
                <w:noProof/>
              </w:rPr>
            </w:pPr>
            <w:r>
              <w:rPr>
                <w:rFonts w:ascii="Times New Roman" w:hAnsi="Times New Roman"/>
                <w:b/>
                <w:noProof/>
              </w:rPr>
              <w:t>B. Soluzioni</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Quali sono le varie opzioni per conseguire gli obiettivi?</w:t>
            </w:r>
            <w:r>
              <w:rPr>
                <w:rFonts w:ascii="Times New Roman" w:hAnsi="Times New Roman"/>
                <w:noProof/>
              </w:rPr>
              <w:t xml:space="preserve"> </w:t>
            </w:r>
            <w:r>
              <w:rPr>
                <w:rFonts w:ascii="Times New Roman" w:hAnsi="Times New Roman"/>
                <w:b/>
                <w:noProof/>
              </w:rPr>
              <w:t>Ne è stata prescelta una? In caso negativo, perché?</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L'opzione di base è il finanziamento mediante inviti a presentare proposte nell'ambito del programma di lavoro di Orizzonte Europa. Questa opzione non consentirà di mobilitare finanziamenti nazionali istituzionalizzati a favore delle azioni. L'impatto sarebbe limitato ai risultati dei singoli progetti.</w:t>
            </w:r>
          </w:p>
          <w:p>
            <w:pPr>
              <w:spacing w:line="240" w:lineRule="auto"/>
              <w:rPr>
                <w:rFonts w:ascii="Times New Roman" w:hAnsi="Times New Roman" w:cs="Times New Roman"/>
                <w:noProof/>
              </w:rPr>
            </w:pPr>
            <w:r>
              <w:rPr>
                <w:rFonts w:ascii="Times New Roman" w:hAnsi="Times New Roman"/>
                <w:noProof/>
              </w:rPr>
              <w:t>La seconda opzione consiste nell'istituire un partenariato cofinanziato nell'ambito del quale un consorzio di istituti nazionali di metrologia finanzia le azioni parallelamente a Orizzonte Europa. Nell'ambito di questa opzione la possibilità di partecipazione di soggetti esterni al consorzio degli istituti di metrologia sarà limitata.</w:t>
            </w:r>
          </w:p>
          <w:p>
            <w:pPr>
              <w:spacing w:line="240" w:lineRule="auto"/>
              <w:rPr>
                <w:rFonts w:ascii="Times New Roman" w:hAnsi="Times New Roman" w:cs="Times New Roman"/>
                <w:noProof/>
              </w:rPr>
            </w:pPr>
            <w:r>
              <w:rPr>
                <w:rFonts w:ascii="Times New Roman" w:hAnsi="Times New Roman"/>
                <w:noProof/>
              </w:rPr>
              <w:t>La terza opzione è un partenariato istituzionalizzato a norma dell'articolo 185 del TFUE. Sulla base degli impegni iniziali per l'intera durata dell'iniziativa, mobiliterà finanziamenti nazionali istituzionalizzati a favore di un sistema a lungo termine di reti metrologiche europee sostenibili incentrato sullo sviluppo della capacità di ricerca metrologica a livello dell'UE in settori chiave che hanno un impatto sulle tecnologie emergenti e le sfide sociali. Questa modalità di finanziamento offrirà la possibilità di coinvolgere un'ampia gamma di partecipanti esterni lungo una "catena di valore metrologica", compresi gli enti di normazione e le autorità di regolamentazione, nonché l'industria e altri utenti finali. Per questi motivi questa è l'opzione prescelta.</w:t>
            </w:r>
          </w:p>
        </w:tc>
      </w:tr>
      <w:tr>
        <w:tc>
          <w:tcPr>
            <w:tcW w:w="10490" w:type="dxa"/>
            <w:shd w:val="clear" w:color="auto" w:fill="CCCCCC"/>
          </w:tcPr>
          <w:p>
            <w:pPr>
              <w:spacing w:line="240" w:lineRule="auto"/>
              <w:rPr>
                <w:rFonts w:ascii="Times New Roman" w:hAnsi="Times New Roman" w:cs="Times New Roman"/>
                <w:noProof/>
              </w:rPr>
            </w:pPr>
            <w:r>
              <w:rPr>
                <w:rFonts w:ascii="Times New Roman" w:hAnsi="Times New Roman"/>
                <w:b/>
                <w:noProof/>
              </w:rPr>
              <w:lastRenderedPageBreak/>
              <w:t xml:space="preserve">Quali sono le opinioni dei diversi portatori di interessi? Chi sono i sostenitori delle varie opzioni? </w:t>
            </w:r>
          </w:p>
        </w:tc>
      </w:tr>
      <w:tr>
        <w:tc>
          <w:tcPr>
            <w:tcW w:w="10490" w:type="dxa"/>
            <w:shd w:val="clear" w:color="auto" w:fill="auto"/>
          </w:tcPr>
          <w:p>
            <w:pPr>
              <w:spacing w:after="480" w:line="240" w:lineRule="auto"/>
              <w:rPr>
                <w:rFonts w:ascii="Times New Roman" w:hAnsi="Times New Roman" w:cs="Times New Roman"/>
                <w:noProof/>
              </w:rPr>
            </w:pPr>
            <w:r>
              <w:rPr>
                <w:rFonts w:ascii="Times New Roman" w:hAnsi="Times New Roman"/>
                <w:noProof/>
              </w:rPr>
              <w:t>Tra tutti i tipi di partecipanti, le opinioni dei portatori di interessi sono concordi e indicano che l'opzione di partenariato istituzionale a norma dell'articolo 185 è da privilegiare perché offre la possibilità di attuare un approccio a lungo termine, strategico e programmatico.</w:t>
            </w:r>
          </w:p>
        </w:tc>
      </w:tr>
      <w:tr>
        <w:tc>
          <w:tcPr>
            <w:tcW w:w="10490" w:type="dxa"/>
            <w:tcBorders>
              <w:bottom w:val="single" w:sz="4" w:space="0" w:color="auto"/>
            </w:tcBorders>
            <w:shd w:val="clear" w:color="auto" w:fill="CCCCCC"/>
          </w:tcPr>
          <w:p>
            <w:pPr>
              <w:spacing w:line="240" w:lineRule="auto"/>
              <w:rPr>
                <w:rFonts w:ascii="Times New Roman" w:hAnsi="Times New Roman" w:cs="Times New Roman"/>
                <w:b/>
                <w:noProof/>
              </w:rPr>
            </w:pPr>
            <w:r>
              <w:rPr>
                <w:rFonts w:ascii="Times New Roman" w:hAnsi="Times New Roman"/>
                <w:b/>
                <w:noProof/>
              </w:rPr>
              <w:t>C. Impatto dell'opzione prescelta</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Quali sono i vantaggi dell'opzione prescelta (o in mancanza di quest'ultima, delle opzioni principali)?</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 xml:space="preserve">I benefici economici hanno una componente sia diretta che indiretta. La componente diretta è l'aumento delle vendite di strumentazioni e di servizi collegati dell'industria, che dovrebbero ammontare a 50 milioni di EUR l'anno. Inoltre, l'obiettivo di promuovere l'innovazione nei settori strategici di applicazione ha indirettamente un ulteriore effetto leva a lungo termine sulle vendite. I benefici sociali e ambientali sono direttamente collegati alle reti metrologiche specializzate. Le reti forniscono soluzioni metrologiche specifiche per tutti i portatori di interessi lungo la catena di valore della metrologia, compresi l'industria, gli utilizzatori finali e i cittadini. </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Quali sono i costi dell'opzione prescelta (se ne esiste una, altrimenti delle opzioni principali)?</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I costi principali sono legati ai costi amministrativi dell'iniziativa, possono ammontare al massimo al 5 % del bilancio totale. La percentuale delle precedenti iniziative a norma dell'articolo 185 del TFUE era inferiore.</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 xml:space="preserve">Quale sarà l'incidenza sulle PMI e sulla competitività?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Facilitando l'adozione e lo sfruttamento delle tecnologie emergenti, l'iniziativa aiuterà le PMI e le grandi imprese a conquistare quote di mercato globali mediante la vendita di prodotti e servizi nuovi e innovativi, rafforzando in tal modo la competitività. Sostenendo lo sviluppo e l'attuazione di norme e regolamentazioni adeguate allo scopo, l'iniziativa ridurrà i costi di conformità per le imprese e pertanto rafforzerà ulteriormente la competitività.</w:t>
            </w:r>
          </w:p>
        </w:tc>
      </w:tr>
      <w:tr>
        <w:tc>
          <w:tcPr>
            <w:tcW w:w="10490" w:type="dxa"/>
            <w:tcBorders>
              <w:bottom w:val="single" w:sz="4" w:space="0" w:color="auto"/>
            </w:tcBorders>
            <w:shd w:val="clear" w:color="auto" w:fill="E6E6E6"/>
          </w:tcPr>
          <w:p>
            <w:pPr>
              <w:spacing w:line="240" w:lineRule="auto"/>
              <w:rPr>
                <w:rFonts w:ascii="Times New Roman" w:hAnsi="Times New Roman" w:cs="Times New Roman"/>
                <w:b/>
                <w:i/>
                <w:noProof/>
              </w:rPr>
            </w:pPr>
            <w:r>
              <w:rPr>
                <w:rFonts w:ascii="Times New Roman" w:hAnsi="Times New Roman"/>
                <w:b/>
                <w:noProof/>
              </w:rPr>
              <w:t>L'impatto sui bilanci e sulle amministrazioni nazionali sarà significativo?</w:t>
            </w:r>
            <w:r>
              <w:rPr>
                <w:rFonts w:ascii="Times New Roman" w:hAnsi="Times New Roman"/>
                <w:noProof/>
              </w:rPr>
              <w:t xml:space="preserve"> </w:t>
            </w:r>
          </w:p>
        </w:tc>
      </w:tr>
      <w:tr>
        <w:tc>
          <w:tcPr>
            <w:tcW w:w="10490" w:type="dxa"/>
            <w:shd w:val="clear" w:color="auto" w:fill="auto"/>
          </w:tcPr>
          <w:p>
            <w:pPr>
              <w:spacing w:line="240" w:lineRule="auto"/>
              <w:rPr>
                <w:rFonts w:ascii="Times New Roman" w:hAnsi="Times New Roman" w:cs="Times New Roman"/>
                <w:noProof/>
              </w:rPr>
            </w:pPr>
            <w:r>
              <w:rPr>
                <w:rFonts w:ascii="Times New Roman" w:hAnsi="Times New Roman"/>
                <w:noProof/>
              </w:rPr>
              <w:t>Mettendo in comune le risorse e concentrandosi sulle priorità strategiche comuni, l'iniziativa consentirà agli Stati membri di rafforzare l'efficienza dei loro investimenti pubblici e migliorare il rendimento in termini di portata degli impatti economici e sociali realizzati. In termini di impegno finanziario, i finanziamenti nazionali sarebbero assegnati per l'intera durata dell'iniziativa. L'onere amministrativo a livello nazionale dovrebbe essere ridotto grazie alla gestione dell'iniziativa a livello europeo mediante una struttura specifica di esecuzione.</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Sono previsti altri impatti significativi?</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L'iniziativa consentirà all'Europa di mantenere la sua leadership mondiale nella ricerca metrologica raggiungendo i nostri concorrenti in termini di finanziamento della metrologia sulle priorità strategiche.</w:t>
            </w:r>
          </w:p>
          <w:p>
            <w:pPr>
              <w:spacing w:line="240" w:lineRule="auto"/>
              <w:rPr>
                <w:rFonts w:ascii="Times New Roman" w:hAnsi="Times New Roman" w:cs="Times New Roman"/>
                <w:noProof/>
              </w:rPr>
            </w:pPr>
            <w:r>
              <w:rPr>
                <w:rFonts w:ascii="Times New Roman" w:hAnsi="Times New Roman"/>
                <w:noProof/>
              </w:rPr>
              <w:t>L'iniziativa consentirà all'Europa di reagire in modo più efficace dinanzi alla rapidità dell'attuale ritmo di transizione sociale sviluppando soluzioni di misurazione idonee per affrontare le sfide della società in settori quali la salute, l'ambiente e l'energia. Rafforzerà anche la capacità dell'Europa di rispondere efficacemente alle emergenze globali, come la pandemia di COVID</w:t>
            </w:r>
            <w:r>
              <w:rPr>
                <w:rFonts w:ascii="Times New Roman" w:hAnsi="Times New Roman"/>
                <w:noProof/>
              </w:rPr>
              <w:noBreakHyphen/>
              <w:t xml:space="preserve">19. </w:t>
            </w:r>
          </w:p>
          <w:p>
            <w:pPr>
              <w:spacing w:line="240" w:lineRule="auto"/>
              <w:rPr>
                <w:rFonts w:ascii="Times New Roman" w:hAnsi="Times New Roman" w:cs="Times New Roman"/>
                <w:noProof/>
              </w:rPr>
            </w:pPr>
            <w:r>
              <w:rPr>
                <w:rFonts w:ascii="Times New Roman" w:hAnsi="Times New Roman"/>
                <w:noProof/>
              </w:rPr>
              <w:t>L'iniziativa consentirà all'Europa di assumere un ruolo guida nella definizione di norme commerciali internazionali eque e trasparenti e nella risposta alle emergenze globali, come la pandemia di COVID</w:t>
            </w:r>
            <w:r>
              <w:rPr>
                <w:rFonts w:ascii="Times New Roman" w:hAnsi="Times New Roman"/>
                <w:noProof/>
              </w:rPr>
              <w:noBreakHyphen/>
              <w:t>19.</w:t>
            </w:r>
          </w:p>
        </w:tc>
      </w:tr>
      <w:tr>
        <w:tc>
          <w:tcPr>
            <w:tcW w:w="10490" w:type="dxa"/>
            <w:tcBorders>
              <w:bottom w:val="single" w:sz="4" w:space="0" w:color="auto"/>
            </w:tcBorders>
            <w:shd w:val="clear" w:color="auto" w:fill="D9D9D9"/>
          </w:tcPr>
          <w:p>
            <w:pPr>
              <w:spacing w:line="240" w:lineRule="auto"/>
              <w:rPr>
                <w:rFonts w:ascii="Times New Roman" w:hAnsi="Times New Roman" w:cs="Times New Roman"/>
                <w:i/>
                <w:noProof/>
              </w:rPr>
            </w:pPr>
            <w:r>
              <w:rPr>
                <w:rFonts w:ascii="Times New Roman" w:hAnsi="Times New Roman"/>
                <w:b/>
                <w:noProof/>
              </w:rPr>
              <w:t>Proporzionalità?</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L'opzione prescelta è l'unica che consegue tutti gli obiettivi.</w:t>
            </w:r>
          </w:p>
        </w:tc>
      </w:tr>
      <w:tr>
        <w:tc>
          <w:tcPr>
            <w:tcW w:w="10490" w:type="dxa"/>
            <w:tcBorders>
              <w:bottom w:val="single" w:sz="4" w:space="0" w:color="auto"/>
            </w:tcBorders>
            <w:shd w:val="clear" w:color="auto" w:fill="C0C0C0"/>
          </w:tcPr>
          <w:p>
            <w:pPr>
              <w:keepNext/>
              <w:spacing w:line="240" w:lineRule="auto"/>
              <w:rPr>
                <w:rFonts w:ascii="Times New Roman" w:hAnsi="Times New Roman" w:cs="Times New Roman"/>
                <w:b/>
                <w:noProof/>
              </w:rPr>
            </w:pPr>
            <w:r>
              <w:rPr>
                <w:rFonts w:ascii="Times New Roman" w:hAnsi="Times New Roman"/>
                <w:b/>
                <w:noProof/>
              </w:rPr>
              <w:t>D. Tappe successive</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 xml:space="preserve">Quando saranno riesaminate le misure proposte? </w:t>
            </w:r>
          </w:p>
        </w:tc>
      </w:tr>
      <w:tr>
        <w:tc>
          <w:tcPr>
            <w:tcW w:w="10490" w:type="dxa"/>
            <w:tcBorders>
              <w:bottom w:val="single" w:sz="4" w:space="0" w:color="auto"/>
            </w:tcBorders>
            <w:shd w:val="clear" w:color="auto" w:fill="auto"/>
          </w:tcPr>
          <w:p>
            <w:pPr>
              <w:spacing w:line="240" w:lineRule="auto"/>
              <w:rPr>
                <w:rFonts w:ascii="Times New Roman" w:hAnsi="Times New Roman" w:cs="Times New Roman"/>
                <w:b/>
                <w:noProof/>
              </w:rPr>
            </w:pPr>
            <w:r>
              <w:rPr>
                <w:rFonts w:ascii="Times New Roman" w:hAnsi="Times New Roman"/>
                <w:noProof/>
              </w:rPr>
              <w:t>Entro la fine del 2024 si effettuerà una revisione intermedia che valuterà, tra l'altro, i progressi compiuti nel conseguimento degli obiettivi, ivi compresa una strategia di uscita basata su reti paneuropee.</w:t>
            </w:r>
          </w:p>
        </w:tc>
      </w:tr>
    </w:tbl>
    <w:p>
      <w:pPr>
        <w:rPr>
          <w:rFonts w:ascii="Times New Roman" w:hAnsi="Times New Roman" w:cs="Times New Roman"/>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000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he accompagna il documento"/>
    <w:docVar w:name="LW_CORRIGENDUM" w:val="&lt;UNUSED&gt;"/>
    <w:docVar w:name="LW_COVERPAGE_EXISTS" w:val="True"/>
    <w:docVar w:name="LW_COVERPAGE_GUID" w:val="863CE504-26BE-4804-925D-A9605633DF56"/>
    <w:docVar w:name="LW_COVERPAGE_TYPE" w:val="1"/>
    <w:docVar w:name="LW_CROSSREFERENCE" w:val="{COM(2021) 89 final} - {SEC(2021) 91 final} - {SWD(2021) 35 final}"/>
    <w:docVar w:name="LW_DocType" w:val="NORMAL"/>
    <w:docVar w:name="LW_EMISSION" w:val="23.2.2021"/>
    <w:docVar w:name="LW_EMISSION_ISODATE" w:val="2021-02-23"/>
    <w:docVar w:name="LW_EMISSION_LOCATION" w:val="BRX"/>
    <w:docVar w:name="LW_EMISSION_PREFIX" w:val="Bruxelles, "/>
    <w:docVar w:name="LW_EMISSION_SUFFIX" w:val=" "/>
    <w:docVar w:name="LW_ID_DOCTYPE_NONLW" w:val="CP-027"/>
    <w:docVar w:name="LW_LANGUE" w:val="IT"/>
    <w:docVar w:name="LW_LEVEL_OF_SENSITIVITY" w:val="Standard treatment"/>
    <w:docVar w:name="LW_NOM.INST" w:val="COMMISSIONE EUROPEA"/>
    <w:docVar w:name="LW_NOM.INST_JOINTDOC" w:val="&lt;EMPTY&gt;"/>
    <w:docVar w:name="LW_OBJETACTEPRINCIPAL.CP" w:val="relativa alla partecipazione dell\u8217?unione al partenariato europeo sulla metrologia avviato congiuntamente da più stati membri"/>
    <w:docVar w:name="LW_PART_NBR" w:val="1"/>
    <w:docVar w:name="LW_PART_NBR_TOTAL" w:val="1"/>
    <w:docVar w:name="LW_REF.INST.NEW" w:val="SWD"/>
    <w:docVar w:name="LW_REF.INST.NEW_ADOPTED" w:val="final"/>
    <w:docVar w:name="LW_REF.INST.NEW_TEXT" w:val="(2021)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CUMENTO DI LAVORO DEI SERVIZI DELLA COMMISSIONE_x000b__x000b_SINTESI DELLA RELAZIONE SULLA VALUTAZIONE D'IMPATTO_x000b_"/>
    <w:docVar w:name="LW_TYPEACTEPRINCIPAL.CP" w:val="Proposta di_x000b_DI DECISIONE DEL PARLAMENTO 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6FF7C431750479FB2EF6BE3AD38E5" ma:contentTypeVersion="1" ma:contentTypeDescription="Create a new document." ma:contentTypeScope="" ma:versionID="e6e56890f30560df11c8f39cdbd37542">
  <xsd:schema xmlns:xsd="http://www.w3.org/2001/XMLSchema" xmlns:xs="http://www.w3.org/2001/XMLSchema" xmlns:p="http://schemas.microsoft.com/office/2006/metadata/properties" xmlns:ns2="d8f96647-4103-43a2-a46e-ee903e31cbc8" targetNamespace="http://schemas.microsoft.com/office/2006/metadata/properties" ma:root="true" ma:fieldsID="48bc387945885f521a0ab85f764f413b" ns2:_="">
    <xsd:import namespace="d8f96647-4103-43a2-a46e-ee903e31cbc8"/>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96647-4103-43a2-a46e-ee903e31cbc8"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Manufacturing"/>
          <xsd:enumeration value="Energy efficiency and Construction"/>
          <xsd:enumeration value="Industrial biotechnologies"/>
          <xsd:enumeration value="Climate and circular economy"/>
          <xsd:enumeration value="Metrology"/>
          <xsd:enumeration value="External events, workshops"/>
          <xsd:enumeration value="Briefings"/>
          <xsd:enumeration value="Mission reports"/>
          <xsd:enumeration value="Presentations"/>
          <xsd:enumeration value="Unit administration"/>
          <xsd:enumeration value="Work programme"/>
          <xsd:enumeration value="Partnerships F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8f96647-4103-43a2-a46e-ee903e31cbc8">Metrology</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A2CF8-9D4B-4303-B883-4A0477D7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96647-4103-43a2-a46e-ee903e31c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DE8A0-B485-412A-B4B5-9133D55B7FC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8f96647-4103-43a2-a46e-ee903e31cbc8"/>
    <ds:schemaRef ds:uri="http://www.w3.org/XML/1998/namespace"/>
  </ds:schemaRefs>
</ds:datastoreItem>
</file>

<file path=customXml/itemProps3.xml><?xml version="1.0" encoding="utf-8"?>
<ds:datastoreItem xmlns:ds="http://schemas.openxmlformats.org/officeDocument/2006/customXml" ds:itemID="{A4CFF2C0-B2F9-4B7D-96EE-4DFD25B3B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1090</Words>
  <Characters>6851</Characters>
  <Application>Microsoft Office Word</Application>
  <DocSecurity>0</DocSecurity>
  <Lines>85</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2020-06-17T16:26:00Z</cp:lastPrinted>
  <dcterms:created xsi:type="dcterms:W3CDTF">2021-02-05T08:48:00Z</dcterms:created>
  <dcterms:modified xsi:type="dcterms:W3CDTF">2021-05-03T09:34:00Z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_LW_INVALIDATED__LW_INVALIDATED__LW_INVALIDATED">
    <vt:lpwstr>0x010100B5B6FF7C431750479FB2EF6BE3AD38E5</vt:lpwstr>
  </property>
</Properties>
</file>