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7F32C2B-D68B-4CA1-AD4B-6942D011CD7B" style="width:455.4pt;height:426.4pt">
            <v:imagedata r:id="rId10" o:title=""/>
          </v:shape>
        </w:pict>
      </w:r>
    </w:p>
    <w:bookmarkEnd w:id="0"/>
    <w:p>
      <w:pPr>
        <w:rPr>
          <w:noProof/>
        </w:rPr>
        <w:sectPr>
          <w:headerReference w:type="even" r:id="rId11"/>
          <w:headerReference w:type="default" r:id="rId12"/>
          <w:footerReference w:type="even" r:id="rId13"/>
          <w:footerReference w:type="default" r:id="rId14"/>
          <w:headerReference w:type="first" r:id="rId15"/>
          <w:footerReference w:type="first" r:id="rId16"/>
          <w:pgSz w:w="11906" w:h="16838"/>
          <w:pgMar w:top="1134" w:right="1417" w:bottom="1134" w:left="1417" w:header="709" w:footer="709" w:gutter="0"/>
          <w:pgNumType w:start="0"/>
          <w:cols w:space="720"/>
          <w:docGrid w:linePitch="360"/>
        </w:sect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tc>
          <w:tcPr>
            <w:tcW w:w="10490" w:type="dxa"/>
            <w:tcBorders>
              <w:bottom w:val="single" w:sz="4" w:space="0" w:color="auto"/>
            </w:tcBorders>
            <w:shd w:val="clear" w:color="auto" w:fill="CCCCCC"/>
          </w:tcPr>
          <w:p>
            <w:pPr>
              <w:spacing w:before="60" w:after="60"/>
              <w:jc w:val="both"/>
              <w:rPr>
                <w:b/>
                <w:noProof/>
              </w:rPr>
            </w:pPr>
            <w:bookmarkStart w:id="1" w:name="_GoBack"/>
            <w:bookmarkEnd w:id="1"/>
            <w:r>
              <w:rPr>
                <w:b/>
                <w:noProof/>
              </w:rPr>
              <w:lastRenderedPageBreak/>
              <w:t>Rezumat (maximum 2 pagini)</w:t>
            </w:r>
          </w:p>
        </w:tc>
      </w:tr>
      <w:tr>
        <w:tc>
          <w:tcPr>
            <w:tcW w:w="10490" w:type="dxa"/>
            <w:tcBorders>
              <w:top w:val="single" w:sz="4" w:space="0" w:color="auto"/>
              <w:left w:val="single" w:sz="4" w:space="0" w:color="auto"/>
              <w:bottom w:val="single" w:sz="4" w:space="0" w:color="auto"/>
              <w:right w:val="single" w:sz="4" w:space="0" w:color="auto"/>
            </w:tcBorders>
            <w:shd w:val="clear" w:color="auto" w:fill="4F81BD"/>
          </w:tcPr>
          <w:p>
            <w:pPr>
              <w:spacing w:before="60" w:after="60"/>
              <w:jc w:val="both"/>
              <w:rPr>
                <w:noProof/>
              </w:rPr>
            </w:pPr>
            <w:r>
              <w:rPr>
                <w:noProof/>
              </w:rPr>
              <w:t xml:space="preserve">Evaluarea impactului care însoțește proiectul de regulament privind subvențiile străine </w:t>
            </w:r>
          </w:p>
        </w:tc>
      </w:tr>
      <w:tr>
        <w:tc>
          <w:tcPr>
            <w:tcW w:w="10490" w:type="dxa"/>
            <w:tcBorders>
              <w:bottom w:val="single" w:sz="4" w:space="0" w:color="auto"/>
            </w:tcBorders>
            <w:shd w:val="clear" w:color="auto" w:fill="CCCCCC"/>
          </w:tcPr>
          <w:p>
            <w:pPr>
              <w:spacing w:before="60" w:after="60"/>
              <w:jc w:val="both"/>
              <w:rPr>
                <w:b/>
                <w:noProof/>
              </w:rPr>
            </w:pPr>
            <w:r>
              <w:rPr>
                <w:b/>
                <w:noProof/>
              </w:rPr>
              <w:t>A. Necesitatea de a acționa</w:t>
            </w:r>
          </w:p>
        </w:tc>
      </w:tr>
      <w:tr>
        <w:tc>
          <w:tcPr>
            <w:tcW w:w="10490" w:type="dxa"/>
            <w:tcBorders>
              <w:bottom w:val="single" w:sz="4" w:space="0" w:color="auto"/>
            </w:tcBorders>
            <w:shd w:val="clear" w:color="auto" w:fill="E0E0E0"/>
          </w:tcPr>
          <w:p>
            <w:pPr>
              <w:spacing w:before="60" w:after="60"/>
              <w:jc w:val="both"/>
              <w:rPr>
                <w:noProof/>
              </w:rPr>
            </w:pPr>
            <w:r>
              <w:rPr>
                <w:b/>
                <w:noProof/>
              </w:rPr>
              <w:t xml:space="preserve">Care este problema și de ce este aceasta o problemă la nivelul UE? </w:t>
            </w:r>
          </w:p>
        </w:tc>
      </w:tr>
      <w:tr>
        <w:tc>
          <w:tcPr>
            <w:tcW w:w="10490" w:type="dxa"/>
            <w:tcBorders>
              <w:bottom w:val="single" w:sz="4" w:space="0" w:color="auto"/>
            </w:tcBorders>
            <w:shd w:val="clear" w:color="auto" w:fill="auto"/>
          </w:tcPr>
          <w:p>
            <w:pPr>
              <w:spacing w:before="60" w:after="60"/>
              <w:jc w:val="both"/>
              <w:rPr>
                <w:noProof/>
              </w:rPr>
            </w:pPr>
            <w:r>
              <w:rPr>
                <w:noProof/>
              </w:rPr>
              <w:t>UE s-a angajat să fie una dintre cele mai deschise economii din lume în ceea ce privește politica comercială. În același timp, politicile industriale ale unora dintre partenerii săi comerciali presupun acordarea de subvenții care le conferă beneficiarilor un avantaj competitiv în ceea ce privește accesul la economia UE sau consolidarea prezenței lor în economia UE. Astfel de subvenții pot denatura piața internă și pot submina condițiile de concurență echitabile în trei domenii: (i) achiziționarea de întreprinderi, (ii) procedurile de achiziții publice și (iii) alte situații de piață. Deși astfel de denaturări pot fi deja observate, impactul subvențiilor străine asupra pieței interne va crește cel mai probabil. În plus, este probabil ca actuala criză economică să conducă la un număr mai mare de investiții subvenționate în UE.</w:t>
            </w:r>
          </w:p>
          <w:p>
            <w:pPr>
              <w:spacing w:before="60" w:after="60"/>
              <w:jc w:val="both"/>
              <w:rPr>
                <w:noProof/>
              </w:rPr>
            </w:pPr>
            <w:r>
              <w:rPr>
                <w:noProof/>
              </w:rPr>
              <w:t xml:space="preserve">Cauza principală a problemei este existența unor subvenții străine cu efect de denaturare care se bazează pe strategiile industriale ale anumitor țări din afara UE, precum și pe lipsa unui mecanism de reglementare care să prevină sau să remedieze efectele de denaturare cauzate de acestea. Deși acordarea de sprijin de către autoritățile statelor membre face obiectul controlului UE privind ajutoarele de stat, nu există niciun control al impactului subvențiilor străine asupra pieței interne, ceea ce dezavantajează industria UE atunci când aceasta concurează cu întreprinderi care primesc subvenții străine. </w:t>
            </w:r>
          </w:p>
        </w:tc>
      </w:tr>
      <w:tr>
        <w:tc>
          <w:tcPr>
            <w:tcW w:w="10490" w:type="dxa"/>
            <w:tcBorders>
              <w:bottom w:val="single" w:sz="4" w:space="0" w:color="auto"/>
            </w:tcBorders>
            <w:shd w:val="clear" w:color="auto" w:fill="E6E6E6"/>
          </w:tcPr>
          <w:p>
            <w:pPr>
              <w:spacing w:before="60" w:after="60"/>
              <w:jc w:val="both"/>
              <w:rPr>
                <w:noProof/>
              </w:rPr>
            </w:pPr>
            <w:r>
              <w:rPr>
                <w:b/>
                <w:noProof/>
              </w:rPr>
              <w:t>Ce obiectiv ar trebui atins?</w:t>
            </w:r>
          </w:p>
        </w:tc>
      </w:tr>
      <w:tr>
        <w:tc>
          <w:tcPr>
            <w:tcW w:w="10490" w:type="dxa"/>
            <w:tcBorders>
              <w:bottom w:val="single" w:sz="4" w:space="0" w:color="auto"/>
            </w:tcBorders>
            <w:shd w:val="clear" w:color="auto" w:fill="auto"/>
          </w:tcPr>
          <w:p>
            <w:pPr>
              <w:spacing w:before="60" w:after="60"/>
              <w:jc w:val="both"/>
              <w:rPr>
                <w:noProof/>
              </w:rPr>
            </w:pPr>
            <w:r>
              <w:rPr>
                <w:noProof/>
              </w:rPr>
              <w:t>Obiectivul este de a restabili condițiile de concurență echitabile pe piața internă a UE prin identificarea și eliminarea denaturărilor cauzate de subvențiile străine în contextul achizițiilor, al procedurilor de achiziții publice și al situațiilor generale de piață.</w:t>
            </w:r>
          </w:p>
        </w:tc>
      </w:tr>
      <w:tr>
        <w:tc>
          <w:tcPr>
            <w:tcW w:w="10490" w:type="dxa"/>
            <w:tcBorders>
              <w:bottom w:val="single" w:sz="4" w:space="0" w:color="auto"/>
            </w:tcBorders>
            <w:shd w:val="clear" w:color="auto" w:fill="E6E6E6"/>
          </w:tcPr>
          <w:p>
            <w:pPr>
              <w:spacing w:before="60" w:after="60"/>
              <w:jc w:val="both"/>
              <w:rPr>
                <w:noProof/>
              </w:rPr>
            </w:pPr>
            <w:r>
              <w:rPr>
                <w:b/>
                <w:noProof/>
              </w:rPr>
              <w:t>Care este valoarea adăugată a acțiunii la nivelul UE (subsidiaritate)?</w:t>
            </w:r>
            <w:r>
              <w:rPr>
                <w:noProof/>
              </w:rPr>
              <w:t xml:space="preserve"> </w:t>
            </w:r>
          </w:p>
        </w:tc>
      </w:tr>
      <w:tr>
        <w:tc>
          <w:tcPr>
            <w:tcW w:w="10490" w:type="dxa"/>
            <w:tcBorders>
              <w:bottom w:val="single" w:sz="4" w:space="0" w:color="auto"/>
            </w:tcBorders>
            <w:shd w:val="clear" w:color="auto" w:fill="auto"/>
          </w:tcPr>
          <w:p>
            <w:pPr>
              <w:spacing w:before="60" w:after="60"/>
              <w:jc w:val="both"/>
              <w:rPr>
                <w:noProof/>
              </w:rPr>
            </w:pPr>
            <w:r>
              <w:rPr>
                <w:noProof/>
              </w:rPr>
              <w:t xml:space="preserve">Denaturările cauzate de subvențiile străine afectează adesea mai multe state membre și, prin urmare, au o dimensiune europeană. În plus, UE are competență exclusivă în domeniul ajutoarelor de stat și al instrumentelor de apărare comercială. </w:t>
            </w:r>
          </w:p>
        </w:tc>
      </w:tr>
      <w:tr>
        <w:tc>
          <w:tcPr>
            <w:tcW w:w="10490" w:type="dxa"/>
            <w:tcBorders>
              <w:bottom w:val="single" w:sz="4" w:space="0" w:color="auto"/>
            </w:tcBorders>
            <w:shd w:val="clear" w:color="auto" w:fill="CCCCCC"/>
          </w:tcPr>
          <w:p>
            <w:pPr>
              <w:spacing w:before="60" w:after="60"/>
              <w:jc w:val="both"/>
              <w:rPr>
                <w:b/>
                <w:noProof/>
              </w:rPr>
            </w:pPr>
            <w:r>
              <w:rPr>
                <w:b/>
                <w:noProof/>
              </w:rPr>
              <w:t>B. Soluții</w:t>
            </w:r>
          </w:p>
        </w:tc>
      </w:tr>
      <w:tr>
        <w:tc>
          <w:tcPr>
            <w:tcW w:w="10490" w:type="dxa"/>
            <w:tcBorders>
              <w:bottom w:val="single" w:sz="4" w:space="0" w:color="auto"/>
            </w:tcBorders>
            <w:shd w:val="clear" w:color="auto" w:fill="E6E6E6"/>
          </w:tcPr>
          <w:p>
            <w:pPr>
              <w:spacing w:before="60" w:after="60"/>
              <w:jc w:val="both"/>
              <w:rPr>
                <w:noProof/>
              </w:rPr>
            </w:pPr>
            <w:r>
              <w:rPr>
                <w:b/>
                <w:noProof/>
              </w:rPr>
              <w:t>Care sunt diferitele opțiuni pentru atingerea obiectivelor?</w:t>
            </w:r>
            <w:r>
              <w:rPr>
                <w:noProof/>
              </w:rPr>
              <w:t xml:space="preserve"> </w:t>
            </w:r>
            <w:r>
              <w:rPr>
                <w:b/>
                <w:noProof/>
              </w:rPr>
              <w:t xml:space="preserve">Există o opțiune preferată sau nu? </w:t>
            </w:r>
          </w:p>
        </w:tc>
      </w:tr>
      <w:tr>
        <w:tc>
          <w:tcPr>
            <w:tcW w:w="10490" w:type="dxa"/>
            <w:tcBorders>
              <w:bottom w:val="single" w:sz="4" w:space="0" w:color="auto"/>
            </w:tcBorders>
            <w:shd w:val="clear" w:color="auto" w:fill="auto"/>
          </w:tcPr>
          <w:p>
            <w:pPr>
              <w:spacing w:before="60" w:after="60"/>
              <w:jc w:val="both"/>
              <w:rPr>
                <w:noProof/>
              </w:rPr>
            </w:pPr>
            <w:r>
              <w:rPr>
                <w:noProof/>
              </w:rPr>
              <w:t>Raportul de evaluare a impactului prevede patru opțiuni: 1) scenariul de bază, inclusiv adaptarea normelor comerciale internaționale, 2) emiterea de orientări privind legislația existentă, 3) adaptarea normelor existente ale UE și 4) dezvoltarea unui nou instrument juridic. Pentru opțiunea 4, în raportul de evaluare a impactului sunt propuse subopțiuni pentru diverși parametri de concepere a normelor: (i) nivelul de competență: exclusiv Comisia sau Comisia împreună cu statele membre, (ii) abordarea bazată pe investigare: din oficiu, notificare cu praguri diferite sau combinație între abordarea din oficiu și notificare, (iii) prag pentru subvențiile cu efect de denaturare: scăzut sau ridicat, (iv) criterii de evaluare, (v) test comparativ (da sau nu) și (vi) măsuri corective.</w:t>
            </w:r>
          </w:p>
          <w:p>
            <w:pPr>
              <w:spacing w:before="60" w:after="60"/>
              <w:jc w:val="both"/>
              <w:rPr>
                <w:noProof/>
              </w:rPr>
            </w:pPr>
            <w:r>
              <w:rPr>
                <w:noProof/>
              </w:rPr>
              <w:t xml:space="preserve">Opțiunea de politică preferată este opțiunea 4, care cuprinde o obligație de notificare în cazul achizițiilor și atribuirilor de contracte de achiziție publică de mari dimensiuni și un sistem din oficiu în cazul celor de mici dimensiuni și al altor situații de piață. </w:t>
            </w:r>
          </w:p>
        </w:tc>
      </w:tr>
      <w:tr>
        <w:tc>
          <w:tcPr>
            <w:tcW w:w="10490" w:type="dxa"/>
            <w:shd w:val="clear" w:color="auto" w:fill="CCCCCC"/>
          </w:tcPr>
          <w:p>
            <w:pPr>
              <w:keepNext/>
              <w:spacing w:before="60" w:after="60"/>
              <w:jc w:val="both"/>
              <w:rPr>
                <w:noProof/>
              </w:rPr>
            </w:pPr>
            <w:r>
              <w:rPr>
                <w:b/>
                <w:noProof/>
              </w:rPr>
              <w:lastRenderedPageBreak/>
              <w:t xml:space="preserve">Care sunt punctele de vedere ale diferitelor părți interesate? Care sunt susținătorii fiecărei opțiuni? </w:t>
            </w:r>
          </w:p>
        </w:tc>
      </w:tr>
      <w:tr>
        <w:tc>
          <w:tcPr>
            <w:tcW w:w="10490" w:type="dxa"/>
            <w:shd w:val="clear" w:color="auto" w:fill="auto"/>
          </w:tcPr>
          <w:p>
            <w:pPr>
              <w:spacing w:before="60" w:after="60"/>
              <w:jc w:val="both"/>
              <w:rPr>
                <w:noProof/>
              </w:rPr>
            </w:pPr>
            <w:r>
              <w:rPr>
                <w:noProof/>
              </w:rPr>
              <w:t>Părțile interesate din UE și-au exprimat susținerea generală pentru o acțiune legislativă care să combată efectul de denaturare al subvențiilor străine (opțiunea 4). Unele părți interesate din afara UE și-au exprimat îngrijorarea cu privire la faptul că un nou instrument privind subvențiile străine ar putea avea un efect de descurajare asupra investițiilor străine directe.</w:t>
            </w:r>
          </w:p>
        </w:tc>
      </w:tr>
      <w:tr>
        <w:tc>
          <w:tcPr>
            <w:tcW w:w="10490" w:type="dxa"/>
            <w:tcBorders>
              <w:bottom w:val="single" w:sz="4" w:space="0" w:color="auto"/>
            </w:tcBorders>
            <w:shd w:val="clear" w:color="auto" w:fill="CCCCCC"/>
          </w:tcPr>
          <w:p>
            <w:pPr>
              <w:spacing w:before="60" w:after="60"/>
              <w:jc w:val="both"/>
              <w:rPr>
                <w:b/>
                <w:noProof/>
              </w:rPr>
            </w:pPr>
            <w:r>
              <w:rPr>
                <w:b/>
                <w:noProof/>
              </w:rPr>
              <w:t>C. Impactul opțiunii preferate</w:t>
            </w:r>
          </w:p>
        </w:tc>
      </w:tr>
      <w:tr>
        <w:tc>
          <w:tcPr>
            <w:tcW w:w="10490" w:type="dxa"/>
            <w:tcBorders>
              <w:bottom w:val="single" w:sz="4" w:space="0" w:color="auto"/>
            </w:tcBorders>
            <w:shd w:val="clear" w:color="auto" w:fill="E6E6E6"/>
          </w:tcPr>
          <w:p>
            <w:pPr>
              <w:spacing w:before="60" w:after="60"/>
              <w:jc w:val="both"/>
              <w:rPr>
                <w:noProof/>
              </w:rPr>
            </w:pPr>
            <w:r>
              <w:rPr>
                <w:b/>
                <w:noProof/>
              </w:rPr>
              <w:t>Care sunt avantajele</w:t>
            </w:r>
            <w:r>
              <w:rPr>
                <w:noProof/>
              </w:rPr>
              <w:t xml:space="preserve"> </w:t>
            </w:r>
            <w:r>
              <w:rPr>
                <w:b/>
                <w:noProof/>
              </w:rPr>
              <w:t>opțiunii preferate (dacă există; în caz contrar, ale opțiunilor principale)?</w:t>
            </w:r>
          </w:p>
        </w:tc>
      </w:tr>
      <w:tr>
        <w:tc>
          <w:tcPr>
            <w:tcW w:w="10490" w:type="dxa"/>
            <w:tcBorders>
              <w:bottom w:val="single" w:sz="4" w:space="0" w:color="auto"/>
            </w:tcBorders>
            <w:shd w:val="clear" w:color="auto" w:fill="auto"/>
          </w:tcPr>
          <w:p>
            <w:pPr>
              <w:spacing w:before="60" w:after="60"/>
              <w:jc w:val="both"/>
              <w:rPr>
                <w:i/>
                <w:noProof/>
              </w:rPr>
            </w:pPr>
            <w:r>
              <w:rPr>
                <w:noProof/>
              </w:rPr>
              <w:t>Opțiunea preferată ar restabili condițiile de concurență echitabile pentru toți operatorii economici și ar împiedica excluderea concurenților inovatori nesubvenționați, excludere prin care se reduc opțiunile aflate la dispoziția consumatorilor. De asemenea, opțiunea ar putea soluționa parțial problema întreprinderilor care își mută producția în țări din afara UE cu posibile standarde de mediu mai scăzute, ceea ce are ca efect pierderi de locuri de muncă în UE.</w:t>
            </w:r>
          </w:p>
        </w:tc>
      </w:tr>
      <w:tr>
        <w:tc>
          <w:tcPr>
            <w:tcW w:w="10490" w:type="dxa"/>
            <w:tcBorders>
              <w:bottom w:val="single" w:sz="4" w:space="0" w:color="auto"/>
            </w:tcBorders>
            <w:shd w:val="clear" w:color="auto" w:fill="E6E6E6"/>
          </w:tcPr>
          <w:p>
            <w:pPr>
              <w:spacing w:before="60" w:after="60"/>
              <w:jc w:val="both"/>
              <w:rPr>
                <w:noProof/>
              </w:rPr>
            </w:pPr>
            <w:r>
              <w:rPr>
                <w:b/>
                <w:noProof/>
              </w:rPr>
              <w:t>Care sunt costurile opțiunii preferate (dacă există; în caz contrar, ale opțiunilor principale)?</w:t>
            </w:r>
          </w:p>
        </w:tc>
      </w:tr>
      <w:tr>
        <w:tc>
          <w:tcPr>
            <w:tcW w:w="10490" w:type="dxa"/>
            <w:tcBorders>
              <w:bottom w:val="single" w:sz="4" w:space="0" w:color="auto"/>
            </w:tcBorders>
            <w:shd w:val="clear" w:color="auto" w:fill="auto"/>
          </w:tcPr>
          <w:p>
            <w:pPr>
              <w:spacing w:before="60" w:after="60"/>
              <w:jc w:val="both"/>
              <w:rPr>
                <w:i/>
                <w:noProof/>
              </w:rPr>
            </w:pPr>
            <w:r>
              <w:rPr>
                <w:noProof/>
              </w:rPr>
              <w:t>Principalele costuri corespund majorării costurilor de asigurare a conformității suportate de întreprinderile afectate ca urmare a noilor norme procedurale. Întreprinderile care beneficiază de o contribuție financiară străină în contextul unei fuziuni sau al unei proceduri de achiziții publice de mari dimensiuni vor trebui să transmită notificări și să dea curs cererilor de informații. Întrucât tranzacțiile sunt supuse obligației de notificare și în temeiul altor norme existente (Regulamentul UE privind concentrările economice, normele privind investițiile străine directe), costurile marginale vor fi probabil mai puțin semnificative.</w:t>
            </w:r>
          </w:p>
        </w:tc>
      </w:tr>
      <w:tr>
        <w:tc>
          <w:tcPr>
            <w:tcW w:w="10490" w:type="dxa"/>
            <w:tcBorders>
              <w:bottom w:val="single" w:sz="4" w:space="0" w:color="auto"/>
            </w:tcBorders>
            <w:shd w:val="clear" w:color="auto" w:fill="E6E6E6"/>
          </w:tcPr>
          <w:p>
            <w:pPr>
              <w:spacing w:before="60" w:after="60"/>
              <w:jc w:val="both"/>
              <w:rPr>
                <w:noProof/>
              </w:rPr>
            </w:pPr>
            <w:r>
              <w:rPr>
                <w:b/>
                <w:noProof/>
              </w:rPr>
              <w:t xml:space="preserve">Care este impactul asupra IMM-urilor și asupra competitivității? </w:t>
            </w:r>
          </w:p>
        </w:tc>
      </w:tr>
      <w:tr>
        <w:tc>
          <w:tcPr>
            <w:tcW w:w="10490" w:type="dxa"/>
            <w:tcBorders>
              <w:bottom w:val="single" w:sz="4" w:space="0" w:color="auto"/>
            </w:tcBorders>
            <w:shd w:val="clear" w:color="auto" w:fill="auto"/>
          </w:tcPr>
          <w:p>
            <w:pPr>
              <w:spacing w:before="60" w:after="60"/>
              <w:jc w:val="both"/>
              <w:rPr>
                <w:i/>
                <w:noProof/>
              </w:rPr>
            </w:pPr>
            <w:r>
              <w:rPr>
                <w:noProof/>
              </w:rPr>
              <w:t>Opțiunea preferată presupune o sarcină administrativă redusă pentru întreprinderile mici și mijlocii (IMM-uri), care nu vor fi supuse obligației de notificare, deoarece aceasta presupune atingerea unor praguri ridicate atunci când se efectuează achiziții sau se atribuie contracte de achiziție publică. În plus, un prag ridicat pentru subvențiile cu efect de denaturare ar fi în avantajul IMM-urilor, deoarece este posibil ca investițiile subvenționate ale acestora să se situeze sub prag și, prin urmare, să nu fie investigate.</w:t>
            </w:r>
          </w:p>
        </w:tc>
      </w:tr>
      <w:tr>
        <w:tc>
          <w:tcPr>
            <w:tcW w:w="10490" w:type="dxa"/>
            <w:tcBorders>
              <w:bottom w:val="single" w:sz="4" w:space="0" w:color="auto"/>
            </w:tcBorders>
            <w:shd w:val="clear" w:color="auto" w:fill="E6E6E6"/>
          </w:tcPr>
          <w:p>
            <w:pPr>
              <w:spacing w:before="60" w:after="60"/>
              <w:jc w:val="both"/>
              <w:rPr>
                <w:b/>
                <w:i/>
                <w:noProof/>
              </w:rPr>
            </w:pPr>
            <w:r>
              <w:rPr>
                <w:b/>
                <w:noProof/>
              </w:rPr>
              <w:t>Va exista un impact semnificativ</w:t>
            </w:r>
            <w:r>
              <w:rPr>
                <w:noProof/>
              </w:rPr>
              <w:t xml:space="preserve"> </w:t>
            </w:r>
            <w:r>
              <w:rPr>
                <w:b/>
                <w:noProof/>
              </w:rPr>
              <w:t>asupra bugetelor și asupra administrațiilor naționale?</w:t>
            </w:r>
            <w:r>
              <w:rPr>
                <w:noProof/>
              </w:rPr>
              <w:t xml:space="preserve"> </w:t>
            </w:r>
          </w:p>
        </w:tc>
      </w:tr>
      <w:tr>
        <w:tc>
          <w:tcPr>
            <w:tcW w:w="10490" w:type="dxa"/>
            <w:shd w:val="clear" w:color="auto" w:fill="auto"/>
          </w:tcPr>
          <w:p>
            <w:pPr>
              <w:spacing w:before="60" w:after="60"/>
              <w:jc w:val="both"/>
              <w:rPr>
                <w:noProof/>
              </w:rPr>
            </w:pPr>
            <w:r>
              <w:rPr>
                <w:noProof/>
              </w:rPr>
              <w:t>Sarcina suportată de Comisie pentru a pune în aplicare această inițiativă este scăzută în comparație cu avantajele pentru economie. Întrucât Comisia ar fi unica autoritate de asigurare a respectării, autoritățile naționale nu ar suporta costuri majore</w:t>
            </w:r>
            <w:r>
              <w:rPr>
                <w:i/>
                <w:noProof/>
              </w:rPr>
              <w:t>.</w:t>
            </w:r>
          </w:p>
        </w:tc>
      </w:tr>
      <w:tr>
        <w:tc>
          <w:tcPr>
            <w:tcW w:w="10490" w:type="dxa"/>
            <w:tcBorders>
              <w:bottom w:val="single" w:sz="4" w:space="0" w:color="auto"/>
            </w:tcBorders>
            <w:shd w:val="clear" w:color="auto" w:fill="E6E6E6"/>
          </w:tcPr>
          <w:p>
            <w:pPr>
              <w:spacing w:before="60" w:after="60"/>
              <w:jc w:val="both"/>
              <w:rPr>
                <w:noProof/>
              </w:rPr>
            </w:pPr>
            <w:r>
              <w:rPr>
                <w:b/>
                <w:noProof/>
              </w:rPr>
              <w:t>Vor exista alte efecte semnificative?</w:t>
            </w:r>
            <w:r>
              <w:rPr>
                <w:noProof/>
              </w:rPr>
              <w:t xml:space="preserve"> </w:t>
            </w:r>
          </w:p>
        </w:tc>
      </w:tr>
      <w:tr>
        <w:tc>
          <w:tcPr>
            <w:tcW w:w="10490" w:type="dxa"/>
            <w:tcBorders>
              <w:bottom w:val="single" w:sz="4" w:space="0" w:color="auto"/>
            </w:tcBorders>
            <w:shd w:val="clear" w:color="auto" w:fill="auto"/>
          </w:tcPr>
          <w:p>
            <w:pPr>
              <w:spacing w:before="60" w:after="60"/>
              <w:jc w:val="both"/>
              <w:rPr>
                <w:noProof/>
              </w:rPr>
            </w:pPr>
            <w:r>
              <w:rPr>
                <w:noProof/>
              </w:rPr>
              <w:t>Opțiunea preferată poate duce la o scădere a investițiilor străine directe în UE pe termen scurt. Această situație poate fi compensată de condiții de concurență mai echitabile și de o concurență sănătoasă în rândul întreprinderilor nesubvenționate pe termen mediu și lung.</w:t>
            </w:r>
          </w:p>
        </w:tc>
      </w:tr>
      <w:tr>
        <w:tc>
          <w:tcPr>
            <w:tcW w:w="10490" w:type="dxa"/>
            <w:tcBorders>
              <w:bottom w:val="single" w:sz="4" w:space="0" w:color="auto"/>
            </w:tcBorders>
            <w:shd w:val="clear" w:color="auto" w:fill="D9D9D9"/>
          </w:tcPr>
          <w:p>
            <w:pPr>
              <w:spacing w:before="60" w:after="60"/>
              <w:jc w:val="both"/>
              <w:rPr>
                <w:i/>
                <w:noProof/>
              </w:rPr>
            </w:pPr>
            <w:r>
              <w:rPr>
                <w:b/>
                <w:noProof/>
              </w:rPr>
              <w:t>Proporționalitate?</w:t>
            </w:r>
            <w:r>
              <w:rPr>
                <w:noProof/>
              </w:rPr>
              <w:t xml:space="preserve"> </w:t>
            </w:r>
          </w:p>
        </w:tc>
      </w:tr>
      <w:tr>
        <w:tc>
          <w:tcPr>
            <w:tcW w:w="10490" w:type="dxa"/>
            <w:tcBorders>
              <w:bottom w:val="single" w:sz="4" w:space="0" w:color="auto"/>
            </w:tcBorders>
            <w:shd w:val="clear" w:color="auto" w:fill="auto"/>
          </w:tcPr>
          <w:p>
            <w:pPr>
              <w:spacing w:before="60" w:after="60"/>
              <w:jc w:val="both"/>
              <w:rPr>
                <w:i/>
                <w:noProof/>
              </w:rPr>
            </w:pPr>
            <w:r>
              <w:rPr>
                <w:noProof/>
              </w:rPr>
              <w:t>Având în vedere impactul semnificativ al subvențiilor străine pe piața internă a UE, opțiunea preferată ar urma să fie proporțională. Instrumentul de investigare specific și măsurile corective proporționale ar restabili condițiile de concurență echitabile, impunând, în același timp, costuri de conformare scăzute întreprinderilor în cauză.</w:t>
            </w:r>
          </w:p>
        </w:tc>
      </w:tr>
      <w:tr>
        <w:tc>
          <w:tcPr>
            <w:tcW w:w="10490" w:type="dxa"/>
            <w:tcBorders>
              <w:bottom w:val="single" w:sz="4" w:space="0" w:color="auto"/>
            </w:tcBorders>
            <w:shd w:val="clear" w:color="auto" w:fill="C0C0C0"/>
          </w:tcPr>
          <w:p>
            <w:pPr>
              <w:keepNext/>
              <w:spacing w:before="60" w:after="60"/>
              <w:jc w:val="both"/>
              <w:rPr>
                <w:b/>
                <w:noProof/>
              </w:rPr>
            </w:pPr>
            <w:r>
              <w:rPr>
                <w:b/>
                <w:noProof/>
              </w:rPr>
              <w:t>D. Măsuri subsecvente</w:t>
            </w:r>
          </w:p>
        </w:tc>
      </w:tr>
      <w:tr>
        <w:tc>
          <w:tcPr>
            <w:tcW w:w="10490" w:type="dxa"/>
            <w:tcBorders>
              <w:bottom w:val="single" w:sz="4" w:space="0" w:color="auto"/>
            </w:tcBorders>
            <w:shd w:val="clear" w:color="auto" w:fill="E6E6E6"/>
          </w:tcPr>
          <w:p>
            <w:pPr>
              <w:spacing w:before="60" w:after="60"/>
              <w:jc w:val="both"/>
              <w:rPr>
                <w:noProof/>
              </w:rPr>
            </w:pPr>
            <w:r>
              <w:rPr>
                <w:b/>
                <w:noProof/>
              </w:rPr>
              <w:t xml:space="preserve">Când va fi reexaminată politica? </w:t>
            </w:r>
          </w:p>
        </w:tc>
      </w:tr>
      <w:tr>
        <w:trPr>
          <w:trHeight w:val="772"/>
        </w:trPr>
        <w:tc>
          <w:tcPr>
            <w:tcW w:w="10490" w:type="dxa"/>
            <w:tcBorders>
              <w:bottom w:val="single" w:sz="4" w:space="0" w:color="auto"/>
            </w:tcBorders>
            <w:shd w:val="clear" w:color="auto" w:fill="auto"/>
          </w:tcPr>
          <w:p>
            <w:pPr>
              <w:spacing w:before="60" w:after="60"/>
              <w:jc w:val="both"/>
              <w:rPr>
                <w:b/>
                <w:noProof/>
              </w:rPr>
            </w:pPr>
            <w:r>
              <w:rPr>
                <w:noProof/>
              </w:rPr>
              <w:t xml:space="preserve">Comisia va reexamina periodic indicatorii și va evalua permanent impactul actului legislativ. </w:t>
            </w:r>
          </w:p>
        </w:tc>
      </w:tr>
    </w:tbl>
    <w:p>
      <w:pPr>
        <w:rPr>
          <w:noProof/>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0590345"/>
      <w:docPartObj>
        <w:docPartGallery w:val="Page Numbers (Bottom of Page)"/>
        <w:docPartUnique/>
      </w:docPartObj>
    </w:sdtPr>
    <w:sdtEndPr>
      <w:rPr>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22699037"/>
      <w:docPartObj>
        <w:docPartGallery w:val="Page Numbers (Bottom of Page)"/>
        <w:docPartUnique/>
      </w:docPartObj>
    </w:sdtPr>
    <w:sdtEndPr>
      <w:rPr>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care înso\u355?e\u351?te documentul"/>
    <w:docVar w:name="LW_CORRIGENDUM" w:val="&lt;UNUSED&gt;"/>
    <w:docVar w:name="LW_COVERPAGE_EXISTS" w:val="True"/>
    <w:docVar w:name="LW_COVERPAGE_GUID" w:val="A7F32C2B-D68B-4CA1-AD4B-6942D011CD7B"/>
    <w:docVar w:name="LW_COVERPAGE_TYPE" w:val="1"/>
    <w:docVar w:name="LW_CROSSREFERENCE" w:val="{COM(2021) 223 final} - {SEC(2021) 182 final} - {SWD(2021) 99 final}"/>
    <w:docVar w:name="LW_DocType" w:val="NORMAL"/>
    <w:docVar w:name="LW_EMISSION" w:val="5.5.2021"/>
    <w:docVar w:name="LW_EMISSION_ISODATE" w:val="2021-05-05"/>
    <w:docVar w:name="LW_EMISSION_LOCATION" w:val="BRX"/>
    <w:docVar w:name="LW_EMISSION_PREFIX" w:val="Bruxelles, "/>
    <w:docVar w:name="LW_EMISSION_SUFFIX" w:val=" "/>
    <w:docVar w:name="LW_ID_DOCTYPE_NONLW" w:val="CP-027"/>
    <w:docVar w:name="LW_LANGUE" w:val="RO"/>
    <w:docVar w:name="LW_LEVEL_OF_SENSITIVITY" w:val="Standard treatment"/>
    <w:docVar w:name="LW_NOM.INST" w:val="COMISIA EUROPEAN\u258?"/>
    <w:docVar w:name="LW_NOM.INST_JOINTDOC" w:val="&lt;EMPTY&gt;"/>
    <w:docVar w:name="LW_OBJETACTEPRINCIPAL.CP" w:val="Propunere de regulament al Parlamentului European \u537?i al Consiliului privind subven\u539?iile str\u259?ine care denatureaz\u259? pia\u539?a intern\u259?"/>
    <w:docVar w:name="LW_PART_NBR" w:val="1"/>
    <w:docVar w:name="LW_PART_NBR_TOTAL" w:val="1"/>
    <w:docVar w:name="LW_REF.INST.NEW" w:val="SWD"/>
    <w:docVar w:name="LW_REF.INST.NEW_ADOPTED" w:val="final"/>
    <w:docVar w:name="LW_REF.INST.NEW_TEXT" w:val="(2021) 10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UNUSED&gt;"/>
    <w:docVar w:name="LW_TYPE.DOC.CP" w:val="DOCUMENT DE LUCRU AL SERVICIILOR COMISIEI_x000b__x000b_REZUMAT AL RAPORTULUI PRIVIND EVALUAREA IMPACTULUI_x000b_"/>
    <w:docVar w:name="LW_TYPEACTEPRINCIPAL.CP" w:val="DOCUMENT DE LUCRU AL SERVICIILOR COMISIEI_x000b_EVALUAREA IMPACTULUI_x000b_"/>
    <w:docVar w:name="LwApiVersions" w:val="LW4CoDe 1.23.0.0; LW 8.0, Build 20210114"/>
    <w:docVar w:name="Stamp" w:val="\\net1.cec.eu.int\DGT\S\S.3\_CURRENT DOCUMENTS\_Current documents R\COMP-2021-00137(00)-01_R - MJR-CIS 02622 - IAES - Foreign subsidies in the internal market.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44480643A525B047B74507604A7303D2" ma:contentTypeVersion="0" ma:contentTypeDescription="Create a new document in this library." ma:contentTypeScope="" ma:versionID="e36858bfa3316c8fdccce8e8618b652b">
  <xsd:schema xmlns:xsd="http://www.w3.org/2001/XMLSchema" xmlns:xs="http://www.w3.org/2001/XMLSchema" xmlns:p="http://schemas.microsoft.com/office/2006/metadata/properties" xmlns:ns2="http://schemas.microsoft.com/sharepoint/v3/fields" xmlns:ns3="fe37fea7-4fa1-42f2-9c4f-77dd1f53035d" targetNamespace="http://schemas.microsoft.com/office/2006/metadata/properties" ma:root="true" ma:fieldsID="7c1dd851b7502c67c2eecf11a56cff74" ns2:_="" ns3:_="">
    <xsd:import namespace="http://schemas.microsoft.com/sharepoint/v3/fields"/>
    <xsd:import namespace="fe37fea7-4fa1-42f2-9c4f-77dd1f53035d"/>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e37fea7-4fa1-42f2-9c4f-77dd1f53035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fe37fea7-4fa1-42f2-9c4f-77dd1f53035d" xsi:nil="true"/>
    <EC_Collab_Status xmlns="fe37fea7-4fa1-42f2-9c4f-77dd1f53035d">Not Started</EC_Collab_Status>
    <_Status xmlns="http://schemas.microsoft.com/sharepoint/v3/fields">Not Started</_Status>
    <EC_Collab_DocumentLanguage xmlns="fe37fea7-4fa1-42f2-9c4f-77dd1f53035d">EN</EC_Collab_DocumentLanguage>
  </documentManagement>
</p:properties>
</file>

<file path=customXml/itemProps1.xml><?xml version="1.0" encoding="utf-8"?>
<ds:datastoreItem xmlns:ds="http://schemas.openxmlformats.org/officeDocument/2006/customXml" ds:itemID="{EADF04D6-A9BA-4347-A7F0-7058002D12D8}">
  <ds:schemaRefs>
    <ds:schemaRef ds:uri="http://schemas.microsoft.com/sharepoint/v3/contenttype/forms"/>
  </ds:schemaRefs>
</ds:datastoreItem>
</file>

<file path=customXml/itemProps2.xml><?xml version="1.0" encoding="utf-8"?>
<ds:datastoreItem xmlns:ds="http://schemas.openxmlformats.org/officeDocument/2006/customXml" ds:itemID="{FDC012FC-9577-4720-B7D1-3F2358C9F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e37fea7-4fa1-42f2-9c4f-77dd1f530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91953B-C720-45D2-B210-CF386EF27807}">
  <ds:schemaRefs>
    <ds:schemaRef ds:uri="http://purl.org/dc/elements/1.1/"/>
    <ds:schemaRef ds:uri="http://schemas.microsoft.com/office/2006/metadata/properties"/>
    <ds:schemaRef ds:uri="fe37fea7-4fa1-42f2-9c4f-77dd1f53035d"/>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schemas.microsoft.com/sharepoint/v3/field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1003</Words>
  <Characters>6039</Characters>
  <Application>Microsoft Office Word</Application>
  <DocSecurity>0</DocSecurity>
  <Lines>81</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37</cp:revision>
  <cp:lastPrinted>2021-04-27T09:09:00Z</cp:lastPrinted>
  <dcterms:created xsi:type="dcterms:W3CDTF">2021-04-28T19:09:00Z</dcterms:created>
  <dcterms:modified xsi:type="dcterms:W3CDTF">2021-05-25T18:01:00Z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CP-027</vt:lpwstr>
  </property>
  <property fmtid="{D5CDD505-2E9C-101B-9397-08002B2CF9AE}" pid="7" name="Last edited using">
    <vt:lpwstr>LW 7.0.1, Build 20190916</vt:lpwstr>
  </property>
  <property fmtid="{D5CDD505-2E9C-101B-9397-08002B2CF9AE}" pid="8" name="Created using">
    <vt:lpwstr>LW 7.0.1, Build 20190916</vt:lpwstr>
  </property>
  <property fmtid="{D5CDD505-2E9C-101B-9397-08002B2CF9AE}" pid="9" name="_dlc_DocIdItemGuid">
    <vt:lpwstr>8cdcab75-ebf0-4b72-bab3-9f40317e4865</vt:lpwstr>
  </property>
  <property fmtid="{D5CDD505-2E9C-101B-9397-08002B2CF9AE}" pid="10" name="_LW_INVALIDATED__LW_INVALIDATED__LW_INVALIDATED__LW_INVALIDATED__LW_INVALIDATED__LW_INVALIDATED__LW_INVALIDATED__LW_INVALIDATED_ContentTypeId">
    <vt:lpwstr>0x010100258AA79CEB83498886A3A086811232500044480643A525B047B74507604A7303D2</vt:lpwstr>
  </property>
</Properties>
</file>