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646AD98-8A41-4074-8503-E0C1359C115C" style="width:454.3pt;height:440.1pt">
            <v:imagedata r:id="rId13" o:title=""/>
          </v:shape>
        </w:pict>
      </w:r>
    </w:p>
    <w:bookmarkEnd w:id="0"/>
    <w:p>
      <w:pPr>
        <w:rPr>
          <w:noProof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 xml:space="preserve">Összefoglaló </w:t>
            </w:r>
          </w:p>
        </w:tc>
      </w:tr>
      <w:t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A mesterséges intelligenciára vonatkozó szabályozási keret hatásvizsgálata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A. A fellépés szükségessége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Mi a probléma lényege, és miért jelent problémát uniós szinten?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 mesterséges intelligencia (MI) kialakulóban lévő, általános célú technológia: a számítógépes programozási technikák rendkívül hatékony csoportja. Az MI-rendszerek elterjedése komoly lehetőségeket rejt magában a társadalmi előnyök, a gazdasági növekedés, valamint az uniós innováció és a globális versenyképesség fokozása szempontjából. Az MI-rendszerek használata azonban bizonyos esetekben problémákat okozhat. Egyes MI-rendszerek sajátos jellemzői új kockázatokhoz vezethetnek (1) a biztonsággal és védelemmel, valamint (2) az alapvető jogokkal kapcsolatban, és fokozhatják a meglévő kockázatok valószínűségét vagy intenzitását. Az MI-rendszerek emellett (3) megnehezítik a végrehajtó hatóságok számára a meglévő szabályoknak való megfelelés ellenőrzését és az ilyen szabályok érvényre juttatását. Ezen problémák következtében pedig (4) a vállalatok jogbizonytalanságot tapasztalnak, (5) a bizalom hiánya miatt a vállalkozások és a polgárok potenciálisan lassabban kezdik el alkalmazni az MI-technológiákat, továbbá (6) a nemzeti hatóságok szabályozási választ adnak a lehetséges externáliák enyhítése érdekében, és ezzel megteremtik a belső piac széttöredezésének kockázatát.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Mit kellene elérni?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umbered-Para"/>
              <w:spacing w:after="0"/>
              <w:ind w:left="0" w:firstLine="0"/>
              <w:rPr>
                <w:noProof/>
              </w:rPr>
            </w:pPr>
            <w:r>
              <w:rPr>
                <w:noProof/>
              </w:rPr>
              <w:t>A szabályozási keret célja e problémák kezelése az egységes piac megfelelő működésének biztosítása érdekében azáltal, hogy megteremti a megbízható mesterséges intelligencia Unión belüli fejlesztéséhez és használatához szükséges feltételeket. A konkrét célkitűzések a következők: 1) annak biztosítása, hogy a forgalomba hozott és használt MI-rendszerek biztonságosak legyenek, és tiszteletben tartsák az alapvető jogokra és az uniós értékekre vonatkozó hatályos jogszabályokat; 2) a jogbiztonság biztosítása a mesterséges intelligenciába történő beruházások és innováció elősegítése érdekében; 3) az MI-rendszerek tekintetében az alapvető jogokra és biztonsági követelményekre vonatkozó hatályos jogszabályok irányításának és hatékony érvényesítésének javítása; és 4) a jogszerű, biztonságos és megbízható MI-rendszerek vonatkozásában az egységes piac kialakításának elősegítése és a piac széttöredezettségének megelőzése.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Milyen többletértéket képvisel az uniós szintű fellépés (szubszidiaritás)?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Az MI-alkalmazások által gyakran használt nagy méretű adatkészletek határokon átnyúló jellege azt jelenti, hogy a kezdeményezés célkitűzéseit a tagállamok nem tudják egyedül hatékonyan megvalósítani. A megbízható mesterséges intelligenciára vonatkozó európai szabályozási keret célja, hogy harmonizált szabályokat állapítson meg az MI-technológiát magukban foglaló termékek és szolgáltatások vagy az önálló MI-alkalmazások Unióban történő fejlesztésére, forgalomba hozatalára és használatára vonatkozóan. Célja egyenlő versenyfeltételek biztosítása és valamennyi európai polgár védelme, és eközben Európa versenyképességének és ipari bázisának megerősítése a mesterséges intelligencia területén. A mesterséges intelligenciával kapcsolatos uniós fellépés fel fogja lendíteni a belső piacot, és jelentős potenciállal rendelkezik ahhoz, hogy globális szinten versenyelőnyt biztosítson az európai ipar számára olyan méretgazdaságossági előnyök révén, amelyeket az egyes tagállamok egyedül nem tudnak elérni.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B. Megoldások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Milyen alternatívák kínálkoznak a célok elérésére?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Van-e előnyben részesített alternatíva? Amennyiben nincs, miért nincs?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Az alábbi alternatívák kerültek megfontolásra: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1. alternatíva: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önkéntes címkézési rendszert létrehozó uniós jogalkotási eszköz;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2. alternatíva: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ágazati, „ad hoc” megközelítés;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3. alternatíva: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horizontális uniós jogalkotási eszköz, amely kötelező követelményeket állapít meg a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nagy kockázatú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MI-alkalmazások tekintetében;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3+. alternatíva</w:t>
            </w: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ugyanaz, mint a 3. alternatíva, kiegészítve a nem nagy kockázatú MI-alkalmazásokra vonatkozó önkéntes magatartási kódexekkel;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4. alternatíva: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horizontális uniós jogalkotási eszköz, amely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valamennyi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MI-alkalmazás vonatkozásában kötelező követelményeket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állapít meg. Az előnyben részesített alternatíva a 3+. alternatíva, mivel ez arányos biztosítékokat nyújt a mesterséges intelligencia által jelentett kockázatokkal szemben, ugyanakkor minimálisra csökkenti az adminisztratív és megfelelési költségeket. Az MI-alkalmazásokkal kapcsolatos felelősség kérdésével külön jövőbeli szabályok foglalkoznak majd, így azokra ezek az alternatívák nem terjednek ki.</w:t>
            </w:r>
          </w:p>
        </w:tc>
      </w:tr>
      <w:tr>
        <w:tc>
          <w:tcPr>
            <w:tcW w:w="10490" w:type="dxa"/>
            <w:shd w:val="clear" w:color="auto" w:fill="CCCCCC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 xml:space="preserve">Mi az egyes érdekelt felek álláspontja? Ki melyik alternatívát támogatja? </w:t>
            </w:r>
          </w:p>
        </w:tc>
      </w:tr>
      <w:tr>
        <w:tc>
          <w:tcPr>
            <w:tcW w:w="1049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A vállalkozások, a hatóságok, a tudományos szakemberek és a nem kormányzati szervezetek mind egyetértenek abban, hogy vannak joghézagok vagy új jogszabályokra van szükség, bár a vállalkozások többsége kisebb vállalkozás. Az ipar képviselői és a hatóságok egyetértenek abban, hogy a kötelező követelményeket a nagy kockázatú MI-alkalmazásokra kellene korlátozni. A polgárok és a civil társadalom nagyobb valószínűséggel nem ért egyet azzal, hogy a kötelező követelmények a nagy kockázatú alkalmazásokra korlátozódjanak.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C. Az előnyben részesített alternatíva hatásai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Melyek az előnyben részesített alternatíva (ha nincs ilyen, akkor a főbb alternatívák)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előnyei?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Az előnyben részesített alternatíva csökkenteni fogja a polgárok biztonságával és alapvető jogaival kapcsolatos kockázatokat. A mesterséges intelligenciával foglalkozó szolgáltatók számára jogbiztonságot fog teremteni, és biztosítja, hogy a mesterséges intelligenciához kapcsolódó szolgáltatások és termékek határokon átnyúló nyújtása ne ütközzön akadályokba. A mesterséges intelligenciát használó vállalatok ügyfelei körében elő fogja mozdítani a bizalmat. A nemzeti közigazgatások szempontjából növelni fogja a mesterséges intelligencia használatába vetett közbizalmat, és erősíteni fogja a végrehajtási mechanizmusokat (európai koordinációs mechanizmus bevezetésével, megfelelő kapacitások biztosításával, valamint az MI-rendszerek ellenőrzésének elősegítésével a dokumentációra, a nyomonkövethetőségre és az átláthatóságra vonatkozó új követelmények mellett).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Milyen költségekkel jár az előnyben részesített alternatíva (ha nincs ilyen, akkor milyen költségekkel járnak a főbb alternatívák)?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Azoknak a vállalkozásoknak vagy hatóságoknak, amelyek olyan MI-alkalmazásokat fejlesztenek ki vagy használnak, amelyek nagy kockázatot jelentenek a polgárok biztonságára vagy alapvető jogaira nézve, konkrét horizontális követelményeknek és kötelezettségeknek kellene megfelelniük, amelyek harmonizált műszaki szabványok révén kerülnek bevezetésre. A megfelelés összköltsége a becslések szerint 2025-re 100–500 millió EUR, ami a nagy kockázatú mesterséges intelligenciába való beruházások (a becslések szerint az összes MI-alkalmazás 5–15 %-a tartozik ide) 4–5 %-ának felel meg. Az ellenőrzési költségek a nagy kockázatú mesterséges intelligenciába való beruházások további 2–5 %-át tehetik ki. A nem nagy kockázatúnak minősülő MI-alkalmazásokat kifejlesztő vagy használó vállalkozásoknak vagy hatóságoknak semmilyen költséget nem kellene viselniük. A megfelelő követelmények alkalmazása és a mesterséges intelligencia megbízhatóságának biztosítása érdekében azonban dönthetnek úgy, hogy önkéntes magatartási kódexekhez csatlakoznak.  Ezekben az esetekben a költségek legfeljebb olyan magasak lehetnek, mint a nagy kockázatú alkalmazások esetében, de nagy valószínűséggel inkább alacsonyabbak lennének.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Milyen hatást gyakorol a fellépés a kkv-kra és a versenyképességre?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 kkv-k nagyobb mértékben profitálnak majd a mesterséges intelligenciába vetett nagyobb általános bizalomból, mint a nagyvállalatok, amelyek a márkájuk arculatára is támaszkodhatnak. A nagy kockázatúnak minősített alkalmazásokat fejlesztő kkv-knak hasonló költségeket kellene viselniük, mint a nagyvállalatoknak. A digitális technológiák nagy méretezhetősége miatt a kis- és középvállalkozások kis méretük ellenére is potenciálisan több millió egyént érhetnek el. Így a nagy kockázatú alkalmazások esetében a mesterséges intelligenciát biztosító kkv-nak a szabályozási keret hatálya alóli kizárása súlyosan veszélyeztetheti a bizalom növelésére irányuló célkitűzést. A keret azonban konkrét intézkedéseket – többek között szabályozási tesztkörnyezeteket vagy a digitális innovációs központokon keresztül nyújtott támogatást – irányoz elő, hogy támogassa a kkv-kat az új szabályoknak való megfelelésben, figyelembe véve sajátos szükségleteiket.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Jelentős lesz-e a tagállamok költségvetésére és közigazgatására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gyakorolt hatás?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49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 tagállamoknak ki kellene jelölniük a jogszabályi követelmények végrehajtásáért felelős felügyeleti hatóságokat. Ezek felügyeleti funkciója a meglévő megállapodásokon alapulhatna, például a megfelelőségértékelő szervezetek vagy a piacfelügyelet vonatkozásában, de megfelelő technológiai szakértelmet és erőforrást igényelne. Az egyes tagállamokban már meglévő struktúráktól függően ez tagállamonként 1–25 teljes munkaidős egyenértéket jelenthet.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Lesznek-e egyéb jelentős hatások?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Az előnyben részesített alternatíva jelentősen csökkentené a polgárok alapvető jogaival és a tágabb értelemben vett uniós értékekkel kapcsolatos kockázatokat, és növelné az MI-technológiát beépítő egyes termékek és szolgáltatások vagy az önálló MI-alkalmazások biztonságát.</w:t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Arányosság?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 javaslat arányos és szükséges a célkitűzések eléréséhez, mivel kockázatalapú megközelítést követ, és csak akkor jelent szabályozási terheket, ha az MI-rendszerek valószínűleg nagy kockázatot jelentenek az alapvető jogokra vagy a biztonságra nézve. Amennyiben nem ez a helyzet, csak minimális átláthatósági kötelezettségeket ír elő, különösen az MI-rendszerek emberekkel való érintkezés során történő használatának, illetve a nem jogszerű célokra való felhasználás esetében a deepfake használatának megjelölésére vonatkozó tájékoztatás tekintetében. A harmonizált szabványok, valamint a támogató iránymutatási és megfelelési eszközök célja, hogy segítsék a szolgáltatókat és a felhasználókat a követelményeknek való megfelelésben és a költségeik minimalizálásában.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D. További lépések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Mikor kerül sor a szakpolitikai fellépés felülvizsgálatára?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 Bizottság öt évvel a keret hatálybalépésének kezdő időpontját követően jelentést tesz közzé, amelyben értékeli és felülvizsgálja a keretet.</w:t>
            </w:r>
          </w:p>
        </w:tc>
      </w:tr>
    </w:tbl>
    <w:p>
      <w:pPr>
        <w:spacing w:after="0" w:line="240" w:lineRule="auto"/>
        <w:rPr>
          <w:noProof/>
        </w:rPr>
      </w:pP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5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0074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F18"/>
    <w:multiLevelType w:val="hybridMultilevel"/>
    <w:tmpl w:val="CD223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E12C16"/>
    <w:multiLevelType w:val="hybridMultilevel"/>
    <w:tmpl w:val="0DDABA0A"/>
    <w:lvl w:ilvl="0" w:tplc="99BA16B4">
      <w:start w:val="1"/>
      <w:numFmt w:val="decimal"/>
      <w:lvlText w:val="%1"/>
      <w:lvlJc w:val="left"/>
      <w:pPr>
        <w:ind w:left="1919" w:hanging="360"/>
      </w:pPr>
      <w:rPr>
        <w:rFonts w:hint="default"/>
        <w:b w:val="0"/>
        <w:color w:val="808080" w:themeColor="background1" w:themeShade="80"/>
      </w:rPr>
    </w:lvl>
    <w:lvl w:ilvl="1" w:tplc="9EE2AB7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hideGrammaticalError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mely a következ\u337? dokumentumot kíséri"/>
    <w:docVar w:name="LW_CORRIGENDUM" w:val="&lt;UNUSED&gt;"/>
    <w:docVar w:name="LW_COVERPAGE_EXISTS" w:val="True"/>
    <w:docVar w:name="LW_COVERPAGE_GUID" w:val="A646AD98-8A41-4074-8503-E0C1359C115C"/>
    <w:docVar w:name="LW_COVERPAGE_TYPE" w:val="1"/>
    <w:docVar w:name="LW_CROSSREFERENCE" w:val="{COM(2021) 206 final} - {SEC(2021) 167 final} - {SWD(2021) 84 final}"/>
    <w:docVar w:name="LW_DocType" w:val="NORMAL"/>
    <w:docVar w:name="LW_EMISSION" w:val="2021.4.21."/>
    <w:docVar w:name="LW_EMISSION_ISODATE" w:val="2021-04-21"/>
    <w:docVar w:name="LW_EMISSION_LOCATION" w:val="BRX"/>
    <w:docVar w:name="LW_EMISSION_PREFIX" w:val="Brüsszel, "/>
    <w:docVar w:name="LW_EMISSION_SUFFIX" w:val=" "/>
    <w:docVar w:name="LW_ID_DOCTYPE_NONLW" w:val="CP-02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&lt;FMT:Bold&gt;A MESTERSÉGES INTELLIGENCIÁRA VONATKOZÓ HARMONIZÁLT SZABÁLYOK (A MESTERSÉGES INTELLIGENCIÁRÓL SZÓLÓ JOGSZABÁLY) MEGÁLLAPÍTÁSÁRÓL ÉS EGYES UNIÓS JOGALKOTÁSI AKTUSOK MÓDOSÍTÁSÁRÓL&lt;/FMT&gt;"/>
    <w:docVar w:name="LW_PART_NBR" w:val="1"/>
    <w:docVar w:name="LW_PART_NBR_TOTAL" w:val="1"/>
    <w:docVar w:name="LW_REF.INST.NEW" w:val="SWD"/>
    <w:docVar w:name="LW_REF.INST.NEW_ADOPTED" w:val="final"/>
    <w:docVar w:name="LW_REF.INST.NEW_TEXT" w:val="(2021) 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BIZOTTSÁGI SZOLGÁLATI MUNKADOKUMENTUM_x000b__x000b_A HATÁSVIZSGÁLATI JELENTÉS VEZET\u336?I ÖSSZEFOGLALÓJA_x000b_"/>
    <w:docVar w:name="LW_TYPEACTEPRINCIPAL.CP" w:val="Javaslat_x000b_az Európai Parlament és a Tanács rendelete"/>
    <w:docVar w:name="LwApiVersions" w:val="LW4CoDe 1.23.0.0; LW 8.0, Build 2021011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umbered-Para">
    <w:name w:val="Numbered-Para"/>
    <w:basedOn w:val="Normal"/>
    <w:link w:val="Numbered-ParaChar"/>
    <w:qFormat/>
    <w:pPr>
      <w:tabs>
        <w:tab w:val="left" w:pos="2302"/>
      </w:tabs>
      <w:spacing w:after="120" w:line="240" w:lineRule="auto"/>
      <w:ind w:left="3" w:hanging="57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bered-ParaChar">
    <w:name w:val="Numbered-Para Char"/>
    <w:basedOn w:val="DefaultParagraphFont"/>
    <w:link w:val="Numbered-Para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umbered-Para">
    <w:name w:val="Numbered-Para"/>
    <w:basedOn w:val="Normal"/>
    <w:link w:val="Numbered-ParaChar"/>
    <w:qFormat/>
    <w:pPr>
      <w:tabs>
        <w:tab w:val="left" w:pos="2302"/>
      </w:tabs>
      <w:spacing w:after="120" w:line="240" w:lineRule="auto"/>
      <w:ind w:left="3" w:hanging="57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bered-ParaChar">
    <w:name w:val="Numbered-Para Char"/>
    <w:basedOn w:val="DefaultParagraphFont"/>
    <w:link w:val="Numbered-Para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6A86F36223C794C85372D07FE5BF120" ma:contentTypeVersion="1" ma:contentTypeDescription="Create a new document." ma:contentTypeScope="" ma:versionID="abdd1e16f2a8f8d2a8c12b24b01ffd62">
  <xsd:schema xmlns:xsd="http://www.w3.org/2001/XMLSchema" xmlns:xs="http://www.w3.org/2001/XMLSchema" xmlns:p="http://schemas.microsoft.com/office/2006/metadata/properties" xmlns:ns3="883543B0-1BBD-421D-A74A-35B25CFCC4BE" xmlns:ns4="866aabb8-7ec2-447a-a7ff-f911015037e7" targetNamespace="http://schemas.microsoft.com/office/2006/metadata/properties" ma:root="true" ma:fieldsID="d92526ef21ee995adb5d3c4e858efc20" ns3:_="" ns4:_="">
    <xsd:import namespace="883543B0-1BBD-421D-A74A-35B25CFCC4BE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43B0-1BBD-421D-A74A-35B25CFCC4BE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883543B0-1BBD-421D-A74A-35B25CFCC4BE" xsi:nil="true"/>
    <EC_Collab_DocumentLanguage xmlns="883543B0-1BBD-421D-A74A-35B25CFCC4BE">EN</EC_Collab_DocumentLanguage>
    <_dlc_DocId xmlns="866aabb8-7ec2-447a-a7ff-f911015037e7">UVNUSV5RWJH5-1859680482-325</_dlc_DocId>
    <_dlc_DocIdUrl xmlns="866aabb8-7ec2-447a-a7ff-f911015037e7">
      <Url>https://myintracomm-collab.ec.europa.eu/dg/CONNECT/directorateA/_layouts/15/DocIdRedir.aspx?ID=UVNUSV5RWJH5-1859680482-325</Url>
      <Description>UVNUSV5RWJH5-1859680482-325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EA76-DAE1-4E30-B9CE-3B0EB7F2F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C9CAB-9CA8-419C-AE9E-3ADD166A12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4AAE44-3786-4642-AC38-FEA749656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43B0-1BBD-421D-A74A-35B25CFCC4BE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33D0BB-A3F7-4AB4-BBFD-08C3499337F7}">
  <ds:schemaRefs>
    <ds:schemaRef ds:uri="http://schemas.openxmlformats.org/package/2006/metadata/core-properties"/>
    <ds:schemaRef ds:uri="883543B0-1BBD-421D-A74A-35B25CFCC4B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66aabb8-7ec2-447a-a7ff-f911015037e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B12EB4B-30E1-443D-B739-08A52D18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1231</Words>
  <Characters>9177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37</cp:revision>
  <dcterms:created xsi:type="dcterms:W3CDTF">2021-04-12T15:50:00Z</dcterms:created>
  <dcterms:modified xsi:type="dcterms:W3CDTF">2021-06-07T07:27:00Z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CP-027</vt:lpwstr>
  </property>
  <property fmtid="{D5CDD505-2E9C-101B-9397-08002B2CF9AE}" pid="7" name="Last edited using">
    <vt:lpwstr>LW 7.0.1, Build 20200226</vt:lpwstr>
  </property>
  <property fmtid="{D5CDD505-2E9C-101B-9397-08002B2CF9AE}" pid="8" name="Created using">
    <vt:lpwstr>LW 7.0.1, Build 20190916</vt:lpwstr>
  </property>
  <property fmtid="{D5CDD505-2E9C-101B-9397-08002B2CF9AE}" pid="9" name="_dlc_DocIdItemGuid">
    <vt:lpwstr>a97033e7-a694-4b9c-8489-a5cc9fe17eb3</vt:lpwstr>
  </property>
  <property fmtid="{D5CDD505-2E9C-101B-9397-08002B2CF9AE}" pid="10" name="_LW_INVALIDATED__LW_INVALIDATED__LW_INVALIDATED__LW_INVALIDATED__LW_INVALIDATED__LW_INVALIDATED__LW_INVALIDATED__LW_INVALIDATED__LW_INVALIDATED__LW_INVALIDATED_ContentTypeId">
    <vt:lpwstr>0x010100258AA79CEB83498886A3A086811232500086A86F36223C794C85372D07FE5BF120</vt:lpwstr>
  </property>
</Properties>
</file>