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9E4" w:rsidRDefault="00DC29E4" w:rsidP="00377253">
      <w:pPr>
        <w:pStyle w:val="PS-hlavika1"/>
      </w:pPr>
      <w:r>
        <w:t>Parlament České republiky</w:t>
      </w:r>
    </w:p>
    <w:p w:rsidR="00DC29E4" w:rsidRDefault="00DC29E4" w:rsidP="000E730C">
      <w:pPr>
        <w:pStyle w:val="PS-hlavika2"/>
      </w:pPr>
      <w:r>
        <w:t>POSLANECKÁ SNĚMOVNA</w:t>
      </w:r>
    </w:p>
    <w:p w:rsidR="00DC29E4" w:rsidRDefault="00E46EFB" w:rsidP="000E730C">
      <w:pPr>
        <w:pStyle w:val="PS-hlavika2"/>
      </w:pPr>
      <w:r>
        <w:t>2021</w:t>
      </w:r>
    </w:p>
    <w:p w:rsidR="00DC29E4" w:rsidRDefault="00EF0C30" w:rsidP="00377253">
      <w:pPr>
        <w:pStyle w:val="PS-hlavika1"/>
      </w:pPr>
      <w:r>
        <w:t>8</w:t>
      </w:r>
      <w:r w:rsidR="00DC29E4">
        <w:t>. volební období</w:t>
      </w:r>
    </w:p>
    <w:p w:rsidR="00DC29E4" w:rsidRDefault="001620D1" w:rsidP="000E730C">
      <w:pPr>
        <w:pStyle w:val="PS-slousnesen"/>
      </w:pPr>
      <w:r>
        <w:t>471</w:t>
      </w:r>
      <w:r w:rsidR="00656C37">
        <w:t>.</w:t>
      </w:r>
    </w:p>
    <w:p w:rsidR="00DC29E4" w:rsidRDefault="00DC29E4" w:rsidP="00903269">
      <w:pPr>
        <w:pStyle w:val="PS-hlavika3"/>
      </w:pPr>
      <w:r>
        <w:t>USNESENÍ</w:t>
      </w:r>
    </w:p>
    <w:p w:rsidR="00DC29E4" w:rsidRDefault="005C30D7" w:rsidP="00377253">
      <w:pPr>
        <w:pStyle w:val="PS-hlavika1"/>
      </w:pPr>
      <w:r>
        <w:t>výboru</w:t>
      </w:r>
      <w:r w:rsidR="00136646">
        <w:t xml:space="preserve"> pro evropské záležitosti</w:t>
      </w:r>
    </w:p>
    <w:p w:rsidR="00DC29E4" w:rsidRDefault="001079B9" w:rsidP="00377253">
      <w:pPr>
        <w:pStyle w:val="PS-hlavika1"/>
      </w:pPr>
      <w:r>
        <w:t>ze 72</w:t>
      </w:r>
      <w:r w:rsidR="00DC29E4">
        <w:t>. schůze</w:t>
      </w:r>
    </w:p>
    <w:p w:rsidR="00DC29E4" w:rsidRDefault="00DC29E4" w:rsidP="00377253">
      <w:pPr>
        <w:pStyle w:val="PS-hlavika1"/>
      </w:pPr>
      <w:r>
        <w:t xml:space="preserve">ze dne </w:t>
      </w:r>
      <w:r w:rsidR="003C3F5C">
        <w:t>8</w:t>
      </w:r>
      <w:r>
        <w:t xml:space="preserve">. </w:t>
      </w:r>
      <w:r w:rsidR="001079B9">
        <w:t>června</w:t>
      </w:r>
      <w:r w:rsidR="00E46EFB">
        <w:t xml:space="preserve"> 2021</w:t>
      </w:r>
    </w:p>
    <w:p w:rsidR="00136646" w:rsidRDefault="00136646" w:rsidP="00136646">
      <w:pPr>
        <w:pStyle w:val="Bezmezer"/>
      </w:pPr>
    </w:p>
    <w:p w:rsidR="00136646" w:rsidRDefault="00136646" w:rsidP="00136646">
      <w:pPr>
        <w:pStyle w:val="Bezmezer"/>
      </w:pPr>
    </w:p>
    <w:p w:rsidR="00136646" w:rsidRPr="00136646" w:rsidRDefault="00136646" w:rsidP="00136646">
      <w:pPr>
        <w:pStyle w:val="Bezmezer"/>
      </w:pPr>
    </w:p>
    <w:p w:rsidR="00BA00F3" w:rsidRDefault="00BA00F3" w:rsidP="00A46CDA">
      <w:pPr>
        <w:pStyle w:val="PS-uvodnodstavec"/>
      </w:pPr>
    </w:p>
    <w:p w:rsidR="00B436F6" w:rsidRPr="00B436F6" w:rsidRDefault="001079B9" w:rsidP="00B436F6">
      <w:pPr>
        <w:pStyle w:val="DefaultText"/>
        <w:jc w:val="center"/>
      </w:pPr>
      <w:r>
        <w:t xml:space="preserve">ke </w:t>
      </w:r>
      <w:r w:rsidR="00B436F6">
        <w:t>s</w:t>
      </w:r>
      <w:r w:rsidR="00B436F6" w:rsidRPr="00B436F6">
        <w:t>dělení Komise Evropskému parlamentu, Radě, Evropskému hospodářskému a sociálnímu výboru a Výboru regionů – Podpora evropského přístupu k umělé inteligenci /kód Rady 8334/21, KOM(2021) 205 v konečném znění/</w:t>
      </w:r>
    </w:p>
    <w:p w:rsidR="00B436F6" w:rsidRPr="00B436F6" w:rsidRDefault="00B436F6" w:rsidP="00B436F6">
      <w:pPr>
        <w:suppressAutoHyphens/>
        <w:spacing w:after="0" w:line="240" w:lineRule="auto"/>
        <w:ind w:left="1464"/>
        <w:jc w:val="center"/>
        <w:rPr>
          <w:rFonts w:ascii="Times New Roman" w:eastAsia="Times New Roman" w:hAnsi="Times New Roman"/>
          <w:sz w:val="24"/>
          <w:szCs w:val="24"/>
          <w:lang w:eastAsia="zh-CN" w:bidi="hi-IN"/>
        </w:rPr>
      </w:pPr>
    </w:p>
    <w:p w:rsidR="00B436F6" w:rsidRPr="00B436F6" w:rsidRDefault="00B436F6" w:rsidP="00B436F6">
      <w:pPr>
        <w:widowControl w:val="0"/>
        <w:suppressAutoHyphens/>
        <w:autoSpaceDN w:val="0"/>
        <w:spacing w:after="0" w:line="240" w:lineRule="auto"/>
        <w:contextualSpacing/>
        <w:jc w:val="center"/>
        <w:rPr>
          <w:rFonts w:ascii="Times New Roman" w:eastAsia="SimSun" w:hAnsi="Times New Roman" w:cs="Mangal"/>
          <w:kern w:val="3"/>
          <w:sz w:val="24"/>
          <w:szCs w:val="21"/>
          <w:lang w:eastAsia="zh-CN" w:bidi="hi-IN"/>
        </w:rPr>
      </w:pPr>
      <w:r>
        <w:rPr>
          <w:rFonts w:ascii="Times New Roman" w:eastAsia="SimSun" w:hAnsi="Times New Roman" w:cs="Mangal"/>
          <w:kern w:val="3"/>
          <w:sz w:val="24"/>
          <w:szCs w:val="21"/>
          <w:lang w:eastAsia="zh-CN" w:bidi="hi-IN"/>
        </w:rPr>
        <w:t>k n</w:t>
      </w:r>
      <w:r w:rsidRPr="00B436F6">
        <w:rPr>
          <w:rFonts w:ascii="Times New Roman" w:eastAsia="SimSun" w:hAnsi="Times New Roman" w:cs="Mangal"/>
          <w:kern w:val="3"/>
          <w:sz w:val="24"/>
          <w:szCs w:val="21"/>
          <w:lang w:eastAsia="zh-CN" w:bidi="hi-IN"/>
        </w:rPr>
        <w:t>ávrh</w:t>
      </w:r>
      <w:r>
        <w:rPr>
          <w:rFonts w:ascii="Times New Roman" w:eastAsia="SimSun" w:hAnsi="Times New Roman" w:cs="Mangal"/>
          <w:kern w:val="3"/>
          <w:sz w:val="24"/>
          <w:szCs w:val="21"/>
          <w:lang w:eastAsia="zh-CN" w:bidi="hi-IN"/>
        </w:rPr>
        <w:t>u</w:t>
      </w:r>
      <w:r w:rsidRPr="00B436F6">
        <w:rPr>
          <w:rFonts w:ascii="Times New Roman" w:eastAsia="SimSun" w:hAnsi="Times New Roman" w:cs="Mangal"/>
          <w:kern w:val="3"/>
          <w:sz w:val="24"/>
          <w:szCs w:val="21"/>
          <w:lang w:eastAsia="zh-CN" w:bidi="hi-IN"/>
        </w:rPr>
        <w:t xml:space="preserve"> nařízení Evropského parlamentu a Rady, kterým se stanoví harmonizovaná pravidla pro umělou inteligenci (akt o umělé inteligenci) a mění</w:t>
      </w:r>
      <w:r w:rsidR="00B84308">
        <w:rPr>
          <w:rFonts w:ascii="Times New Roman" w:eastAsia="SimSun" w:hAnsi="Times New Roman" w:cs="Mangal"/>
          <w:kern w:val="3"/>
          <w:sz w:val="24"/>
          <w:szCs w:val="21"/>
          <w:lang w:eastAsia="zh-CN" w:bidi="hi-IN"/>
        </w:rPr>
        <w:t xml:space="preserve"> určité</w:t>
      </w:r>
      <w:r w:rsidRPr="00B436F6">
        <w:rPr>
          <w:rFonts w:ascii="Times New Roman" w:eastAsia="SimSun" w:hAnsi="Times New Roman" w:cs="Mangal"/>
          <w:kern w:val="3"/>
          <w:sz w:val="24"/>
          <w:szCs w:val="21"/>
          <w:lang w:eastAsia="zh-CN" w:bidi="hi-IN"/>
        </w:rPr>
        <w:t xml:space="preserve"> legislativní akty Unie /kód Rady 8115/21, KOM(2021) 206 v konečném znění/</w:t>
      </w:r>
    </w:p>
    <w:p w:rsidR="00B436F6" w:rsidRPr="00B436F6" w:rsidRDefault="00B436F6" w:rsidP="00B436F6">
      <w:pPr>
        <w:widowControl w:val="0"/>
        <w:suppressAutoHyphens/>
        <w:autoSpaceDN w:val="0"/>
        <w:spacing w:after="0" w:line="240" w:lineRule="auto"/>
        <w:ind w:left="2124"/>
        <w:contextualSpacing/>
        <w:jc w:val="center"/>
        <w:rPr>
          <w:rFonts w:ascii="Times New Roman" w:eastAsia="SimSun" w:hAnsi="Times New Roman" w:cs="Mangal"/>
          <w:kern w:val="3"/>
          <w:sz w:val="24"/>
          <w:szCs w:val="21"/>
          <w:lang w:eastAsia="zh-CN" w:bidi="hi-IN"/>
        </w:rPr>
      </w:pPr>
    </w:p>
    <w:p w:rsidR="00B436F6" w:rsidRPr="00B436F6" w:rsidRDefault="00B436F6" w:rsidP="00B436F6">
      <w:pPr>
        <w:widowControl w:val="0"/>
        <w:suppressAutoHyphens/>
        <w:autoSpaceDN w:val="0"/>
        <w:spacing w:after="0" w:line="240" w:lineRule="auto"/>
        <w:jc w:val="center"/>
        <w:rPr>
          <w:rFonts w:ascii="Times New Roman" w:eastAsia="Times New Roman" w:hAnsi="Times New Roman"/>
          <w:sz w:val="24"/>
          <w:szCs w:val="20"/>
          <w:lang w:eastAsia="zh-CN" w:bidi="hi-IN"/>
        </w:rPr>
      </w:pPr>
      <w:r>
        <w:rPr>
          <w:rFonts w:ascii="Times New Roman" w:eastAsia="Times New Roman" w:hAnsi="Times New Roman"/>
          <w:sz w:val="24"/>
          <w:szCs w:val="20"/>
          <w:lang w:eastAsia="zh-CN" w:bidi="hi-IN"/>
        </w:rPr>
        <w:t>k n</w:t>
      </w:r>
      <w:r w:rsidRPr="00B436F6">
        <w:rPr>
          <w:rFonts w:ascii="Times New Roman" w:eastAsia="Times New Roman" w:hAnsi="Times New Roman"/>
          <w:sz w:val="24"/>
          <w:szCs w:val="20"/>
          <w:lang w:eastAsia="zh-CN" w:bidi="hi-IN"/>
        </w:rPr>
        <w:t>ávrh</w:t>
      </w:r>
      <w:r>
        <w:rPr>
          <w:rFonts w:ascii="Times New Roman" w:eastAsia="Times New Roman" w:hAnsi="Times New Roman"/>
          <w:sz w:val="24"/>
          <w:szCs w:val="20"/>
          <w:lang w:eastAsia="zh-CN" w:bidi="hi-IN"/>
        </w:rPr>
        <w:t>u</w:t>
      </w:r>
      <w:r w:rsidRPr="00B436F6">
        <w:rPr>
          <w:rFonts w:ascii="Times New Roman" w:eastAsia="Times New Roman" w:hAnsi="Times New Roman"/>
          <w:sz w:val="24"/>
          <w:szCs w:val="20"/>
          <w:lang w:eastAsia="zh-CN" w:bidi="hi-IN"/>
        </w:rPr>
        <w:t xml:space="preserve"> nařízení Evropského parlamentu a Rady o strojních výrobcích /kód Rady 8095/21, KOM(2021) 202 v konečném znění/</w:t>
      </w:r>
    </w:p>
    <w:p w:rsidR="00BA00F3" w:rsidRDefault="00BA00F3" w:rsidP="00BA00F3">
      <w:pPr>
        <w:pStyle w:val="PS-uvodnodstavec"/>
        <w:pBdr>
          <w:bottom w:val="single" w:sz="4" w:space="1" w:color="auto"/>
        </w:pBdr>
        <w:jc w:val="center"/>
      </w:pPr>
    </w:p>
    <w:p w:rsidR="00DC29E4" w:rsidRDefault="00136646" w:rsidP="00A46CDA">
      <w:pPr>
        <w:pStyle w:val="PS-uvodnodstavec"/>
      </w:pPr>
      <w:r>
        <w:t>V</w:t>
      </w:r>
      <w:r w:rsidR="00DC29E4">
        <w:t>ýbor</w:t>
      </w:r>
      <w:r>
        <w:t xml:space="preserve"> pro evropské záležitosti</w:t>
      </w:r>
      <w:r w:rsidR="00DC29E4">
        <w:t xml:space="preserve"> Poslanecké sněmovny Parlamentu ČR po vyslechnutí</w:t>
      </w:r>
      <w:r w:rsidR="00A93982">
        <w:t xml:space="preserve"> informace</w:t>
      </w:r>
      <w:r w:rsidR="009162C1">
        <w:t xml:space="preserve"> ředitele Odboru věcných politik EU Úřadu vlády Štěpána Pecha a ředitele Sekce vnějších vztahů a odborných působností Úřadu pro technickou normalizaci, metrologii a státní zkušebnictví Miroslava Chloupka</w:t>
      </w:r>
      <w:r w:rsidR="00297FFA">
        <w:t>,</w:t>
      </w:r>
      <w:r>
        <w:t xml:space="preserve"> po vyslechnutí zpravodajské zprávy</w:t>
      </w:r>
      <w:r w:rsidR="00A93982">
        <w:t xml:space="preserve"> posl.</w:t>
      </w:r>
      <w:r w:rsidR="00B436F6">
        <w:t xml:space="preserve"> Františka Kopřivy</w:t>
      </w:r>
      <w:r w:rsidR="00DC29E4">
        <w:t xml:space="preserve"> a po rozpravě</w:t>
      </w:r>
    </w:p>
    <w:p w:rsidR="00D46ACA" w:rsidRDefault="00A93982" w:rsidP="00B436F6">
      <w:pPr>
        <w:pStyle w:val="PS-slovanseznam"/>
        <w:numPr>
          <w:ilvl w:val="0"/>
          <w:numId w:val="0"/>
        </w:numPr>
      </w:pPr>
      <w:r>
        <w:rPr>
          <w:rStyle w:val="proloenChar"/>
        </w:rPr>
        <w:tab/>
      </w:r>
      <w:r w:rsidRPr="00A93982">
        <w:rPr>
          <w:rStyle w:val="proloenChar"/>
          <w:b/>
        </w:rPr>
        <w:t>schvaluje</w:t>
      </w:r>
      <w:r w:rsidR="002B60B3">
        <w:t xml:space="preserve"> </w:t>
      </w:r>
      <w:r>
        <w:t>stanovisko, které je přílohou tohoto usnesení.</w:t>
      </w:r>
    </w:p>
    <w:p w:rsidR="00106842" w:rsidRPr="00106842" w:rsidRDefault="00106842" w:rsidP="00893C29">
      <w:pPr>
        <w:keepNext/>
        <w:tabs>
          <w:tab w:val="center" w:pos="1701"/>
          <w:tab w:val="center" w:pos="4536"/>
          <w:tab w:val="center" w:pos="7371"/>
        </w:tabs>
        <w:spacing w:before="1000" w:after="0" w:line="240" w:lineRule="auto"/>
        <w:rPr>
          <w:rFonts w:ascii="Times New Roman" w:hAnsi="Times New Roman"/>
          <w:sz w:val="24"/>
        </w:rPr>
      </w:pPr>
      <w:r w:rsidRPr="00106842">
        <w:rPr>
          <w:rFonts w:ascii="Times New Roman" w:hAnsi="Times New Roman"/>
          <w:sz w:val="24"/>
        </w:rPr>
        <w:tab/>
      </w:r>
      <w:r w:rsidR="001620D1">
        <w:rPr>
          <w:rFonts w:ascii="Times New Roman" w:hAnsi="Times New Roman"/>
          <w:sz w:val="24"/>
        </w:rPr>
        <w:t>Jan Farský</w:t>
      </w:r>
      <w:r w:rsidR="00ED70E5">
        <w:rPr>
          <w:rFonts w:ascii="Times New Roman" w:hAnsi="Times New Roman"/>
          <w:sz w:val="24"/>
        </w:rPr>
        <w:t xml:space="preserve"> v. r.</w:t>
      </w:r>
      <w:r w:rsidRPr="00106842">
        <w:rPr>
          <w:rFonts w:ascii="Times New Roman" w:hAnsi="Times New Roman"/>
          <w:sz w:val="24"/>
        </w:rPr>
        <w:tab/>
        <w:t xml:space="preserve"> </w:t>
      </w:r>
      <w:r w:rsidR="00297FFA">
        <w:rPr>
          <w:rFonts w:ascii="Times New Roman" w:hAnsi="Times New Roman"/>
          <w:sz w:val="24"/>
        </w:rPr>
        <w:tab/>
      </w:r>
      <w:r w:rsidR="00B436F6">
        <w:rPr>
          <w:rFonts w:ascii="Times New Roman" w:hAnsi="Times New Roman"/>
          <w:sz w:val="24"/>
        </w:rPr>
        <w:t>František Kopřiva</w:t>
      </w:r>
      <w:r w:rsidR="00297FFA">
        <w:rPr>
          <w:rFonts w:ascii="Times New Roman" w:hAnsi="Times New Roman"/>
          <w:sz w:val="24"/>
        </w:rPr>
        <w:t xml:space="preserve"> </w:t>
      </w:r>
      <w:r w:rsidR="00ED70E5">
        <w:rPr>
          <w:rFonts w:ascii="Times New Roman" w:hAnsi="Times New Roman"/>
          <w:sz w:val="24"/>
        </w:rPr>
        <w:t>v. r.</w:t>
      </w:r>
    </w:p>
    <w:p w:rsidR="00106842" w:rsidRPr="00106842" w:rsidRDefault="00106842" w:rsidP="00566A4C">
      <w:pPr>
        <w:keepNext/>
        <w:tabs>
          <w:tab w:val="center" w:pos="1701"/>
          <w:tab w:val="center" w:pos="4536"/>
          <w:tab w:val="center" w:pos="7371"/>
        </w:tabs>
        <w:spacing w:after="0" w:line="240" w:lineRule="auto"/>
        <w:rPr>
          <w:rFonts w:ascii="Times New Roman" w:hAnsi="Times New Roman"/>
          <w:sz w:val="24"/>
        </w:rPr>
      </w:pPr>
      <w:r w:rsidRPr="00106842">
        <w:rPr>
          <w:rFonts w:ascii="Times New Roman" w:hAnsi="Times New Roman"/>
          <w:sz w:val="24"/>
        </w:rPr>
        <w:tab/>
      </w:r>
      <w:r w:rsidR="00254049">
        <w:rPr>
          <w:rFonts w:ascii="Times New Roman" w:hAnsi="Times New Roman"/>
          <w:sz w:val="24"/>
        </w:rPr>
        <w:t>o</w:t>
      </w:r>
      <w:r w:rsidRPr="00106842">
        <w:rPr>
          <w:rFonts w:ascii="Times New Roman" w:hAnsi="Times New Roman"/>
          <w:sz w:val="24"/>
        </w:rPr>
        <w:t>věřovatel</w:t>
      </w:r>
      <w:r w:rsidRPr="00106842">
        <w:rPr>
          <w:rFonts w:ascii="Times New Roman" w:hAnsi="Times New Roman"/>
          <w:sz w:val="24"/>
        </w:rPr>
        <w:tab/>
      </w:r>
      <w:r w:rsidRPr="00106842">
        <w:rPr>
          <w:rFonts w:ascii="Times New Roman" w:hAnsi="Times New Roman"/>
          <w:sz w:val="24"/>
        </w:rPr>
        <w:tab/>
        <w:t>zpravodaj</w:t>
      </w:r>
    </w:p>
    <w:p w:rsidR="00106842" w:rsidRPr="00254049" w:rsidRDefault="00106842" w:rsidP="00106842">
      <w:pPr>
        <w:tabs>
          <w:tab w:val="center" w:pos="1701"/>
          <w:tab w:val="center" w:pos="4536"/>
          <w:tab w:val="center" w:pos="7371"/>
        </w:tabs>
        <w:spacing w:before="1000" w:after="0" w:line="240" w:lineRule="auto"/>
        <w:rPr>
          <w:rFonts w:ascii="Times New Roman" w:hAnsi="Times New Roman"/>
          <w:caps/>
          <w:sz w:val="24"/>
        </w:rPr>
      </w:pPr>
      <w:r w:rsidRPr="00106842">
        <w:rPr>
          <w:rFonts w:ascii="Times New Roman" w:hAnsi="Times New Roman"/>
          <w:sz w:val="24"/>
        </w:rPr>
        <w:tab/>
      </w:r>
      <w:r w:rsidRPr="00106842">
        <w:rPr>
          <w:rFonts w:ascii="Times New Roman" w:hAnsi="Times New Roman"/>
          <w:sz w:val="24"/>
        </w:rPr>
        <w:tab/>
      </w:r>
      <w:r w:rsidR="00A93982">
        <w:rPr>
          <w:rFonts w:ascii="Times New Roman" w:hAnsi="Times New Roman"/>
          <w:sz w:val="24"/>
        </w:rPr>
        <w:t>Ondřej Benešík</w:t>
      </w:r>
      <w:r w:rsidRPr="00106842">
        <w:rPr>
          <w:rFonts w:ascii="Times New Roman" w:hAnsi="Times New Roman"/>
          <w:sz w:val="24"/>
        </w:rPr>
        <w:t xml:space="preserve"> </w:t>
      </w:r>
      <w:r w:rsidR="00ED70E5">
        <w:rPr>
          <w:rFonts w:ascii="Times New Roman" w:hAnsi="Times New Roman"/>
          <w:sz w:val="24"/>
        </w:rPr>
        <w:t>v. r.</w:t>
      </w:r>
      <w:bookmarkStart w:id="0" w:name="_GoBack"/>
      <w:bookmarkEnd w:id="0"/>
    </w:p>
    <w:p w:rsidR="00106842" w:rsidRDefault="00106842" w:rsidP="00106842">
      <w:pPr>
        <w:tabs>
          <w:tab w:val="center" w:pos="1701"/>
          <w:tab w:val="center" w:pos="4536"/>
          <w:tab w:val="center" w:pos="7371"/>
        </w:tabs>
        <w:spacing w:after="0" w:line="240" w:lineRule="auto"/>
        <w:rPr>
          <w:rFonts w:ascii="Times New Roman" w:hAnsi="Times New Roman"/>
          <w:sz w:val="24"/>
        </w:rPr>
      </w:pPr>
      <w:r w:rsidRPr="00106842">
        <w:rPr>
          <w:rFonts w:ascii="Times New Roman" w:hAnsi="Times New Roman"/>
          <w:sz w:val="24"/>
        </w:rPr>
        <w:tab/>
      </w:r>
      <w:r w:rsidRPr="00106842">
        <w:rPr>
          <w:rFonts w:ascii="Times New Roman" w:hAnsi="Times New Roman"/>
          <w:sz w:val="24"/>
        </w:rPr>
        <w:tab/>
      </w:r>
      <w:r w:rsidR="00B715B6">
        <w:rPr>
          <w:rFonts w:ascii="Times New Roman" w:hAnsi="Times New Roman"/>
          <w:sz w:val="24"/>
        </w:rPr>
        <w:t>p</w:t>
      </w:r>
      <w:r w:rsidRPr="00106842">
        <w:rPr>
          <w:rFonts w:ascii="Times New Roman" w:hAnsi="Times New Roman"/>
          <w:sz w:val="24"/>
        </w:rPr>
        <w:t>ředseda</w:t>
      </w:r>
    </w:p>
    <w:p w:rsidR="00B715B6" w:rsidRDefault="00B715B6" w:rsidP="00106842">
      <w:pPr>
        <w:tabs>
          <w:tab w:val="center" w:pos="1701"/>
          <w:tab w:val="center" w:pos="4536"/>
          <w:tab w:val="center" w:pos="7371"/>
        </w:tabs>
        <w:spacing w:after="0" w:line="240" w:lineRule="auto"/>
        <w:rPr>
          <w:rFonts w:ascii="Times New Roman" w:hAnsi="Times New Roman"/>
          <w:sz w:val="24"/>
        </w:rPr>
      </w:pPr>
    </w:p>
    <w:p w:rsidR="00D066DF" w:rsidRDefault="00D066DF" w:rsidP="00D066DF">
      <w:pPr>
        <w:spacing w:after="0" w:line="240" w:lineRule="auto"/>
        <w:rPr>
          <w:rFonts w:ascii="Times New Roman" w:hAnsi="Times New Roman"/>
          <w:sz w:val="24"/>
        </w:rPr>
        <w:sectPr w:rsidR="00D066DF" w:rsidSect="000C5278">
          <w:footerReference w:type="default" r:id="rId7"/>
          <w:pgSz w:w="11906" w:h="16838"/>
          <w:pgMar w:top="1134" w:right="1418" w:bottom="1418" w:left="1418" w:header="709" w:footer="709" w:gutter="0"/>
          <w:cols w:space="708"/>
          <w:docGrid w:linePitch="360"/>
        </w:sectPr>
      </w:pPr>
    </w:p>
    <w:p w:rsidR="003A1DF9" w:rsidRDefault="003A1DF9" w:rsidP="00D066DF">
      <w:pPr>
        <w:spacing w:after="0" w:line="240" w:lineRule="auto"/>
        <w:rPr>
          <w:rFonts w:ascii="Times New Roman" w:hAnsi="Times New Roman"/>
          <w:sz w:val="24"/>
        </w:rPr>
      </w:pPr>
      <w:r>
        <w:rPr>
          <w:rFonts w:ascii="Times New Roman" w:hAnsi="Times New Roman"/>
          <w:sz w:val="24"/>
        </w:rPr>
        <w:lastRenderedPageBreak/>
        <w:t xml:space="preserve"> </w:t>
      </w:r>
      <w:r w:rsidR="00D066DF">
        <w:rPr>
          <w:rFonts w:ascii="Times New Roman" w:hAnsi="Times New Roman"/>
          <w:sz w:val="24"/>
        </w:rPr>
        <w:t xml:space="preserve">Příloha k usnesení č. </w:t>
      </w:r>
      <w:r w:rsidR="001620D1">
        <w:rPr>
          <w:rFonts w:ascii="Times New Roman" w:hAnsi="Times New Roman"/>
          <w:sz w:val="24"/>
        </w:rPr>
        <w:t>471</w:t>
      </w:r>
    </w:p>
    <w:p w:rsidR="00B4108A" w:rsidRDefault="00B4108A" w:rsidP="00D066DF">
      <w:pPr>
        <w:spacing w:after="0" w:line="240" w:lineRule="auto"/>
        <w:rPr>
          <w:rFonts w:ascii="Times New Roman" w:hAnsi="Times New Roman"/>
          <w:sz w:val="24"/>
        </w:rPr>
      </w:pPr>
    </w:p>
    <w:p w:rsidR="00B945CF" w:rsidRPr="00B945CF" w:rsidRDefault="00B945CF" w:rsidP="00B945CF">
      <w:pPr>
        <w:pStyle w:val="PODNZEVPRCE"/>
        <w:jc w:val="center"/>
        <w:rPr>
          <w:rFonts w:ascii="Times New Roman" w:hAnsi="Times New Roman"/>
          <w:b/>
          <w:color w:val="auto"/>
        </w:rPr>
      </w:pPr>
      <w:r w:rsidRPr="00B945CF">
        <w:rPr>
          <w:rFonts w:ascii="Times New Roman" w:hAnsi="Times New Roman"/>
          <w:b/>
          <w:color w:val="auto"/>
        </w:rPr>
        <w:t>Sdělení Komise Evropskému parlamentu, Radě, Evropskému hospodářskému a soci</w:t>
      </w:r>
      <w:r>
        <w:rPr>
          <w:rFonts w:ascii="Times New Roman" w:hAnsi="Times New Roman"/>
          <w:b/>
          <w:color w:val="auto"/>
        </w:rPr>
        <w:t xml:space="preserve">álnímu výboru a Výboru regionů – </w:t>
      </w:r>
      <w:r w:rsidRPr="00B945CF">
        <w:rPr>
          <w:rFonts w:ascii="Times New Roman" w:hAnsi="Times New Roman"/>
          <w:b/>
          <w:color w:val="auto"/>
        </w:rPr>
        <w:t xml:space="preserve"> Podpora evropského přístupu k umělé inteligenci</w:t>
      </w:r>
    </w:p>
    <w:p w:rsidR="00B945CF" w:rsidRDefault="00B945CF" w:rsidP="00B945CF">
      <w:pPr>
        <w:pStyle w:val="PODNZEVPRCE"/>
        <w:jc w:val="center"/>
        <w:rPr>
          <w:rFonts w:ascii="Times New Roman" w:hAnsi="Times New Roman"/>
          <w:b/>
          <w:color w:val="auto"/>
          <w:sz w:val="24"/>
          <w:szCs w:val="24"/>
        </w:rPr>
      </w:pPr>
    </w:p>
    <w:p w:rsidR="00B945CF" w:rsidRPr="00B945CF" w:rsidRDefault="00B945CF" w:rsidP="00B945CF">
      <w:pPr>
        <w:pStyle w:val="PODNZEVPRCE"/>
        <w:jc w:val="center"/>
        <w:rPr>
          <w:rFonts w:ascii="Times New Roman" w:hAnsi="Times New Roman"/>
          <w:b/>
          <w:color w:val="auto"/>
          <w:sz w:val="24"/>
          <w:szCs w:val="24"/>
        </w:rPr>
      </w:pPr>
      <w:r w:rsidRPr="00B945CF">
        <w:rPr>
          <w:rFonts w:ascii="Times New Roman" w:hAnsi="Times New Roman"/>
          <w:b/>
          <w:color w:val="auto"/>
          <w:sz w:val="24"/>
          <w:szCs w:val="24"/>
        </w:rPr>
        <w:t>KOM(2021) 205 v konečném znění, kód Rady 8334/21</w:t>
      </w:r>
    </w:p>
    <w:p w:rsidR="00B945CF" w:rsidRDefault="00B945CF" w:rsidP="00B945CF">
      <w:pPr>
        <w:pStyle w:val="PODNZEVPRCE"/>
        <w:jc w:val="center"/>
        <w:rPr>
          <w:rFonts w:ascii="Times New Roman" w:hAnsi="Times New Roman"/>
          <w:b/>
          <w:color w:val="auto"/>
          <w:sz w:val="24"/>
          <w:szCs w:val="24"/>
        </w:rPr>
      </w:pPr>
    </w:p>
    <w:p w:rsidR="00B945CF" w:rsidRPr="00B945CF" w:rsidRDefault="00B945CF" w:rsidP="00B945CF">
      <w:pPr>
        <w:pStyle w:val="PODNZEVPRCE"/>
        <w:jc w:val="center"/>
        <w:rPr>
          <w:rFonts w:ascii="Times New Roman" w:hAnsi="Times New Roman"/>
          <w:b/>
          <w:color w:val="auto"/>
          <w:sz w:val="24"/>
          <w:szCs w:val="24"/>
        </w:rPr>
      </w:pPr>
    </w:p>
    <w:p w:rsidR="00B945CF" w:rsidRPr="00B945CF" w:rsidRDefault="00B945CF" w:rsidP="00B945CF">
      <w:pPr>
        <w:pStyle w:val="PODNZEVPRCE"/>
        <w:jc w:val="center"/>
        <w:rPr>
          <w:rFonts w:ascii="Times New Roman" w:hAnsi="Times New Roman"/>
          <w:b/>
          <w:color w:val="auto"/>
        </w:rPr>
      </w:pPr>
      <w:r w:rsidRPr="00B945CF">
        <w:rPr>
          <w:rFonts w:ascii="Times New Roman" w:hAnsi="Times New Roman"/>
          <w:b/>
          <w:color w:val="auto"/>
        </w:rPr>
        <w:t>Návrh nařízení Evropského parlamentu a Rady, kterým se stanoví harmonizovaná pravidla pro umělou inteligenci (akt o umělé inteligenci) a mění</w:t>
      </w:r>
      <w:r w:rsidR="00553E21">
        <w:rPr>
          <w:rFonts w:ascii="Times New Roman" w:hAnsi="Times New Roman"/>
          <w:b/>
          <w:color w:val="auto"/>
        </w:rPr>
        <w:t xml:space="preserve"> určité</w:t>
      </w:r>
      <w:r w:rsidRPr="00B945CF">
        <w:rPr>
          <w:rFonts w:ascii="Times New Roman" w:hAnsi="Times New Roman"/>
          <w:b/>
          <w:color w:val="auto"/>
        </w:rPr>
        <w:t xml:space="preserve"> legislativní akty Unie</w:t>
      </w:r>
    </w:p>
    <w:p w:rsidR="00B945CF" w:rsidRDefault="00B945CF" w:rsidP="00B945CF">
      <w:pPr>
        <w:pStyle w:val="PODNZEVPRCE"/>
        <w:jc w:val="center"/>
        <w:rPr>
          <w:rFonts w:ascii="Times New Roman" w:hAnsi="Times New Roman"/>
          <w:b/>
          <w:color w:val="auto"/>
          <w:sz w:val="24"/>
          <w:szCs w:val="24"/>
        </w:rPr>
      </w:pPr>
    </w:p>
    <w:p w:rsidR="00B945CF" w:rsidRPr="00B945CF" w:rsidRDefault="00B945CF" w:rsidP="00B945CF">
      <w:pPr>
        <w:pStyle w:val="PODNZEVPRCE"/>
        <w:jc w:val="center"/>
        <w:rPr>
          <w:rFonts w:ascii="Times New Roman" w:hAnsi="Times New Roman"/>
          <w:b/>
          <w:color w:val="auto"/>
          <w:sz w:val="24"/>
          <w:szCs w:val="24"/>
        </w:rPr>
      </w:pPr>
      <w:r w:rsidRPr="00B945CF">
        <w:rPr>
          <w:rFonts w:ascii="Times New Roman" w:hAnsi="Times New Roman"/>
          <w:b/>
          <w:color w:val="auto"/>
          <w:sz w:val="24"/>
          <w:szCs w:val="24"/>
        </w:rPr>
        <w:t>KOM(2021) 206 v konečném znění, kód Rady 8115/21</w:t>
      </w:r>
    </w:p>
    <w:p w:rsidR="00B945CF" w:rsidRPr="00B945CF" w:rsidRDefault="00B945CF" w:rsidP="00B945CF">
      <w:pPr>
        <w:pStyle w:val="PODNZEVPRCE"/>
        <w:jc w:val="center"/>
        <w:rPr>
          <w:rFonts w:ascii="Times New Roman" w:hAnsi="Times New Roman"/>
          <w:b/>
          <w:color w:val="auto"/>
          <w:sz w:val="24"/>
          <w:szCs w:val="24"/>
        </w:rPr>
      </w:pPr>
      <w:r w:rsidRPr="00B945CF">
        <w:rPr>
          <w:rFonts w:ascii="Times New Roman" w:hAnsi="Times New Roman"/>
          <w:b/>
          <w:color w:val="auto"/>
          <w:sz w:val="24"/>
          <w:szCs w:val="24"/>
        </w:rPr>
        <w:t>Interinstitucionální spis 2021/0106/COD</w:t>
      </w:r>
    </w:p>
    <w:p w:rsidR="00B945CF" w:rsidRDefault="00B945CF" w:rsidP="00B945CF">
      <w:pPr>
        <w:pStyle w:val="PODNZEVPRCE"/>
        <w:jc w:val="center"/>
        <w:rPr>
          <w:rFonts w:ascii="Times New Roman" w:hAnsi="Times New Roman"/>
          <w:b/>
          <w:color w:val="auto"/>
          <w:sz w:val="24"/>
          <w:szCs w:val="24"/>
        </w:rPr>
      </w:pPr>
    </w:p>
    <w:p w:rsidR="00B945CF" w:rsidRPr="00B945CF" w:rsidRDefault="00B945CF" w:rsidP="00B945CF">
      <w:pPr>
        <w:pStyle w:val="PODNZEVPRCE"/>
        <w:jc w:val="center"/>
        <w:rPr>
          <w:rFonts w:ascii="Times New Roman" w:hAnsi="Times New Roman"/>
          <w:b/>
          <w:color w:val="auto"/>
          <w:sz w:val="24"/>
          <w:szCs w:val="24"/>
        </w:rPr>
      </w:pPr>
    </w:p>
    <w:p w:rsidR="00B945CF" w:rsidRPr="00B945CF" w:rsidRDefault="00B945CF" w:rsidP="00B945CF">
      <w:pPr>
        <w:pStyle w:val="PODNZEVPRCE"/>
        <w:jc w:val="center"/>
        <w:rPr>
          <w:rFonts w:ascii="Times New Roman" w:hAnsi="Times New Roman"/>
          <w:b/>
          <w:color w:val="auto"/>
        </w:rPr>
      </w:pPr>
      <w:r w:rsidRPr="00B945CF">
        <w:rPr>
          <w:rFonts w:ascii="Times New Roman" w:hAnsi="Times New Roman"/>
          <w:b/>
          <w:color w:val="auto"/>
        </w:rPr>
        <w:t>Návrh nařízení Evropského parlamentu a Rady o strojních výrobcích</w:t>
      </w:r>
    </w:p>
    <w:p w:rsidR="00B945CF" w:rsidRDefault="00B945CF" w:rsidP="00B945CF">
      <w:pPr>
        <w:pStyle w:val="PODNZEVPRCE"/>
        <w:jc w:val="center"/>
        <w:rPr>
          <w:rFonts w:ascii="Times New Roman" w:hAnsi="Times New Roman"/>
          <w:b/>
          <w:color w:val="auto"/>
          <w:sz w:val="24"/>
          <w:szCs w:val="24"/>
        </w:rPr>
      </w:pPr>
    </w:p>
    <w:p w:rsidR="00B945CF" w:rsidRPr="00B945CF" w:rsidRDefault="00B945CF" w:rsidP="00B945CF">
      <w:pPr>
        <w:pStyle w:val="PODNZEVPRCE"/>
        <w:jc w:val="center"/>
        <w:rPr>
          <w:rFonts w:ascii="Times New Roman" w:hAnsi="Times New Roman"/>
          <w:b/>
          <w:color w:val="auto"/>
          <w:sz w:val="24"/>
          <w:szCs w:val="24"/>
        </w:rPr>
      </w:pPr>
      <w:r w:rsidRPr="00B945CF">
        <w:rPr>
          <w:rFonts w:ascii="Times New Roman" w:hAnsi="Times New Roman"/>
          <w:b/>
          <w:color w:val="auto"/>
          <w:sz w:val="24"/>
          <w:szCs w:val="24"/>
        </w:rPr>
        <w:t>KOM(2021) 202 v konečném znění, kód Rady 8095/21</w:t>
      </w:r>
    </w:p>
    <w:p w:rsidR="00B945CF" w:rsidRPr="00B945CF" w:rsidRDefault="00B945CF" w:rsidP="00B945CF">
      <w:pPr>
        <w:pStyle w:val="PODNZEVPRCE"/>
        <w:jc w:val="center"/>
        <w:rPr>
          <w:rFonts w:ascii="Times New Roman" w:hAnsi="Times New Roman"/>
          <w:b/>
          <w:color w:val="auto"/>
          <w:sz w:val="24"/>
          <w:szCs w:val="24"/>
        </w:rPr>
      </w:pPr>
      <w:r w:rsidRPr="00B945CF">
        <w:rPr>
          <w:rFonts w:ascii="Times New Roman" w:hAnsi="Times New Roman"/>
          <w:b/>
          <w:color w:val="auto"/>
          <w:sz w:val="24"/>
          <w:szCs w:val="24"/>
        </w:rPr>
        <w:t>Interinstitucionální spis 2021/0105/COD</w:t>
      </w:r>
    </w:p>
    <w:p w:rsidR="00B945CF" w:rsidRPr="00B945CF" w:rsidRDefault="00B945CF" w:rsidP="00B945CF">
      <w:pPr>
        <w:jc w:val="both"/>
        <w:rPr>
          <w:rStyle w:val="Siln"/>
          <w:rFonts w:ascii="Times New Roman" w:hAnsi="Times New Roman"/>
          <w:b w:val="0"/>
          <w:bCs w:val="0"/>
          <w:caps/>
          <w:sz w:val="24"/>
          <w:szCs w:val="24"/>
        </w:rPr>
      </w:pPr>
    </w:p>
    <w:p w:rsidR="00B945CF" w:rsidRPr="00B945CF" w:rsidRDefault="00B945CF" w:rsidP="00B945CF">
      <w:pPr>
        <w:jc w:val="both"/>
        <w:rPr>
          <w:rStyle w:val="Siln"/>
          <w:rFonts w:ascii="Times New Roman" w:hAnsi="Times New Roman"/>
          <w:sz w:val="24"/>
          <w:szCs w:val="24"/>
        </w:rPr>
      </w:pPr>
    </w:p>
    <w:p w:rsidR="00B945CF" w:rsidRPr="00B945CF" w:rsidRDefault="00B945CF" w:rsidP="00B945CF">
      <w:pPr>
        <w:pStyle w:val="Odstavecseseznamem"/>
        <w:keepNext/>
        <w:keepLines/>
        <w:numPr>
          <w:ilvl w:val="0"/>
          <w:numId w:val="20"/>
        </w:numPr>
        <w:suppressAutoHyphens/>
        <w:autoSpaceDN w:val="0"/>
        <w:spacing w:after="0" w:line="252" w:lineRule="auto"/>
        <w:ind w:left="0"/>
        <w:contextualSpacing w:val="0"/>
        <w:jc w:val="both"/>
        <w:rPr>
          <w:rFonts w:ascii="Times New Roman" w:hAnsi="Times New Roman"/>
          <w:sz w:val="24"/>
          <w:szCs w:val="24"/>
        </w:rPr>
      </w:pPr>
      <w:bookmarkStart w:id="1" w:name="_Toc445380604"/>
      <w:r w:rsidRPr="00B945CF">
        <w:rPr>
          <w:rFonts w:ascii="Times New Roman" w:hAnsi="Times New Roman"/>
          <w:b/>
          <w:sz w:val="24"/>
          <w:szCs w:val="24"/>
        </w:rPr>
        <w:t>Právní základ:</w:t>
      </w:r>
      <w:bookmarkEnd w:id="1"/>
    </w:p>
    <w:p w:rsidR="00B945CF" w:rsidRPr="00B945CF" w:rsidRDefault="00B945CF" w:rsidP="00B945CF">
      <w:pPr>
        <w:spacing w:after="0"/>
        <w:jc w:val="both"/>
        <w:rPr>
          <w:rFonts w:ascii="Times New Roman" w:hAnsi="Times New Roman"/>
          <w:sz w:val="24"/>
          <w:szCs w:val="24"/>
        </w:rPr>
      </w:pPr>
      <w:r w:rsidRPr="00B945CF">
        <w:rPr>
          <w:rFonts w:ascii="Times New Roman" w:hAnsi="Times New Roman"/>
          <w:sz w:val="24"/>
          <w:szCs w:val="24"/>
        </w:rPr>
        <w:t>Články 16 a 114 Smlouvy o fungování Evropské unie. (KOM(2021) 206)</w:t>
      </w:r>
    </w:p>
    <w:p w:rsidR="00B945CF" w:rsidRPr="00B945CF" w:rsidRDefault="00B945CF" w:rsidP="00B945CF">
      <w:pPr>
        <w:spacing w:after="0"/>
        <w:jc w:val="both"/>
        <w:rPr>
          <w:rFonts w:ascii="Times New Roman" w:hAnsi="Times New Roman"/>
          <w:sz w:val="24"/>
          <w:szCs w:val="24"/>
        </w:rPr>
      </w:pPr>
      <w:r w:rsidRPr="00B945CF">
        <w:rPr>
          <w:rFonts w:ascii="Times New Roman" w:hAnsi="Times New Roman"/>
          <w:sz w:val="24"/>
          <w:szCs w:val="24"/>
        </w:rPr>
        <w:t>Článek 114 Smlouvy o fungování Evropské unie (dále jen „</w:t>
      </w:r>
      <w:r w:rsidRPr="00B945CF">
        <w:rPr>
          <w:rFonts w:ascii="Times New Roman" w:hAnsi="Times New Roman"/>
          <w:b/>
          <w:sz w:val="24"/>
          <w:szCs w:val="24"/>
        </w:rPr>
        <w:t>SFEU</w:t>
      </w:r>
      <w:r w:rsidRPr="00B945CF">
        <w:rPr>
          <w:rFonts w:ascii="Times New Roman" w:hAnsi="Times New Roman"/>
          <w:sz w:val="24"/>
          <w:szCs w:val="24"/>
        </w:rPr>
        <w:t>“). (KOM(2021) 202)</w:t>
      </w:r>
    </w:p>
    <w:p w:rsidR="00B945CF" w:rsidRPr="00B945CF" w:rsidRDefault="00B945CF" w:rsidP="00B945CF">
      <w:pPr>
        <w:spacing w:after="0"/>
        <w:jc w:val="both"/>
        <w:rPr>
          <w:rFonts w:ascii="Times New Roman" w:hAnsi="Times New Roman"/>
          <w:sz w:val="24"/>
          <w:szCs w:val="24"/>
        </w:rPr>
      </w:pPr>
      <w:r w:rsidRPr="00B945CF">
        <w:rPr>
          <w:rFonts w:ascii="Times New Roman" w:hAnsi="Times New Roman"/>
          <w:sz w:val="24"/>
          <w:szCs w:val="24"/>
        </w:rPr>
        <w:t>Článek 114 SFEU představuje obecný právní základ pro přijímání unijních předpisů sledujících vytvoření a fungování vnitřního trhu.</w:t>
      </w:r>
    </w:p>
    <w:p w:rsidR="00B945CF" w:rsidRPr="00B945CF" w:rsidRDefault="00B945CF" w:rsidP="00B945CF">
      <w:pPr>
        <w:jc w:val="both"/>
        <w:rPr>
          <w:rFonts w:ascii="Times New Roman" w:hAnsi="Times New Roman"/>
          <w:sz w:val="24"/>
          <w:szCs w:val="24"/>
        </w:rPr>
      </w:pPr>
      <w:r w:rsidRPr="00B945CF">
        <w:rPr>
          <w:rFonts w:ascii="Times New Roman" w:hAnsi="Times New Roman"/>
          <w:sz w:val="24"/>
          <w:szCs w:val="24"/>
        </w:rPr>
        <w:t>Článek 16 odst. 2 SFEU představuje právní základ pro přijímání pravidel o ochraně fyzických osob při zpracovávání osobních údajů orgány, institucemi a jinými subjekty Unie a členskými státy, pokud vykonávají činnosti spadající do oblasti působnosti práva Unie, a pravidla o volném pohybu těchto údajů.</w:t>
      </w:r>
    </w:p>
    <w:p w:rsidR="00B945CF" w:rsidRPr="00B945CF" w:rsidRDefault="00B945CF" w:rsidP="00B945CF">
      <w:pPr>
        <w:pStyle w:val="Odstavecseseznamem"/>
        <w:keepNext/>
        <w:keepLines/>
        <w:numPr>
          <w:ilvl w:val="0"/>
          <w:numId w:val="20"/>
        </w:numPr>
        <w:suppressAutoHyphens/>
        <w:autoSpaceDN w:val="0"/>
        <w:spacing w:after="0" w:line="252" w:lineRule="auto"/>
        <w:ind w:left="0"/>
        <w:contextualSpacing w:val="0"/>
        <w:jc w:val="both"/>
        <w:rPr>
          <w:rFonts w:ascii="Times New Roman" w:hAnsi="Times New Roman"/>
          <w:b/>
          <w:sz w:val="24"/>
          <w:szCs w:val="24"/>
        </w:rPr>
      </w:pPr>
      <w:bookmarkStart w:id="2" w:name="_Toc445380605"/>
      <w:r w:rsidRPr="00B945CF">
        <w:rPr>
          <w:rFonts w:ascii="Times New Roman" w:hAnsi="Times New Roman"/>
          <w:b/>
          <w:sz w:val="24"/>
          <w:szCs w:val="24"/>
        </w:rPr>
        <w:t>Datum zaslání Poslanecké sněmovně prostřednictvím VEZ:</w:t>
      </w:r>
      <w:bookmarkEnd w:id="2"/>
    </w:p>
    <w:p w:rsidR="00B945CF" w:rsidRPr="00B945CF" w:rsidRDefault="00B945CF" w:rsidP="00B945CF">
      <w:pPr>
        <w:jc w:val="both"/>
        <w:rPr>
          <w:rFonts w:ascii="Times New Roman" w:hAnsi="Times New Roman"/>
          <w:sz w:val="24"/>
          <w:szCs w:val="24"/>
        </w:rPr>
      </w:pPr>
      <w:r w:rsidRPr="00B945CF">
        <w:rPr>
          <w:rFonts w:ascii="Times New Roman" w:hAnsi="Times New Roman"/>
          <w:sz w:val="24"/>
          <w:szCs w:val="24"/>
        </w:rPr>
        <w:t>23. 4., 29. 4., 2. 6. (česká verze) 2021</w:t>
      </w:r>
    </w:p>
    <w:p w:rsidR="00B945CF" w:rsidRPr="00B945CF" w:rsidRDefault="00B945CF" w:rsidP="00B945CF">
      <w:pPr>
        <w:pStyle w:val="Odstavecseseznamem"/>
        <w:keepNext/>
        <w:keepLines/>
        <w:numPr>
          <w:ilvl w:val="0"/>
          <w:numId w:val="20"/>
        </w:numPr>
        <w:suppressAutoHyphens/>
        <w:autoSpaceDN w:val="0"/>
        <w:spacing w:after="0" w:line="252" w:lineRule="auto"/>
        <w:ind w:left="0"/>
        <w:contextualSpacing w:val="0"/>
        <w:jc w:val="both"/>
        <w:rPr>
          <w:rFonts w:ascii="Times New Roman" w:hAnsi="Times New Roman"/>
          <w:b/>
          <w:sz w:val="24"/>
          <w:szCs w:val="24"/>
        </w:rPr>
      </w:pPr>
      <w:bookmarkStart w:id="3" w:name="_Toc445380606"/>
      <w:r w:rsidRPr="00B945CF">
        <w:rPr>
          <w:rFonts w:ascii="Times New Roman" w:hAnsi="Times New Roman"/>
          <w:b/>
          <w:sz w:val="24"/>
          <w:szCs w:val="24"/>
        </w:rPr>
        <w:t>Datum projednání ve VEZ:</w:t>
      </w:r>
      <w:bookmarkEnd w:id="3"/>
    </w:p>
    <w:p w:rsidR="00B945CF" w:rsidRPr="00B945CF" w:rsidRDefault="00B945CF" w:rsidP="00B945CF">
      <w:pPr>
        <w:jc w:val="both"/>
        <w:rPr>
          <w:rFonts w:ascii="Times New Roman" w:hAnsi="Times New Roman"/>
          <w:sz w:val="24"/>
          <w:szCs w:val="24"/>
        </w:rPr>
      </w:pPr>
      <w:r w:rsidRPr="00B945CF">
        <w:rPr>
          <w:rFonts w:ascii="Times New Roman" w:hAnsi="Times New Roman"/>
          <w:sz w:val="24"/>
          <w:szCs w:val="24"/>
        </w:rPr>
        <w:t>21. 5. 2021 (1. kolo)</w:t>
      </w:r>
    </w:p>
    <w:p w:rsidR="00B945CF" w:rsidRPr="00B945CF" w:rsidRDefault="00B945CF" w:rsidP="00B945CF">
      <w:pPr>
        <w:pStyle w:val="Odstavecseseznamem"/>
        <w:keepNext/>
        <w:keepLines/>
        <w:numPr>
          <w:ilvl w:val="0"/>
          <w:numId w:val="20"/>
        </w:numPr>
        <w:suppressAutoHyphens/>
        <w:autoSpaceDN w:val="0"/>
        <w:spacing w:after="0" w:line="252" w:lineRule="auto"/>
        <w:ind w:left="0"/>
        <w:contextualSpacing w:val="0"/>
        <w:jc w:val="both"/>
        <w:rPr>
          <w:rFonts w:ascii="Times New Roman" w:hAnsi="Times New Roman"/>
          <w:b/>
          <w:sz w:val="24"/>
          <w:szCs w:val="24"/>
        </w:rPr>
      </w:pPr>
      <w:bookmarkStart w:id="4" w:name="_Toc445380607"/>
      <w:r w:rsidRPr="00B945CF">
        <w:rPr>
          <w:rFonts w:ascii="Times New Roman" w:hAnsi="Times New Roman"/>
          <w:b/>
          <w:sz w:val="24"/>
          <w:szCs w:val="24"/>
        </w:rPr>
        <w:t>Procedura:</w:t>
      </w:r>
      <w:bookmarkEnd w:id="4"/>
    </w:p>
    <w:p w:rsidR="00B945CF" w:rsidRPr="00B945CF" w:rsidRDefault="00B945CF" w:rsidP="00B945CF">
      <w:pPr>
        <w:jc w:val="both"/>
        <w:rPr>
          <w:rFonts w:ascii="Times New Roman" w:hAnsi="Times New Roman"/>
          <w:sz w:val="24"/>
          <w:szCs w:val="24"/>
        </w:rPr>
      </w:pPr>
      <w:r w:rsidRPr="00B945CF">
        <w:rPr>
          <w:rFonts w:ascii="Times New Roman" w:hAnsi="Times New Roman"/>
          <w:sz w:val="24"/>
          <w:szCs w:val="24"/>
        </w:rPr>
        <w:t>Řádný legislativní postup.</w:t>
      </w:r>
    </w:p>
    <w:p w:rsidR="00B945CF" w:rsidRPr="00B945CF" w:rsidRDefault="00B945CF" w:rsidP="00B945CF">
      <w:pPr>
        <w:pStyle w:val="Odstavecseseznamem"/>
        <w:keepNext/>
        <w:keepLines/>
        <w:numPr>
          <w:ilvl w:val="0"/>
          <w:numId w:val="20"/>
        </w:numPr>
        <w:suppressAutoHyphens/>
        <w:autoSpaceDN w:val="0"/>
        <w:spacing w:after="0" w:line="252" w:lineRule="auto"/>
        <w:ind w:left="0"/>
        <w:contextualSpacing w:val="0"/>
        <w:jc w:val="both"/>
        <w:rPr>
          <w:rFonts w:ascii="Times New Roman" w:hAnsi="Times New Roman"/>
          <w:b/>
          <w:sz w:val="24"/>
          <w:szCs w:val="24"/>
        </w:rPr>
      </w:pPr>
      <w:bookmarkStart w:id="5" w:name="_Toc445380608"/>
      <w:r w:rsidRPr="00B945CF">
        <w:rPr>
          <w:rFonts w:ascii="Times New Roman" w:hAnsi="Times New Roman"/>
          <w:b/>
          <w:sz w:val="24"/>
          <w:szCs w:val="24"/>
        </w:rPr>
        <w:t>Předběžná stanoviska vlády (dle § 109a odst. 1 jednacího řádu PS):</w:t>
      </w:r>
      <w:bookmarkEnd w:id="5"/>
    </w:p>
    <w:p w:rsidR="00B945CF" w:rsidRPr="00B945CF" w:rsidRDefault="00B945CF" w:rsidP="00B945CF">
      <w:pPr>
        <w:jc w:val="both"/>
        <w:rPr>
          <w:rFonts w:ascii="Times New Roman" w:hAnsi="Times New Roman"/>
          <w:sz w:val="24"/>
          <w:szCs w:val="24"/>
        </w:rPr>
      </w:pPr>
      <w:r w:rsidRPr="00B945CF">
        <w:rPr>
          <w:rFonts w:ascii="Times New Roman" w:hAnsi="Times New Roman"/>
          <w:sz w:val="24"/>
          <w:szCs w:val="24"/>
        </w:rPr>
        <w:t>Datovaná dny 24. května, 28. května a 31. května 2021, doručená do výboru pro evropské záležitosti ve dnech 24. května a 1. června 2021 prostřednictvím systému ISAP.</w:t>
      </w:r>
    </w:p>
    <w:p w:rsidR="00B945CF" w:rsidRPr="00B945CF" w:rsidRDefault="00B945CF" w:rsidP="00B945CF">
      <w:pPr>
        <w:pStyle w:val="Nadpis1"/>
        <w:rPr>
          <w:rFonts w:ascii="Times New Roman" w:hAnsi="Times New Roman"/>
          <w:szCs w:val="24"/>
        </w:rPr>
      </w:pPr>
      <w:bookmarkStart w:id="6" w:name="_Toc448302188"/>
      <w:bookmarkStart w:id="7" w:name="_Toc445380609"/>
      <w:r w:rsidRPr="00B945CF">
        <w:rPr>
          <w:rFonts w:ascii="Times New Roman" w:hAnsi="Times New Roman"/>
          <w:szCs w:val="24"/>
        </w:rPr>
        <w:t>Hodnocení z hlediska principu</w:t>
      </w:r>
      <w:r w:rsidRPr="00B945CF">
        <w:rPr>
          <w:rStyle w:val="Nadpis1Char"/>
          <w:rFonts w:ascii="Times New Roman" w:hAnsi="Times New Roman"/>
          <w:szCs w:val="24"/>
        </w:rPr>
        <w:t xml:space="preserve"> </w:t>
      </w:r>
      <w:r w:rsidRPr="00B945CF">
        <w:rPr>
          <w:rFonts w:ascii="Times New Roman" w:hAnsi="Times New Roman"/>
          <w:szCs w:val="24"/>
        </w:rPr>
        <w:t>subsidiarity:</w:t>
      </w:r>
      <w:bookmarkEnd w:id="6"/>
      <w:bookmarkEnd w:id="7"/>
    </w:p>
    <w:p w:rsidR="00B945CF" w:rsidRPr="00B945CF" w:rsidRDefault="00B945CF" w:rsidP="00B945CF">
      <w:pPr>
        <w:jc w:val="both"/>
        <w:rPr>
          <w:rFonts w:ascii="Times New Roman" w:hAnsi="Times New Roman"/>
          <w:i/>
          <w:sz w:val="24"/>
          <w:szCs w:val="24"/>
        </w:rPr>
      </w:pPr>
      <w:r w:rsidRPr="00B945CF">
        <w:rPr>
          <w:rFonts w:ascii="Times New Roman" w:hAnsi="Times New Roman"/>
          <w:i/>
          <w:sz w:val="24"/>
          <w:szCs w:val="24"/>
        </w:rPr>
        <w:t>Bude doplněno po jednání výboru.</w:t>
      </w:r>
    </w:p>
    <w:p w:rsidR="00B945CF" w:rsidRPr="00B945CF" w:rsidRDefault="00B945CF" w:rsidP="00B945CF">
      <w:pPr>
        <w:jc w:val="both"/>
        <w:rPr>
          <w:rFonts w:ascii="Times New Roman" w:hAnsi="Times New Roman"/>
          <w:sz w:val="24"/>
          <w:szCs w:val="24"/>
        </w:rPr>
      </w:pPr>
    </w:p>
    <w:p w:rsidR="00B945CF" w:rsidRPr="00B945CF" w:rsidRDefault="00B945CF" w:rsidP="00B945CF">
      <w:pPr>
        <w:pStyle w:val="Nadpis1"/>
        <w:spacing w:after="120"/>
        <w:ind w:hanging="357"/>
        <w:rPr>
          <w:rFonts w:ascii="Times New Roman" w:hAnsi="Times New Roman"/>
          <w:szCs w:val="24"/>
        </w:rPr>
      </w:pPr>
      <w:bookmarkStart w:id="8" w:name="_Toc448302189"/>
      <w:bookmarkStart w:id="9" w:name="_Toc445380610"/>
      <w:r w:rsidRPr="00B945CF">
        <w:rPr>
          <w:rFonts w:ascii="Times New Roman" w:hAnsi="Times New Roman"/>
          <w:szCs w:val="24"/>
        </w:rPr>
        <w:lastRenderedPageBreak/>
        <w:t>Odůvodnění a předmět:</w:t>
      </w:r>
      <w:bookmarkEnd w:id="8"/>
      <w:bookmarkEnd w:id="9"/>
    </w:p>
    <w:tbl>
      <w:tblPr>
        <w:tblStyle w:val="Mkatabulky"/>
        <w:tblW w:w="0" w:type="auto"/>
        <w:tblInd w:w="0" w:type="dxa"/>
        <w:shd w:val="clear" w:color="auto" w:fill="AEAAAA" w:themeFill="background2" w:themeFillShade="BF"/>
        <w:tblLook w:val="04A0" w:firstRow="1" w:lastRow="0" w:firstColumn="1" w:lastColumn="0" w:noHBand="0" w:noVBand="1"/>
      </w:tblPr>
      <w:tblGrid>
        <w:gridCol w:w="9286"/>
      </w:tblGrid>
      <w:tr w:rsidR="00B945CF" w:rsidRPr="00B945CF" w:rsidTr="00B945CF">
        <w:tc>
          <w:tcPr>
            <w:tcW w:w="934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945CF" w:rsidRPr="00B945CF" w:rsidRDefault="00B945CF">
            <w:pPr>
              <w:spacing w:after="120"/>
              <w:jc w:val="both"/>
              <w:rPr>
                <w:sz w:val="24"/>
                <w:szCs w:val="24"/>
              </w:rPr>
            </w:pPr>
            <w:r w:rsidRPr="00B945CF">
              <w:rPr>
                <w:sz w:val="24"/>
                <w:szCs w:val="24"/>
              </w:rPr>
              <w:t>Orgány EU se již několik let zabývají problematikou umělé inteligence (dále též „</w:t>
            </w:r>
            <w:r w:rsidRPr="00B945CF">
              <w:rPr>
                <w:b/>
                <w:sz w:val="24"/>
                <w:szCs w:val="24"/>
              </w:rPr>
              <w:t>UI</w:t>
            </w:r>
            <w:r w:rsidRPr="00B945CF">
              <w:rPr>
                <w:sz w:val="24"/>
                <w:szCs w:val="24"/>
              </w:rPr>
              <w:t xml:space="preserve">“). Na základě loňské </w:t>
            </w:r>
            <w:hyperlink r:id="rId8" w:history="1">
              <w:r w:rsidRPr="00B945CF">
                <w:rPr>
                  <w:rStyle w:val="Hypertextovodkaz"/>
                  <w:sz w:val="24"/>
                  <w:szCs w:val="24"/>
                </w:rPr>
                <w:t>bílé knihy o umělé inteligenci</w:t>
              </w:r>
            </w:hyperlink>
            <w:r w:rsidRPr="00B945CF">
              <w:rPr>
                <w:sz w:val="24"/>
                <w:szCs w:val="24"/>
              </w:rPr>
              <w:t xml:space="preserve"> a výsledků navazující </w:t>
            </w:r>
            <w:hyperlink r:id="rId9" w:history="1">
              <w:r w:rsidRPr="00B945CF">
                <w:rPr>
                  <w:rStyle w:val="Hypertextovodkaz"/>
                  <w:sz w:val="24"/>
                  <w:szCs w:val="24"/>
                </w:rPr>
                <w:t>veřejné konzultace</w:t>
              </w:r>
            </w:hyperlink>
            <w:r w:rsidRPr="00B945CF">
              <w:rPr>
                <w:sz w:val="24"/>
                <w:szCs w:val="24"/>
              </w:rPr>
              <w:t xml:space="preserve"> Komise nyní předkládá balíček k UI, který představuje první komplexní úpravu této problematiky na unijní úrovni. Balíček obsahuje:</w:t>
            </w:r>
          </w:p>
          <w:p w:rsidR="00B945CF" w:rsidRPr="00B945CF" w:rsidRDefault="00ED70E5" w:rsidP="00B945CF">
            <w:pPr>
              <w:pStyle w:val="Odstavecseseznamem"/>
              <w:numPr>
                <w:ilvl w:val="0"/>
                <w:numId w:val="21"/>
              </w:numPr>
              <w:suppressAutoHyphens/>
              <w:autoSpaceDN w:val="0"/>
              <w:spacing w:before="120" w:after="120" w:line="252" w:lineRule="auto"/>
              <w:contextualSpacing w:val="0"/>
              <w:rPr>
                <w:sz w:val="24"/>
                <w:szCs w:val="24"/>
              </w:rPr>
            </w:pPr>
            <w:hyperlink r:id="rId10" w:history="1">
              <w:r w:rsidR="00B945CF" w:rsidRPr="00B945CF">
                <w:rPr>
                  <w:rStyle w:val="Hypertextovodkaz"/>
                  <w:sz w:val="24"/>
                  <w:szCs w:val="24"/>
                </w:rPr>
                <w:t>sdělení „Podpora evropského přístupu k umělé inteligenci“</w:t>
              </w:r>
            </w:hyperlink>
            <w:r w:rsidR="00B945CF" w:rsidRPr="00B945CF">
              <w:rPr>
                <w:sz w:val="24"/>
                <w:szCs w:val="24"/>
              </w:rPr>
              <w:t xml:space="preserve"> (dále též „</w:t>
            </w:r>
            <w:r w:rsidR="00B945CF" w:rsidRPr="00B945CF">
              <w:rPr>
                <w:b/>
                <w:sz w:val="24"/>
                <w:szCs w:val="24"/>
              </w:rPr>
              <w:t>sdělení o UI</w:t>
            </w:r>
            <w:r w:rsidR="00B945CF" w:rsidRPr="00B945CF">
              <w:rPr>
                <w:sz w:val="24"/>
                <w:szCs w:val="24"/>
              </w:rPr>
              <w:t>“),</w:t>
            </w:r>
          </w:p>
          <w:p w:rsidR="00B945CF" w:rsidRPr="00B945CF" w:rsidRDefault="00ED70E5" w:rsidP="00B945CF">
            <w:pPr>
              <w:pStyle w:val="Odstavecseseznamem"/>
              <w:numPr>
                <w:ilvl w:val="0"/>
                <w:numId w:val="21"/>
              </w:numPr>
              <w:suppressAutoHyphens/>
              <w:autoSpaceDN w:val="0"/>
              <w:spacing w:before="120" w:after="120" w:line="252" w:lineRule="auto"/>
              <w:contextualSpacing w:val="0"/>
              <w:rPr>
                <w:sz w:val="24"/>
                <w:szCs w:val="24"/>
              </w:rPr>
            </w:pPr>
            <w:hyperlink r:id="rId11" w:history="1">
              <w:r w:rsidR="00B945CF" w:rsidRPr="00B945CF">
                <w:rPr>
                  <w:rStyle w:val="Hypertextovodkaz"/>
                  <w:sz w:val="24"/>
                  <w:szCs w:val="24"/>
                </w:rPr>
                <w:t>návrh nařízení Evropského parlamentu a Rady, kterým se stanoví harmonizovaná pravidla pro umělou inteligenci (akt o umělé inteligenci) a mění některé legislativní akty Unie</w:t>
              </w:r>
            </w:hyperlink>
            <w:r w:rsidR="00B945CF" w:rsidRPr="00B945CF">
              <w:rPr>
                <w:sz w:val="24"/>
                <w:szCs w:val="24"/>
              </w:rPr>
              <w:t xml:space="preserve"> (dále též „</w:t>
            </w:r>
            <w:r w:rsidR="00B945CF" w:rsidRPr="00B945CF">
              <w:rPr>
                <w:b/>
                <w:sz w:val="24"/>
                <w:szCs w:val="24"/>
              </w:rPr>
              <w:t>akt o umělé inteligenci</w:t>
            </w:r>
            <w:r w:rsidR="00B945CF" w:rsidRPr="00B945CF">
              <w:rPr>
                <w:sz w:val="24"/>
                <w:szCs w:val="24"/>
              </w:rPr>
              <w:t>“) a</w:t>
            </w:r>
          </w:p>
          <w:p w:rsidR="00B945CF" w:rsidRPr="00B945CF" w:rsidRDefault="00ED70E5" w:rsidP="00B945CF">
            <w:pPr>
              <w:pStyle w:val="Odstavecseseznamem"/>
              <w:numPr>
                <w:ilvl w:val="0"/>
                <w:numId w:val="21"/>
              </w:numPr>
              <w:suppressAutoHyphens/>
              <w:autoSpaceDN w:val="0"/>
              <w:spacing w:before="120" w:after="120" w:line="252" w:lineRule="auto"/>
              <w:contextualSpacing w:val="0"/>
              <w:rPr>
                <w:sz w:val="24"/>
                <w:szCs w:val="24"/>
              </w:rPr>
            </w:pPr>
            <w:hyperlink r:id="rId12" w:history="1">
              <w:r w:rsidR="00B945CF" w:rsidRPr="00B945CF">
                <w:rPr>
                  <w:rStyle w:val="Hypertextovodkaz"/>
                  <w:sz w:val="24"/>
                  <w:szCs w:val="24"/>
                </w:rPr>
                <w:t>návrh nařízení Evropského parlamentu a Rady o strojních výrobcích</w:t>
              </w:r>
            </w:hyperlink>
            <w:r w:rsidR="00B945CF" w:rsidRPr="00B945CF">
              <w:rPr>
                <w:sz w:val="24"/>
                <w:szCs w:val="24"/>
              </w:rPr>
              <w:t xml:space="preserve"> (dále též „</w:t>
            </w:r>
            <w:r w:rsidR="00B945CF" w:rsidRPr="00B945CF">
              <w:rPr>
                <w:b/>
                <w:sz w:val="24"/>
                <w:szCs w:val="24"/>
              </w:rPr>
              <w:t>nařízení o strojních výrobcích</w:t>
            </w:r>
            <w:r w:rsidR="00B945CF" w:rsidRPr="00B945CF">
              <w:rPr>
                <w:sz w:val="24"/>
                <w:szCs w:val="24"/>
              </w:rPr>
              <w:t>“).</w:t>
            </w:r>
          </w:p>
          <w:p w:rsidR="00B945CF" w:rsidRPr="00B945CF" w:rsidRDefault="00B945CF">
            <w:pPr>
              <w:spacing w:before="120" w:after="120"/>
              <w:jc w:val="both"/>
              <w:rPr>
                <w:rFonts w:eastAsia="Calibri"/>
                <w:sz w:val="24"/>
                <w:szCs w:val="24"/>
              </w:rPr>
            </w:pPr>
            <w:r w:rsidRPr="00B945CF">
              <w:rPr>
                <w:rFonts w:eastAsia="Calibri"/>
                <w:sz w:val="24"/>
                <w:szCs w:val="24"/>
              </w:rPr>
              <w:t xml:space="preserve">Sdělení o UI balíček uvádí a představuje jeho základní východiska, představuje rovněž revidovaný koordinovaný plán v oblasti UI, který je jeho přílohou. Akt o umělé inteligenci představuje novou regulaci UI, která některé praktiky </w:t>
            </w:r>
            <w:r w:rsidRPr="00B945CF">
              <w:rPr>
                <w:rFonts w:eastAsia="Calibri"/>
                <w:i/>
                <w:sz w:val="24"/>
                <w:szCs w:val="24"/>
              </w:rPr>
              <w:t xml:space="preserve">a priori </w:t>
            </w:r>
            <w:r w:rsidRPr="00B945CF">
              <w:rPr>
                <w:rFonts w:eastAsia="Calibri"/>
                <w:sz w:val="24"/>
                <w:szCs w:val="24"/>
              </w:rPr>
              <w:t>zakazuje, stanovuje pro určité systémy UI zvláštní pravidla transparence a klade relativně podrobné požadavky na tzv. vysoce rizikové systémy UI, pro něž jsou pravidla dozoru v některých ohledech podobná pravidlům obsaženým v nařízení o strojních výrobcích. To samo navazuje na dřívější úpravu v této oblasti, přičemž unijní pravidla modernizuje a přizpůsobuje technologickému vývoji.</w:t>
            </w:r>
          </w:p>
        </w:tc>
      </w:tr>
    </w:tbl>
    <w:p w:rsidR="00B945CF" w:rsidRPr="00B945CF" w:rsidRDefault="00B945CF" w:rsidP="00B945CF">
      <w:pPr>
        <w:spacing w:before="120" w:after="120"/>
        <w:jc w:val="both"/>
        <w:rPr>
          <w:rFonts w:ascii="Times New Roman" w:hAnsi="Times New Roman"/>
          <w:sz w:val="24"/>
          <w:szCs w:val="24"/>
        </w:rPr>
      </w:pPr>
      <w:r w:rsidRPr="00B945CF">
        <w:rPr>
          <w:rFonts w:ascii="Times New Roman" w:hAnsi="Times New Roman"/>
          <w:sz w:val="24"/>
          <w:szCs w:val="24"/>
        </w:rPr>
        <w:t xml:space="preserve">Evropský parlament přijal v únoru 2017 </w:t>
      </w:r>
      <w:hyperlink r:id="rId13" w:history="1">
        <w:r w:rsidRPr="00B945CF">
          <w:rPr>
            <w:rStyle w:val="Hypertextovodkaz"/>
            <w:rFonts w:ascii="Times New Roman" w:hAnsi="Times New Roman"/>
            <w:sz w:val="24"/>
            <w:szCs w:val="24"/>
          </w:rPr>
          <w:t>usnesení obsahující doporučení Komisi o občanskoprávních pravidlech pro robotiku</w:t>
        </w:r>
      </w:hyperlink>
      <w:r w:rsidRPr="00B945CF">
        <w:rPr>
          <w:rFonts w:ascii="Times New Roman" w:hAnsi="Times New Roman"/>
          <w:sz w:val="24"/>
          <w:szCs w:val="24"/>
        </w:rPr>
        <w:t xml:space="preserve">, ve kterém mj. vyzval k předložení legislativního návrhu řešícího právní otázky vývoje robotiky a umělé inteligence. Evropská rada pak v bodě 11 svých </w:t>
      </w:r>
      <w:hyperlink r:id="rId14" w:history="1">
        <w:r w:rsidRPr="00B945CF">
          <w:rPr>
            <w:rStyle w:val="Hypertextovodkaz"/>
            <w:rFonts w:ascii="Times New Roman" w:hAnsi="Times New Roman"/>
            <w:sz w:val="24"/>
            <w:szCs w:val="24"/>
          </w:rPr>
          <w:t>závěrů z 19. října 2017</w:t>
        </w:r>
      </w:hyperlink>
      <w:r w:rsidRPr="00B945CF">
        <w:rPr>
          <w:rFonts w:ascii="Times New Roman" w:hAnsi="Times New Roman"/>
          <w:sz w:val="24"/>
          <w:szCs w:val="24"/>
        </w:rPr>
        <w:t xml:space="preserve"> rovněž vyzvala Komisi k předložení evropského přístupu k UI. Zdůraznila přitom potřebu zajistit vysokou úroveň ochrany údajů, digitálních práv a etických norem.</w:t>
      </w:r>
    </w:p>
    <w:tbl>
      <w:tblPr>
        <w:tblStyle w:val="Mkatabulky"/>
        <w:tblW w:w="0" w:type="auto"/>
        <w:tblInd w:w="0" w:type="dxa"/>
        <w:tblLook w:val="04A0" w:firstRow="1" w:lastRow="0" w:firstColumn="1" w:lastColumn="0" w:noHBand="0" w:noVBand="1"/>
      </w:tblPr>
      <w:tblGrid>
        <w:gridCol w:w="9286"/>
      </w:tblGrid>
      <w:tr w:rsidR="00B945CF" w:rsidRPr="00B945CF" w:rsidTr="00B945CF">
        <w:tc>
          <w:tcPr>
            <w:tcW w:w="9344" w:type="dxa"/>
            <w:tcBorders>
              <w:top w:val="single" w:sz="4" w:space="0" w:color="auto"/>
              <w:left w:val="single" w:sz="4" w:space="0" w:color="auto"/>
              <w:bottom w:val="single" w:sz="4" w:space="0" w:color="auto"/>
              <w:right w:val="single" w:sz="4" w:space="0" w:color="auto"/>
            </w:tcBorders>
            <w:hideMark/>
          </w:tcPr>
          <w:p w:rsidR="00B945CF" w:rsidRPr="00B945CF" w:rsidRDefault="00B945CF">
            <w:pPr>
              <w:spacing w:after="120"/>
              <w:jc w:val="both"/>
              <w:rPr>
                <w:rFonts w:eastAsia="Calibri"/>
                <w:sz w:val="24"/>
                <w:szCs w:val="24"/>
              </w:rPr>
            </w:pPr>
            <w:r w:rsidRPr="00B945CF">
              <w:rPr>
                <w:rFonts w:eastAsia="Calibri"/>
                <w:b/>
                <w:sz w:val="24"/>
                <w:szCs w:val="24"/>
              </w:rPr>
              <w:t xml:space="preserve">Terminologická poznámka: </w:t>
            </w:r>
            <w:r w:rsidRPr="00B945CF">
              <w:rPr>
                <w:rFonts w:eastAsia="Calibri"/>
                <w:sz w:val="24"/>
                <w:szCs w:val="24"/>
              </w:rPr>
              <w:t xml:space="preserve">unijní dokumenty obvykle vymezují UI relativně obecně, např. jako </w:t>
            </w:r>
            <w:r w:rsidRPr="00B945CF">
              <w:rPr>
                <w:rFonts w:eastAsia="Calibri"/>
                <w:i/>
                <w:sz w:val="24"/>
                <w:szCs w:val="24"/>
              </w:rPr>
              <w:t>„systémy vykazující inteligentní chování v podobě vyhodnocování svého okolí a následného rozhodování či vykonávání kroků – s určitou mírou autonomie – k dosažení konkrétních cílů.“</w:t>
            </w:r>
            <w:r w:rsidRPr="00B945CF">
              <w:rPr>
                <w:rStyle w:val="Znakapoznpodarou"/>
                <w:rFonts w:eastAsia="Calibri"/>
                <w:sz w:val="24"/>
                <w:szCs w:val="24"/>
              </w:rPr>
              <w:footnoteReference w:id="1"/>
            </w:r>
            <w:r w:rsidRPr="00B945CF">
              <w:rPr>
                <w:rFonts w:eastAsia="Calibri"/>
                <w:sz w:val="24"/>
                <w:szCs w:val="24"/>
              </w:rPr>
              <w:t xml:space="preserve"> </w:t>
            </w:r>
          </w:p>
          <w:p w:rsidR="00B945CF" w:rsidRPr="00B945CF" w:rsidRDefault="00B945CF">
            <w:pPr>
              <w:spacing w:before="120" w:after="120"/>
              <w:jc w:val="both"/>
              <w:rPr>
                <w:rFonts w:eastAsia="Calibri"/>
                <w:sz w:val="24"/>
                <w:szCs w:val="24"/>
              </w:rPr>
            </w:pPr>
            <w:r w:rsidRPr="00B945CF">
              <w:rPr>
                <w:rFonts w:eastAsia="Calibri"/>
                <w:sz w:val="24"/>
                <w:szCs w:val="24"/>
              </w:rPr>
              <w:t>Pro účely konkrétní regulace navržené v tomto balíčku pracuje Komise s konkrétnější definicí pojmu systému umělé inteligence (dále též „</w:t>
            </w:r>
            <w:r w:rsidRPr="00B945CF">
              <w:rPr>
                <w:rFonts w:eastAsia="Calibri"/>
                <w:b/>
                <w:sz w:val="24"/>
                <w:szCs w:val="24"/>
              </w:rPr>
              <w:t>systém UI</w:t>
            </w:r>
            <w:r w:rsidRPr="00B945CF">
              <w:rPr>
                <w:rFonts w:eastAsia="Calibri"/>
                <w:sz w:val="24"/>
                <w:szCs w:val="24"/>
              </w:rPr>
              <w:t xml:space="preserve">“), kterým je </w:t>
            </w:r>
            <w:r w:rsidRPr="00B945CF">
              <w:rPr>
                <w:rFonts w:eastAsia="Calibri"/>
                <w:i/>
                <w:sz w:val="24"/>
                <w:szCs w:val="24"/>
              </w:rPr>
              <w:t>„software, který je vyvinut s jednou či více technikami a přístupy vymezenými v Příloze I a může, pro určenou množinu lidmi stanovených cílů, generovat výstupy jako obsah, předpovědi, doporučení nebo rozhodnutí ovlivňující prostředí, se kterými interagují[.]“</w:t>
            </w:r>
            <w:r w:rsidRPr="00B945CF">
              <w:rPr>
                <w:rStyle w:val="Znakapoznpodarou"/>
                <w:rFonts w:eastAsia="Calibri"/>
                <w:sz w:val="24"/>
                <w:szCs w:val="24"/>
              </w:rPr>
              <w:footnoteReference w:id="2"/>
            </w:r>
            <w:r w:rsidRPr="00B945CF">
              <w:rPr>
                <w:rFonts w:eastAsia="Calibri"/>
                <w:i/>
                <w:sz w:val="24"/>
                <w:szCs w:val="24"/>
              </w:rPr>
              <w:t xml:space="preserve"> </w:t>
            </w:r>
            <w:r w:rsidRPr="00B945CF">
              <w:rPr>
                <w:rFonts w:eastAsia="Calibri"/>
                <w:sz w:val="24"/>
                <w:szCs w:val="24"/>
              </w:rPr>
              <w:t>Mezi zmíněné techniky a přístupy přitom patří přístupy strojového učení, logické a znalostní přístupy (</w:t>
            </w:r>
            <w:r w:rsidRPr="00B945CF">
              <w:rPr>
                <w:rFonts w:eastAsia="Calibri"/>
                <w:i/>
                <w:sz w:val="24"/>
                <w:szCs w:val="24"/>
              </w:rPr>
              <w:t>logic- and knowledge-based approaches</w:t>
            </w:r>
            <w:r w:rsidRPr="00B945CF">
              <w:rPr>
                <w:rFonts w:eastAsia="Calibri"/>
                <w:sz w:val="24"/>
                <w:szCs w:val="24"/>
              </w:rPr>
              <w:t>), statistické přístupy, bayesovské odhady parametrů (</w:t>
            </w:r>
            <w:r w:rsidRPr="00B945CF">
              <w:rPr>
                <w:rFonts w:eastAsia="Calibri"/>
                <w:i/>
                <w:sz w:val="24"/>
                <w:szCs w:val="24"/>
              </w:rPr>
              <w:t>Bayesian estimation</w:t>
            </w:r>
            <w:r w:rsidRPr="00B945CF">
              <w:rPr>
                <w:rFonts w:eastAsia="Calibri"/>
                <w:sz w:val="24"/>
                <w:szCs w:val="24"/>
              </w:rPr>
              <w:t>) či metody vyhledávání a optimalizace (</w:t>
            </w:r>
            <w:r w:rsidRPr="00B945CF">
              <w:rPr>
                <w:rFonts w:eastAsia="Calibri"/>
                <w:i/>
                <w:sz w:val="24"/>
                <w:szCs w:val="24"/>
              </w:rPr>
              <w:t>search and optimization methods</w:t>
            </w:r>
            <w:r w:rsidRPr="00B945CF">
              <w:rPr>
                <w:rFonts w:eastAsia="Calibri"/>
                <w:sz w:val="24"/>
                <w:szCs w:val="24"/>
              </w:rPr>
              <w:t>). Uvedený výčet ovšem může Komise podle návrhu za stanovených podmínek aktualizovat s ohledem na tržní a technologický vývoj.</w:t>
            </w:r>
          </w:p>
        </w:tc>
      </w:tr>
    </w:tbl>
    <w:p w:rsidR="00B945CF" w:rsidRPr="00B945CF" w:rsidRDefault="00B945CF" w:rsidP="00B945CF">
      <w:pPr>
        <w:spacing w:before="120" w:after="120"/>
        <w:jc w:val="both"/>
        <w:rPr>
          <w:rFonts w:ascii="Times New Roman" w:hAnsi="Times New Roman"/>
          <w:sz w:val="24"/>
          <w:szCs w:val="24"/>
        </w:rPr>
      </w:pPr>
      <w:r w:rsidRPr="00B945CF">
        <w:rPr>
          <w:rFonts w:ascii="Times New Roman" w:hAnsi="Times New Roman"/>
          <w:sz w:val="24"/>
          <w:szCs w:val="24"/>
        </w:rPr>
        <w:t xml:space="preserve">V roce 2018 Komise vydala </w:t>
      </w:r>
      <w:hyperlink r:id="rId15" w:history="1">
        <w:r w:rsidRPr="00B945CF">
          <w:rPr>
            <w:rStyle w:val="Hypertextovodkaz"/>
            <w:rFonts w:ascii="Times New Roman" w:hAnsi="Times New Roman"/>
            <w:sz w:val="24"/>
            <w:szCs w:val="24"/>
          </w:rPr>
          <w:t>sdělení o umělé inteligenci pro Evropu</w:t>
        </w:r>
      </w:hyperlink>
      <w:r w:rsidRPr="00B945CF">
        <w:rPr>
          <w:rFonts w:ascii="Times New Roman" w:hAnsi="Times New Roman"/>
          <w:sz w:val="24"/>
          <w:szCs w:val="24"/>
        </w:rPr>
        <w:t xml:space="preserve"> a </w:t>
      </w:r>
      <w:hyperlink r:id="rId16" w:history="1">
        <w:r w:rsidRPr="00B945CF">
          <w:rPr>
            <w:rStyle w:val="Hypertextovodkaz"/>
            <w:rFonts w:ascii="Times New Roman" w:hAnsi="Times New Roman"/>
            <w:sz w:val="24"/>
            <w:szCs w:val="24"/>
          </w:rPr>
          <w:t>sdělení o koordinovaném plánu v oblasti umělé inteligence</w:t>
        </w:r>
      </w:hyperlink>
      <w:r w:rsidRPr="00B945CF">
        <w:rPr>
          <w:rFonts w:ascii="Times New Roman" w:hAnsi="Times New Roman"/>
          <w:sz w:val="24"/>
          <w:szCs w:val="24"/>
        </w:rPr>
        <w:t xml:space="preserve">. Tato sdělení stála na začátku relativně rozsáhlých přípravných prací spočívajících v konzultacích se zainteresovanými subjekty, </w:t>
      </w:r>
      <w:r w:rsidRPr="00B945CF">
        <w:rPr>
          <w:rFonts w:ascii="Times New Roman" w:hAnsi="Times New Roman"/>
          <w:sz w:val="24"/>
          <w:szCs w:val="24"/>
        </w:rPr>
        <w:lastRenderedPageBreak/>
        <w:t xml:space="preserve">vytvoření </w:t>
      </w:r>
      <w:hyperlink r:id="rId17" w:history="1">
        <w:r w:rsidRPr="00B945CF">
          <w:rPr>
            <w:rStyle w:val="Hypertextovodkaz"/>
            <w:rFonts w:ascii="Times New Roman" w:hAnsi="Times New Roman"/>
            <w:sz w:val="24"/>
            <w:szCs w:val="24"/>
          </w:rPr>
          <w:t>Etických pokynů pro zajištění důvěryhodnosti UI</w:t>
        </w:r>
      </w:hyperlink>
      <w:r w:rsidRPr="00B945CF">
        <w:rPr>
          <w:rFonts w:ascii="Times New Roman" w:hAnsi="Times New Roman"/>
          <w:sz w:val="24"/>
          <w:szCs w:val="24"/>
        </w:rPr>
        <w:t xml:space="preserve"> a </w:t>
      </w:r>
      <w:hyperlink r:id="rId18" w:history="1">
        <w:r w:rsidRPr="00B945CF">
          <w:rPr>
            <w:rStyle w:val="Hypertextovodkaz"/>
            <w:rFonts w:ascii="Times New Roman" w:hAnsi="Times New Roman"/>
            <w:sz w:val="24"/>
            <w:szCs w:val="24"/>
          </w:rPr>
          <w:t>Hodnotícího seznamu pro důvěryhodnou UI</w:t>
        </w:r>
      </w:hyperlink>
      <w:r w:rsidRPr="00B945CF">
        <w:rPr>
          <w:rFonts w:ascii="Times New Roman" w:hAnsi="Times New Roman"/>
          <w:sz w:val="24"/>
          <w:szCs w:val="24"/>
        </w:rPr>
        <w:t xml:space="preserve"> Nezávislou odbornou skupinou na vysoké úrovni pro umělou inteligenci. </w:t>
      </w:r>
      <w:hyperlink r:id="rId19" w:history="1">
        <w:r w:rsidRPr="00B945CF">
          <w:rPr>
            <w:rStyle w:val="Hypertextovodkaz"/>
            <w:rFonts w:ascii="Times New Roman" w:hAnsi="Times New Roman"/>
            <w:sz w:val="24"/>
            <w:szCs w:val="24"/>
          </w:rPr>
          <w:t>Evropská aliance pro umělou inteligenci</w:t>
        </w:r>
      </w:hyperlink>
      <w:r w:rsidRPr="00B945CF">
        <w:rPr>
          <w:rFonts w:ascii="Times New Roman" w:hAnsi="Times New Roman"/>
          <w:sz w:val="24"/>
          <w:szCs w:val="24"/>
        </w:rPr>
        <w:t xml:space="preserve"> dále představuje fórum pro interakci početných zástupců zainteresovaných subjektů. Tyto snahy vedly k vydání </w:t>
      </w:r>
      <w:hyperlink r:id="rId20" w:history="1">
        <w:r w:rsidRPr="00B945CF">
          <w:rPr>
            <w:rStyle w:val="Hypertextovodkaz"/>
            <w:rFonts w:ascii="Times New Roman" w:hAnsi="Times New Roman"/>
            <w:sz w:val="24"/>
            <w:szCs w:val="24"/>
          </w:rPr>
          <w:t>bílé knihy o umělé inteligenci</w:t>
        </w:r>
      </w:hyperlink>
      <w:r w:rsidRPr="00B945CF">
        <w:rPr>
          <w:rFonts w:ascii="Times New Roman" w:hAnsi="Times New Roman"/>
          <w:sz w:val="24"/>
          <w:szCs w:val="24"/>
        </w:rPr>
        <w:t>, která zformulovala následující východiska pro unijní přístup k UI:</w:t>
      </w:r>
    </w:p>
    <w:p w:rsidR="00B945CF" w:rsidRPr="00B945CF" w:rsidRDefault="00B945CF" w:rsidP="00B945CF">
      <w:pPr>
        <w:pStyle w:val="Odstavecseseznamem"/>
        <w:numPr>
          <w:ilvl w:val="0"/>
          <w:numId w:val="22"/>
        </w:numPr>
        <w:suppressAutoHyphens/>
        <w:autoSpaceDN w:val="0"/>
        <w:spacing w:before="120" w:after="120" w:line="252" w:lineRule="auto"/>
        <w:contextualSpacing w:val="0"/>
        <w:jc w:val="both"/>
        <w:rPr>
          <w:rFonts w:ascii="Times New Roman" w:hAnsi="Times New Roman"/>
          <w:sz w:val="24"/>
          <w:szCs w:val="24"/>
        </w:rPr>
      </w:pPr>
      <w:r w:rsidRPr="00B945CF">
        <w:rPr>
          <w:rFonts w:ascii="Times New Roman" w:hAnsi="Times New Roman"/>
          <w:sz w:val="24"/>
          <w:szCs w:val="24"/>
        </w:rPr>
        <w:t xml:space="preserve">je třeba vytvořit </w:t>
      </w:r>
      <w:r w:rsidRPr="00B945CF">
        <w:rPr>
          <w:rFonts w:ascii="Times New Roman" w:hAnsi="Times New Roman"/>
          <w:b/>
          <w:sz w:val="24"/>
          <w:szCs w:val="24"/>
        </w:rPr>
        <w:t>ekosystém excelence</w:t>
      </w:r>
      <w:r w:rsidRPr="00B945CF">
        <w:rPr>
          <w:rFonts w:ascii="Times New Roman" w:hAnsi="Times New Roman"/>
          <w:sz w:val="24"/>
          <w:szCs w:val="24"/>
        </w:rPr>
        <w:t>, tj. podpořit rozvoj a využívání UI v unijním hospodářství a veřejné správě,</w:t>
      </w:r>
    </w:p>
    <w:p w:rsidR="00B945CF" w:rsidRPr="00B945CF" w:rsidRDefault="00B945CF" w:rsidP="00B945CF">
      <w:pPr>
        <w:pStyle w:val="Odstavecseseznamem"/>
        <w:numPr>
          <w:ilvl w:val="0"/>
          <w:numId w:val="22"/>
        </w:numPr>
        <w:suppressAutoHyphens/>
        <w:autoSpaceDN w:val="0"/>
        <w:spacing w:before="120" w:after="120" w:line="252" w:lineRule="auto"/>
        <w:contextualSpacing w:val="0"/>
        <w:jc w:val="both"/>
        <w:rPr>
          <w:rFonts w:ascii="Times New Roman" w:hAnsi="Times New Roman"/>
          <w:sz w:val="24"/>
          <w:szCs w:val="24"/>
        </w:rPr>
      </w:pPr>
      <w:r w:rsidRPr="00B945CF">
        <w:rPr>
          <w:rFonts w:ascii="Times New Roman" w:hAnsi="Times New Roman"/>
          <w:sz w:val="24"/>
          <w:szCs w:val="24"/>
        </w:rPr>
        <w:t xml:space="preserve">je rovněž třeba vytvořit </w:t>
      </w:r>
      <w:r w:rsidRPr="00B945CF">
        <w:rPr>
          <w:rFonts w:ascii="Times New Roman" w:hAnsi="Times New Roman"/>
          <w:b/>
          <w:sz w:val="24"/>
          <w:szCs w:val="24"/>
        </w:rPr>
        <w:t>ekosystém důvěry</w:t>
      </w:r>
      <w:r w:rsidRPr="00B945CF">
        <w:rPr>
          <w:rFonts w:ascii="Times New Roman" w:hAnsi="Times New Roman"/>
          <w:sz w:val="24"/>
          <w:szCs w:val="24"/>
        </w:rPr>
        <w:t>, který spočívá v reakci na rizika a obavy plynoucí ze zavádění UI.</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 xml:space="preserve">Na základě této bílé knihy proběhla </w:t>
      </w:r>
      <w:hyperlink r:id="rId21" w:history="1">
        <w:r w:rsidRPr="00B945CF">
          <w:rPr>
            <w:rStyle w:val="Hypertextovodkaz"/>
            <w:rFonts w:ascii="Times New Roman" w:hAnsi="Times New Roman"/>
            <w:sz w:val="24"/>
            <w:szCs w:val="24"/>
          </w:rPr>
          <w:t>veřejná konzultace</w:t>
        </w:r>
      </w:hyperlink>
      <w:r w:rsidRPr="00B945CF">
        <w:rPr>
          <w:rFonts w:ascii="Times New Roman" w:hAnsi="Times New Roman"/>
          <w:sz w:val="24"/>
          <w:szCs w:val="24"/>
        </w:rPr>
        <w:t>. S ohledem na její výsledky Komise konstatovala mezery v současné právní úpravě vyplývající z určitých zvláštností UI, jako je například neprůhlednost fungování jednotlivých algoritmů. Komise proto předkládá balíček k umělé inteligenci sestávající z těchto dokumentů:</w:t>
      </w:r>
    </w:p>
    <w:p w:rsidR="00B945CF" w:rsidRPr="00B945CF" w:rsidRDefault="00B945CF" w:rsidP="00B945CF">
      <w:pPr>
        <w:pStyle w:val="Odstavecseseznamem"/>
        <w:numPr>
          <w:ilvl w:val="0"/>
          <w:numId w:val="22"/>
        </w:numPr>
        <w:suppressAutoHyphens/>
        <w:autoSpaceDN w:val="0"/>
        <w:spacing w:before="120" w:after="120" w:line="252" w:lineRule="auto"/>
        <w:contextualSpacing w:val="0"/>
        <w:jc w:val="both"/>
        <w:rPr>
          <w:rFonts w:ascii="Times New Roman" w:hAnsi="Times New Roman"/>
          <w:sz w:val="24"/>
          <w:szCs w:val="24"/>
        </w:rPr>
      </w:pPr>
      <w:r w:rsidRPr="00B945CF">
        <w:rPr>
          <w:rFonts w:ascii="Times New Roman" w:hAnsi="Times New Roman"/>
          <w:sz w:val="24"/>
          <w:szCs w:val="24"/>
        </w:rPr>
        <w:t>zastřešujícího sdělení „Podpora evropského přístupu k umělé inteligenci“,</w:t>
      </w:r>
    </w:p>
    <w:p w:rsidR="00B945CF" w:rsidRPr="00B945CF" w:rsidRDefault="00B945CF" w:rsidP="00B945CF">
      <w:pPr>
        <w:pStyle w:val="Odstavecseseznamem"/>
        <w:numPr>
          <w:ilvl w:val="0"/>
          <w:numId w:val="22"/>
        </w:numPr>
        <w:suppressAutoHyphens/>
        <w:autoSpaceDN w:val="0"/>
        <w:spacing w:before="120" w:after="120" w:line="252" w:lineRule="auto"/>
        <w:contextualSpacing w:val="0"/>
        <w:jc w:val="both"/>
        <w:rPr>
          <w:rFonts w:ascii="Times New Roman" w:hAnsi="Times New Roman"/>
          <w:sz w:val="24"/>
          <w:szCs w:val="24"/>
        </w:rPr>
      </w:pPr>
      <w:r w:rsidRPr="00B945CF">
        <w:rPr>
          <w:rFonts w:ascii="Times New Roman" w:hAnsi="Times New Roman"/>
          <w:sz w:val="24"/>
          <w:szCs w:val="24"/>
        </w:rPr>
        <w:t>návrhu nařízení Evropského parlamentu a Rady, kterým se stanoví harmonizovaná pravidla pro umělou inteligenci (akt o umělé inteligenci) a mění některé legislativní akty Unie a</w:t>
      </w:r>
    </w:p>
    <w:p w:rsidR="00B945CF" w:rsidRPr="00B945CF" w:rsidRDefault="00B945CF" w:rsidP="00B945CF">
      <w:pPr>
        <w:pStyle w:val="Odstavecseseznamem"/>
        <w:numPr>
          <w:ilvl w:val="0"/>
          <w:numId w:val="22"/>
        </w:numPr>
        <w:suppressAutoHyphens/>
        <w:autoSpaceDN w:val="0"/>
        <w:spacing w:before="120" w:after="120" w:line="252" w:lineRule="auto"/>
        <w:contextualSpacing w:val="0"/>
        <w:jc w:val="both"/>
        <w:rPr>
          <w:rFonts w:ascii="Times New Roman" w:hAnsi="Times New Roman"/>
          <w:sz w:val="24"/>
          <w:szCs w:val="24"/>
        </w:rPr>
      </w:pPr>
      <w:r w:rsidRPr="00B945CF">
        <w:rPr>
          <w:rFonts w:ascii="Times New Roman" w:hAnsi="Times New Roman"/>
          <w:sz w:val="24"/>
          <w:szCs w:val="24"/>
        </w:rPr>
        <w:t>návrh nařízení Evropského parlamentu a Rady o strojních výrobcích.</w:t>
      </w:r>
    </w:p>
    <w:p w:rsidR="00B945CF" w:rsidRPr="00B945CF" w:rsidRDefault="00B945CF" w:rsidP="00B945CF">
      <w:pPr>
        <w:spacing w:after="120"/>
        <w:jc w:val="both"/>
        <w:rPr>
          <w:rFonts w:ascii="Times New Roman" w:hAnsi="Times New Roman"/>
          <w:i/>
          <w:sz w:val="24"/>
          <w:szCs w:val="24"/>
        </w:rPr>
      </w:pPr>
      <w:r w:rsidRPr="00B945CF">
        <w:rPr>
          <w:rFonts w:ascii="Times New Roman" w:hAnsi="Times New Roman"/>
          <w:b/>
          <w:i/>
          <w:sz w:val="24"/>
          <w:szCs w:val="24"/>
        </w:rPr>
        <w:t>Sdělení „Podpora evropského přístupu k umělé inteligenci“</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Toto sdělení bylo přijato jako dokument uvozující balíček k umělé inteligenci, který vysvětluje některé jeho základní východiska a principy. Jeho přílohou je přezkum koordinovaného plánu v oblasti UI.</w:t>
      </w:r>
    </w:p>
    <w:p w:rsidR="00B945CF" w:rsidRPr="00B945CF" w:rsidRDefault="00B945CF" w:rsidP="00B945CF">
      <w:pPr>
        <w:spacing w:after="120"/>
        <w:jc w:val="both"/>
        <w:rPr>
          <w:rFonts w:ascii="Times New Roman" w:eastAsia="Times New Roman" w:hAnsi="Times New Roman"/>
          <w:b/>
          <w:i/>
          <w:sz w:val="24"/>
          <w:szCs w:val="24"/>
          <w:lang w:eastAsia="cs-CZ"/>
        </w:rPr>
      </w:pPr>
      <w:r w:rsidRPr="00B945CF">
        <w:rPr>
          <w:rFonts w:ascii="Times New Roman" w:hAnsi="Times New Roman"/>
          <w:b/>
          <w:i/>
          <w:sz w:val="24"/>
          <w:szCs w:val="24"/>
        </w:rPr>
        <w:t>Návrh nařízení Evropského parlamentu a Rady, kterým se stanoví harmonizovaná pravidla pro umělou inteligenci (akt o umělé inteligenci) a mění některé legislativní akty Unie</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Jedná se zcela novou a komplexní úpravu UI v EU. Jako kontext vzniku důvodová zpráva aktu o umělé inteligenci uvádí nové možnosti UI jdoucí ruku v ruce s novými riziky, přičemž se odkazuje na výslovné výzvy Evropského parlamentu a Evropské rady k vydání legislativního návrhu v této oblasti. Komise stanoviska obou těchto orgánů bere v potaz.</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Akt o umělé inteligenci má zajistit, (i.) aby systémy UI působící na vnitřním trhu byly bezpečné a respektovaly platné právo, základní práva a hodnoty EU, (ii.) aby byla zajištěna právní jistota umožňující investice a inovace v souvislosti s UI, (iii.) zlepšení správy a efektivního vymáhání základních práv a bezpečnostních požadavků v souvislosti se systémy UI a (iv.) zprostředkování rozvoje jednotného trhu s legálními, bezpečnými a důvěryhodnými aplikacemi UI, resp. zamezit fragmentaci trhu.</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Komise považuje návrh aktu o umělé inteligenci za souladný se zásadou subsidiarity. Odkazuje na to, že UI může být využita v jakémkoli produktu nebo službě volně cirkulující na vnitřním trhu, pročež cíle návrhu podle Komise nemohou zajistit jednotlivé členské státy. Případné rozdíly mezi vnitrostátními úpravami by naopak mohly vést ke ztížení cirkulace příslušných výrobků a služeb. Ve společné unijní regulaci vidí Komise možnost posílit konkurenceschopnost EU, její digitální suverenitu i schopnost ovlivňovat globální standardy a pravidla pro UI.</w:t>
      </w:r>
    </w:p>
    <w:p w:rsidR="00B945CF" w:rsidRPr="00B945CF" w:rsidRDefault="00B945CF" w:rsidP="00B945CF">
      <w:pPr>
        <w:spacing w:after="120"/>
        <w:jc w:val="both"/>
        <w:rPr>
          <w:rFonts w:ascii="Times New Roman" w:hAnsi="Times New Roman"/>
          <w:b/>
          <w:i/>
          <w:sz w:val="24"/>
          <w:szCs w:val="24"/>
        </w:rPr>
      </w:pPr>
      <w:r w:rsidRPr="00B945CF">
        <w:rPr>
          <w:rFonts w:ascii="Times New Roman" w:hAnsi="Times New Roman"/>
          <w:b/>
          <w:i/>
          <w:sz w:val="24"/>
          <w:szCs w:val="24"/>
        </w:rPr>
        <w:t>Návrh nařízení Evropského parlamentu a Rady o strojních výrobcích</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lastRenderedPageBreak/>
        <w:t xml:space="preserve">Jedná se o návrh nařízení v oblasti doposud pokryté zejména </w:t>
      </w:r>
      <w:hyperlink r:id="rId22" w:history="1">
        <w:r w:rsidRPr="00B945CF">
          <w:rPr>
            <w:rStyle w:val="Hypertextovodkaz"/>
            <w:rFonts w:ascii="Times New Roman" w:hAnsi="Times New Roman"/>
            <w:sz w:val="24"/>
            <w:szCs w:val="24"/>
          </w:rPr>
          <w:t>směrnicí 2006/42/ES</w:t>
        </w:r>
      </w:hyperlink>
      <w:r w:rsidRPr="00B945CF">
        <w:rPr>
          <w:rFonts w:ascii="Times New Roman" w:hAnsi="Times New Roman"/>
          <w:sz w:val="24"/>
          <w:szCs w:val="24"/>
        </w:rPr>
        <w:t xml:space="preserve"> o strojních zařízeních, která má skrze harmonizaci zajistit volný pohyb těchto zařízení, přičemž rovněž ochrání uživatele a jiné ohrožené osoby. Nařízení o strojních výrobcích má na dosavadní úpravu navázat jejím zlepšením, zjednodušením a modernizací. Má lépe reagovat na rizika nových technologií, zvýšit právní jistotu s ohledem na oblast působnosti směrnice 2006/42/ES, napravit nedostatky současného seznamu tzv. strojů s vysokým rizikem, upustit v některých případech od povinnosti distribuovat tištěné návody, napravit nesrovnalosti s jinými předpisy a sjednotit výklad unijních pravidel. Volba formy nařízení místo směrnice má přispět právě ke sjednocení výkladu a aplikace unijních pravidel v této oblasti.</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Podle Komise je návrh nařízení o strojních výrobcích v souladu s principem subsidiarity. Bez unijní úpravy by členské státy mohly zavádět rozdílné požadavky na bezpečnost, které by mohly vést k rozdílům v bezpečnosti těchto výrobků. Nařízení o strojních výrobcích by navíc přispělo k rozvoji vnitřního trhu, resp. digitálního jednotného trhu tím, že zajišťuje právní jistotu a rovné podmínky pro výrobní odvětví.</w:t>
      </w:r>
    </w:p>
    <w:tbl>
      <w:tblPr>
        <w:tblStyle w:val="Mkatabulky"/>
        <w:tblW w:w="0" w:type="auto"/>
        <w:tblInd w:w="0" w:type="dxa"/>
        <w:shd w:val="clear" w:color="auto" w:fill="9CC2E5" w:themeFill="accent1" w:themeFillTint="99"/>
        <w:tblLook w:val="04A0" w:firstRow="1" w:lastRow="0" w:firstColumn="1" w:lastColumn="0" w:noHBand="0" w:noVBand="1"/>
      </w:tblPr>
      <w:tblGrid>
        <w:gridCol w:w="9286"/>
      </w:tblGrid>
      <w:tr w:rsidR="00B945CF" w:rsidRPr="00B945CF" w:rsidTr="00B945CF">
        <w:tc>
          <w:tcPr>
            <w:tcW w:w="9344"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B945CF" w:rsidRPr="00B945CF" w:rsidRDefault="00B945CF">
            <w:pPr>
              <w:keepNext/>
              <w:spacing w:after="120"/>
              <w:jc w:val="both"/>
              <w:rPr>
                <w:rFonts w:eastAsia="Calibri"/>
                <w:sz w:val="24"/>
                <w:szCs w:val="24"/>
                <w:u w:val="single"/>
              </w:rPr>
            </w:pPr>
            <w:r w:rsidRPr="00B945CF">
              <w:rPr>
                <w:rFonts w:eastAsia="Calibri"/>
                <w:sz w:val="24"/>
                <w:szCs w:val="24"/>
                <w:u w:val="single"/>
              </w:rPr>
              <w:t>Poznámka PI</w:t>
            </w:r>
          </w:p>
          <w:p w:rsidR="00B945CF" w:rsidRPr="00B945CF" w:rsidRDefault="00B945CF">
            <w:pPr>
              <w:spacing w:after="120"/>
              <w:jc w:val="both"/>
              <w:rPr>
                <w:sz w:val="24"/>
                <w:szCs w:val="24"/>
                <w:lang w:eastAsia="cs-CZ"/>
              </w:rPr>
            </w:pPr>
            <w:r w:rsidRPr="00B945CF">
              <w:rPr>
                <w:rFonts w:eastAsia="Calibri"/>
                <w:sz w:val="24"/>
                <w:szCs w:val="24"/>
              </w:rPr>
              <w:t xml:space="preserve">Výbor pro evropské záležitosti se již dříve zabýval </w:t>
            </w:r>
            <w:hyperlink r:id="rId23" w:history="1">
              <w:r w:rsidRPr="00B945CF">
                <w:rPr>
                  <w:rStyle w:val="Hypertextovodkaz"/>
                  <w:rFonts w:eastAsia="Calibri"/>
                  <w:sz w:val="24"/>
                  <w:szCs w:val="24"/>
                </w:rPr>
                <w:t>sdělením o umělé inteligenci pro Evropu</w:t>
              </w:r>
            </w:hyperlink>
            <w:r w:rsidRPr="00B945CF">
              <w:rPr>
                <w:rFonts w:eastAsia="Calibri"/>
                <w:sz w:val="24"/>
                <w:szCs w:val="24"/>
              </w:rPr>
              <w:t xml:space="preserve"> a </w:t>
            </w:r>
            <w:hyperlink r:id="rId24" w:history="1">
              <w:r w:rsidRPr="00B945CF">
                <w:rPr>
                  <w:rStyle w:val="Hypertextovodkaz"/>
                  <w:sz w:val="24"/>
                  <w:szCs w:val="24"/>
                </w:rPr>
                <w:t>sdělením o koordinovaném plánu v oblasti umělé inteligence</w:t>
              </w:r>
            </w:hyperlink>
            <w:r w:rsidRPr="00B945CF">
              <w:rPr>
                <w:sz w:val="24"/>
                <w:szCs w:val="24"/>
              </w:rPr>
              <w:t xml:space="preserve">. Ve </w:t>
            </w:r>
            <w:hyperlink r:id="rId25" w:history="1">
              <w:r w:rsidRPr="00B945CF">
                <w:rPr>
                  <w:rStyle w:val="Hypertextovodkaz"/>
                  <w:sz w:val="24"/>
                  <w:szCs w:val="24"/>
                </w:rPr>
                <w:t>118.</w:t>
              </w:r>
            </w:hyperlink>
            <w:r w:rsidRPr="00B945CF">
              <w:rPr>
                <w:sz w:val="24"/>
                <w:szCs w:val="24"/>
              </w:rPr>
              <w:t xml:space="preserve"> a </w:t>
            </w:r>
            <w:hyperlink r:id="rId26" w:history="1">
              <w:r w:rsidRPr="00B945CF">
                <w:rPr>
                  <w:rStyle w:val="Hypertextovodkaz"/>
                  <w:sz w:val="24"/>
                  <w:szCs w:val="24"/>
                </w:rPr>
                <w:t>202.</w:t>
              </w:r>
            </w:hyperlink>
            <w:r w:rsidRPr="00B945CF">
              <w:rPr>
                <w:sz w:val="24"/>
                <w:szCs w:val="24"/>
              </w:rPr>
              <w:t xml:space="preserve"> usnesení z 8. volebního období v rámci politického dialogu uvedl, že podporuje zpřístupňování výsledků výzkumu UI, a to zejména s ohledem na zapojení malých a středních podniků. Zároveň však připomněl právo na ochranu osobních údajů evropských občanů, varoval před některými riziky automatizovaného rozhodování o lidských právech, vyzval k řešení sociálních problémů zaměstnanců v oborech ohrožených rozvojem UI, zdůraznil nutnost vytvoření ochrany využití UI před zneužitím a požádal Komisi o připravení legislativního návrhu určujícího oblasti zakázané pro využívání UI. Konečně zdůraznil význam vzdělávání a pěstování digitálních dovedností pro zvládnutí socio-ekonomických důsledků rozvoje UI.</w:t>
            </w:r>
          </w:p>
          <w:p w:rsidR="00B945CF" w:rsidRPr="00B945CF" w:rsidRDefault="00B945CF">
            <w:pPr>
              <w:spacing w:after="120"/>
              <w:jc w:val="both"/>
              <w:rPr>
                <w:sz w:val="24"/>
                <w:szCs w:val="24"/>
              </w:rPr>
            </w:pPr>
            <w:r w:rsidRPr="00B945CF">
              <w:rPr>
                <w:sz w:val="24"/>
                <w:szCs w:val="24"/>
              </w:rPr>
              <w:t xml:space="preserve">V návaznosti na </w:t>
            </w:r>
            <w:hyperlink r:id="rId27" w:history="1">
              <w:r w:rsidRPr="00B945CF">
                <w:rPr>
                  <w:rStyle w:val="Hypertextovodkaz"/>
                  <w:sz w:val="24"/>
                  <w:szCs w:val="24"/>
                </w:rPr>
                <w:t>sdělení</w:t>
              </w:r>
            </w:hyperlink>
            <w:r w:rsidRPr="00B945CF">
              <w:rPr>
                <w:sz w:val="24"/>
                <w:szCs w:val="24"/>
              </w:rPr>
              <w:t xml:space="preserve"> o budování důvěry v umělou inteligenci zaměřenou na člověka </w:t>
            </w:r>
            <w:hyperlink r:id="rId28" w:history="1">
              <w:r w:rsidRPr="00B945CF">
                <w:rPr>
                  <w:rStyle w:val="Hypertextovodkaz"/>
                  <w:sz w:val="24"/>
                  <w:szCs w:val="24"/>
                </w:rPr>
                <w:t>zdůraznil</w:t>
              </w:r>
            </w:hyperlink>
            <w:r w:rsidRPr="00B945CF">
              <w:rPr>
                <w:sz w:val="24"/>
                <w:szCs w:val="24"/>
              </w:rPr>
              <w:t xml:space="preserve"> potřebu zajistit respekt využití UI v souladu se základními právy, dodržování etických standardů a zachování odpovědnosti za rozhodnutí učiněná UI, jakož i jejich přezkoumatelnosti. Zároveň podpořil nastavení objektivní odpovědnosti za škodu způsobenou UI s důkazním břemenem na provozovateli, který by měl být obligatorně pojištěn proti odpovědnosti. Taktéž upozornil na rizika spojená s personalizací vzdělávání, jakož i rizika možné diskriminace skrze UI a zdůraznil potřebu zajistit v této souvislosti transparentnost.</w:t>
            </w:r>
          </w:p>
          <w:p w:rsidR="00B945CF" w:rsidRPr="00B945CF" w:rsidRDefault="00B945CF">
            <w:pPr>
              <w:spacing w:after="120"/>
              <w:jc w:val="both"/>
              <w:rPr>
                <w:rFonts w:eastAsia="Calibri"/>
                <w:sz w:val="24"/>
                <w:szCs w:val="24"/>
              </w:rPr>
            </w:pPr>
            <w:r w:rsidRPr="00B945CF">
              <w:rPr>
                <w:sz w:val="24"/>
                <w:szCs w:val="24"/>
              </w:rPr>
              <w:t xml:space="preserve">V neposlední řadě ve svém </w:t>
            </w:r>
            <w:hyperlink r:id="rId29" w:history="1">
              <w:r w:rsidRPr="00B945CF">
                <w:rPr>
                  <w:rStyle w:val="Hypertextovodkaz"/>
                  <w:sz w:val="24"/>
                  <w:szCs w:val="24"/>
                </w:rPr>
                <w:t>310. usnesení z 8. volebního období</w:t>
              </w:r>
            </w:hyperlink>
            <w:r w:rsidRPr="00B945CF">
              <w:rPr>
                <w:sz w:val="24"/>
                <w:szCs w:val="24"/>
              </w:rPr>
              <w:t xml:space="preserve"> v rámci politického dialogu k bílé knize o umělé inteligenci upozornil na ochranu osobnosti občanů jakožto prioritu implementace UI, opětovně zdůraznil potřebu dodržovat lidská práva i etické standardy, přičemž zmiňuje i problematiku odpovědnosti za použití UI i nebezpečí diskriminace či možné problémy personalizace ve vzdělávání. Dále zdůrazňuje potřebu zveřejňovat trénovací data pro UI algoritmy používané ve veřejném sektoru jako otevřená data.</w:t>
            </w:r>
          </w:p>
        </w:tc>
      </w:tr>
    </w:tbl>
    <w:p w:rsidR="00B945CF" w:rsidRPr="00B945CF" w:rsidRDefault="00B945CF" w:rsidP="00B945CF">
      <w:pPr>
        <w:pStyle w:val="Nadpis1"/>
        <w:spacing w:before="120"/>
        <w:ind w:hanging="357"/>
        <w:rPr>
          <w:rFonts w:ascii="Times New Roman" w:hAnsi="Times New Roman"/>
          <w:szCs w:val="24"/>
        </w:rPr>
      </w:pPr>
      <w:r w:rsidRPr="00B945CF">
        <w:rPr>
          <w:rFonts w:ascii="Times New Roman" w:hAnsi="Times New Roman"/>
          <w:b w:val="0"/>
          <w:szCs w:val="24"/>
        </w:rPr>
        <w:br w:type="page"/>
      </w:r>
      <w:bookmarkStart w:id="10" w:name="_Toc448302190"/>
      <w:bookmarkStart w:id="11" w:name="_Toc445380611"/>
    </w:p>
    <w:p w:rsidR="00B945CF" w:rsidRPr="00B945CF" w:rsidRDefault="00B945CF" w:rsidP="00B945CF">
      <w:pPr>
        <w:pStyle w:val="Nadpis1"/>
        <w:spacing w:before="120"/>
        <w:ind w:hanging="357"/>
        <w:rPr>
          <w:rFonts w:ascii="Times New Roman" w:hAnsi="Times New Roman"/>
          <w:szCs w:val="24"/>
        </w:rPr>
      </w:pPr>
      <w:r w:rsidRPr="00B945CF">
        <w:rPr>
          <w:rFonts w:ascii="Times New Roman" w:hAnsi="Times New Roman"/>
          <w:szCs w:val="24"/>
        </w:rPr>
        <w:lastRenderedPageBreak/>
        <w:t>Obsah a dopad:</w:t>
      </w:r>
      <w:bookmarkEnd w:id="10"/>
      <w:bookmarkEnd w:id="11"/>
    </w:p>
    <w:p w:rsidR="00B945CF" w:rsidRPr="00B945CF" w:rsidRDefault="00B945CF" w:rsidP="00B945CF">
      <w:pPr>
        <w:keepNext/>
        <w:spacing w:after="120"/>
        <w:jc w:val="both"/>
        <w:rPr>
          <w:rFonts w:ascii="Times New Roman" w:hAnsi="Times New Roman"/>
          <w:i/>
          <w:sz w:val="24"/>
          <w:szCs w:val="24"/>
        </w:rPr>
      </w:pPr>
      <w:r w:rsidRPr="00B945CF">
        <w:rPr>
          <w:rFonts w:ascii="Times New Roman" w:hAnsi="Times New Roman"/>
          <w:b/>
          <w:i/>
          <w:sz w:val="24"/>
          <w:szCs w:val="24"/>
        </w:rPr>
        <w:t>Sdělení „Podpora evropského přístupu k umělé inteligenci“</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Sdělení o UI hovoří o dalším postupu EU v oblasti UI. Vychází z popisu řady výhod spojených s UI, přičemž mezi jejími využitími zmiňuje i příspěvek UI k boji proti covidu-19 skrze předpovědi zeměpisného šíření onemocnění, diagnostiku za pomoci výpočetní tomografie a pomoc s vývojem prvních léků a vakcín. Zároveň však UI obnáší určitá rizika spočívající v možném vystavení lidí včetně dětí významným pochybením, která mohou zasáhnout do jejich základních práv a bezpečnosti, jakož i do demokratických procesů. Sdělení o UI se zejména zabývá (1.) analýzou příležitostí a rizik spojených s UI, (2.) představením nového regulačního rámce pro UI a (3.) představením revidovaného koordinovaného plánu v oblasti UI.</w:t>
      </w:r>
    </w:p>
    <w:p w:rsidR="00B945CF" w:rsidRPr="00B945CF" w:rsidRDefault="00B945CF" w:rsidP="00B945CF">
      <w:pPr>
        <w:keepNext/>
        <w:spacing w:after="120"/>
        <w:jc w:val="both"/>
        <w:rPr>
          <w:rFonts w:ascii="Times New Roman" w:hAnsi="Times New Roman"/>
          <w:sz w:val="24"/>
          <w:szCs w:val="24"/>
          <w:u w:val="single"/>
        </w:rPr>
      </w:pPr>
      <w:r w:rsidRPr="00B945CF">
        <w:rPr>
          <w:rFonts w:ascii="Times New Roman" w:hAnsi="Times New Roman"/>
          <w:sz w:val="24"/>
          <w:szCs w:val="24"/>
          <w:u w:val="single"/>
        </w:rPr>
        <w:t>1. Příležitosti a rizika spojená s UI</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K </w:t>
      </w:r>
      <w:r w:rsidRPr="00B945CF">
        <w:rPr>
          <w:rFonts w:ascii="Times New Roman" w:hAnsi="Times New Roman"/>
          <w:b/>
          <w:sz w:val="24"/>
          <w:szCs w:val="24"/>
        </w:rPr>
        <w:t xml:space="preserve">příležitostem </w:t>
      </w:r>
      <w:r w:rsidRPr="00B945CF">
        <w:rPr>
          <w:rFonts w:ascii="Times New Roman" w:hAnsi="Times New Roman"/>
          <w:sz w:val="24"/>
          <w:szCs w:val="24"/>
        </w:rPr>
        <w:t xml:space="preserve">Komise uvádí, že EU podporuje rozvoj UI s ohledem na její potenciál. Za tímto účelem plánuje investovat 1 miliardu eur ročně do UI skrze programy </w:t>
      </w:r>
      <w:hyperlink r:id="rId30" w:history="1">
        <w:r w:rsidRPr="00B945CF">
          <w:rPr>
            <w:rStyle w:val="Hypertextovodkaz"/>
            <w:rFonts w:ascii="Times New Roman" w:hAnsi="Times New Roman"/>
            <w:sz w:val="24"/>
            <w:szCs w:val="24"/>
          </w:rPr>
          <w:t>Digitální Evropa</w:t>
        </w:r>
      </w:hyperlink>
      <w:r w:rsidRPr="00B945CF">
        <w:rPr>
          <w:rFonts w:ascii="Times New Roman" w:hAnsi="Times New Roman"/>
          <w:sz w:val="24"/>
          <w:szCs w:val="24"/>
        </w:rPr>
        <w:t xml:space="preserve"> a </w:t>
      </w:r>
      <w:hyperlink r:id="rId31" w:history="1">
        <w:r w:rsidRPr="00B945CF">
          <w:rPr>
            <w:rStyle w:val="Hypertextovodkaz"/>
            <w:rFonts w:ascii="Times New Roman" w:hAnsi="Times New Roman"/>
            <w:sz w:val="24"/>
            <w:szCs w:val="24"/>
          </w:rPr>
          <w:t>Horizont Evropa</w:t>
        </w:r>
      </w:hyperlink>
      <w:r w:rsidRPr="00B945CF">
        <w:rPr>
          <w:rFonts w:ascii="Times New Roman" w:hAnsi="Times New Roman"/>
          <w:sz w:val="24"/>
          <w:szCs w:val="24"/>
        </w:rPr>
        <w:t xml:space="preserve">. Komise počítá i s mobilizací dalších 20 miliard investic členských států a soukromých subjektů. V této souvislosti Komise zmiňuje i </w:t>
      </w:r>
      <w:hyperlink r:id="rId32" w:history="1">
        <w:r w:rsidRPr="00B945CF">
          <w:rPr>
            <w:rStyle w:val="Hypertextovodkaz"/>
            <w:rFonts w:ascii="Times New Roman" w:hAnsi="Times New Roman"/>
            <w:sz w:val="24"/>
            <w:szCs w:val="24"/>
          </w:rPr>
          <w:t>Nástroj pro oživení a odolnost</w:t>
        </w:r>
      </w:hyperlink>
      <w:r w:rsidRPr="00B945CF">
        <w:rPr>
          <w:rFonts w:ascii="Times New Roman" w:hAnsi="Times New Roman"/>
          <w:sz w:val="24"/>
          <w:szCs w:val="24"/>
        </w:rPr>
        <w:t>, který může pomoci dále navýšit investice do UI.</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 xml:space="preserve">Posílení kapacit v oblasti UI je součástí plánů Komise v oblasti digitální transformace, jak avizovala ve </w:t>
      </w:r>
      <w:hyperlink r:id="rId33" w:history="1">
        <w:r w:rsidRPr="00B945CF">
          <w:rPr>
            <w:rStyle w:val="Hypertextovodkaz"/>
            <w:rFonts w:ascii="Times New Roman" w:hAnsi="Times New Roman"/>
            <w:sz w:val="24"/>
            <w:szCs w:val="24"/>
          </w:rPr>
          <w:t>sdělení o Digitálním kompasu</w:t>
        </w:r>
      </w:hyperlink>
      <w:r w:rsidRPr="00B945CF">
        <w:rPr>
          <w:rFonts w:ascii="Times New Roman" w:hAnsi="Times New Roman"/>
          <w:sz w:val="24"/>
          <w:szCs w:val="24"/>
        </w:rPr>
        <w:t xml:space="preserve">. Jako obzvláště podstatnou chápe v této souvislosti </w:t>
      </w:r>
      <w:hyperlink r:id="rId34" w:history="1">
        <w:r w:rsidRPr="00B945CF">
          <w:rPr>
            <w:rStyle w:val="Hypertextovodkaz"/>
            <w:rFonts w:ascii="Times New Roman" w:hAnsi="Times New Roman"/>
            <w:sz w:val="24"/>
            <w:szCs w:val="24"/>
          </w:rPr>
          <w:t>evropskou strategii pro data</w:t>
        </w:r>
      </w:hyperlink>
      <w:r w:rsidRPr="00B945CF">
        <w:rPr>
          <w:rFonts w:ascii="Times New Roman" w:hAnsi="Times New Roman"/>
          <w:sz w:val="24"/>
          <w:szCs w:val="24"/>
        </w:rPr>
        <w:t>. Nová regulace UI souvisí i s návrhem nařízení o strojních výrobcích, které je lépe uzpůsobené některých novým technologiím, jako jsou např. autonomní stroje. Další legislativní akty týkající se digitalizace a regulace technologií jsou ovšem rovněž relevantní.</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 xml:space="preserve">Obecně může UI podle Komise přispět ke zvýšení produktivity, které může podpořit ekonomický růst po konci ekonomického útlumu spojeného s covidem-19. Zároveň může využití UI posílit odolnost vůči budoucím ekonomickým šokům. V neposlední řadě může být UI součástí řešení přispívajících k cílům </w:t>
      </w:r>
      <w:hyperlink r:id="rId35" w:history="1">
        <w:r w:rsidRPr="00B945CF">
          <w:rPr>
            <w:rStyle w:val="Hypertextovodkaz"/>
            <w:rFonts w:ascii="Times New Roman" w:hAnsi="Times New Roman"/>
            <w:sz w:val="24"/>
            <w:szCs w:val="24"/>
          </w:rPr>
          <w:t>Zelené dohody pro Evropu</w:t>
        </w:r>
      </w:hyperlink>
      <w:r w:rsidRPr="00B945CF">
        <w:rPr>
          <w:rFonts w:ascii="Times New Roman" w:hAnsi="Times New Roman"/>
          <w:sz w:val="24"/>
          <w:szCs w:val="24"/>
        </w:rPr>
        <w:t xml:space="preserve"> nebo </w:t>
      </w:r>
      <w:hyperlink r:id="rId36" w:history="1">
        <w:r w:rsidRPr="00B945CF">
          <w:rPr>
            <w:rStyle w:val="Hypertextovodkaz"/>
            <w:rFonts w:ascii="Times New Roman" w:hAnsi="Times New Roman"/>
            <w:sz w:val="24"/>
            <w:szCs w:val="24"/>
          </w:rPr>
          <w:t>strategie bezpečnostní unie</w:t>
        </w:r>
      </w:hyperlink>
      <w:r w:rsidRPr="00B945CF">
        <w:rPr>
          <w:rFonts w:ascii="Times New Roman" w:hAnsi="Times New Roman"/>
          <w:sz w:val="24"/>
          <w:szCs w:val="24"/>
        </w:rPr>
        <w:t>.</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EU může k využití předestřených příležitostí využít své silné stránky. EU má podle Komise vedoucí postavení v oblastech robotiky a konkurenceschopných průmyslových ekosystémů. Využít lze dostupná veřejná a průmyslová data a výpočetní infrastrukturu s rostoucí výkonností. Za tímto účelem Komise předkládá revidovaný koordinovaný plán v oblasti UI.</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Mezi </w:t>
      </w:r>
      <w:r w:rsidRPr="00B945CF">
        <w:rPr>
          <w:rFonts w:ascii="Times New Roman" w:hAnsi="Times New Roman"/>
          <w:b/>
          <w:sz w:val="24"/>
          <w:szCs w:val="24"/>
        </w:rPr>
        <w:t xml:space="preserve">riziky </w:t>
      </w:r>
      <w:r w:rsidRPr="00B945CF">
        <w:rPr>
          <w:rFonts w:ascii="Times New Roman" w:hAnsi="Times New Roman"/>
          <w:sz w:val="24"/>
          <w:szCs w:val="24"/>
        </w:rPr>
        <w:t>Komise zmiňuje neprůhlednost řady algoritmů jako jeden z faktorů, které vedou ke specifickým a nezanedbatelným rizikům v oblasti bezpečnosti a základních práv. Na tato rizika nemůže současný právní rámec s ohledem na specifika UI účinně reagovat. Jako příklady Komise zmiňuje mj. obtížné prokázání možné diskriminace při náboru pracovníků nebo zásahy do práv spojené s technologií rozpoznávání obličejů. Komise představuje akt o umělé inteligenci jako reakci na tato rizika.</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Přijetím tohoto balíčku k UI může EU stát v čele globálních úsilí regulovat fenomén UI, rámců pro spolupráci a mezinárodních standardizačních iniciativ.</w:t>
      </w:r>
    </w:p>
    <w:p w:rsidR="00B945CF" w:rsidRPr="00B945CF" w:rsidRDefault="00B945CF" w:rsidP="00B945CF">
      <w:pPr>
        <w:keepNext/>
        <w:spacing w:after="120"/>
        <w:jc w:val="both"/>
        <w:rPr>
          <w:rFonts w:ascii="Times New Roman" w:hAnsi="Times New Roman"/>
          <w:sz w:val="24"/>
          <w:szCs w:val="24"/>
          <w:u w:val="single"/>
        </w:rPr>
      </w:pPr>
      <w:r w:rsidRPr="00B945CF">
        <w:rPr>
          <w:rFonts w:ascii="Times New Roman" w:hAnsi="Times New Roman"/>
          <w:sz w:val="24"/>
          <w:szCs w:val="24"/>
          <w:u w:val="single"/>
        </w:rPr>
        <w:t>2. Nový regulační rámec pro UI</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 xml:space="preserve">Komise zavádí nový regulační rámec s cílem zajistit ochranu základních práv a jiných zájmů s ohledem na zvláštnosti UI. Regulace by ovšem měla být otevřená inovacím a „odolná </w:t>
      </w:r>
      <w:r w:rsidRPr="00B945CF">
        <w:rPr>
          <w:rFonts w:ascii="Times New Roman" w:hAnsi="Times New Roman"/>
          <w:sz w:val="24"/>
          <w:szCs w:val="24"/>
        </w:rPr>
        <w:lastRenderedPageBreak/>
        <w:t>budoucnosti“ (</w:t>
      </w:r>
      <w:r w:rsidRPr="00B945CF">
        <w:rPr>
          <w:rFonts w:ascii="Times New Roman" w:hAnsi="Times New Roman"/>
          <w:i/>
          <w:sz w:val="24"/>
          <w:szCs w:val="24"/>
        </w:rPr>
        <w:t>future-proof</w:t>
      </w:r>
      <w:r w:rsidRPr="00B945CF">
        <w:rPr>
          <w:rFonts w:ascii="Times New Roman" w:hAnsi="Times New Roman"/>
          <w:sz w:val="24"/>
          <w:szCs w:val="24"/>
        </w:rPr>
        <w:t>). Proto je základním principem navržené regulace zasahovat pouze tam, kde je to nezbytné. Tento přístup minimalizuje náklady ekonomických aktérů.</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 xml:space="preserve">Aby nebyl záběr pravidel zbytečně široký, navržená regulace se soustředí zejména na vysoce rizikové systémy UI, které se jeví být zvláště problematické (srov. níže). Mezi takovéto systémy by mohly spadat například systémy využívané k náboru osob a k hodnocení jejich úvěrové schopnosti nebo pro justiční rozhodování. Tato skupina vysoce rizikových systémů UI pak podléhá řadě konkrétních pravidel. Některá využití UI jsou považována za tak problematická, že je akt o umělé inteligenci </w:t>
      </w:r>
      <w:r w:rsidRPr="00B945CF">
        <w:rPr>
          <w:rFonts w:ascii="Times New Roman" w:hAnsi="Times New Roman"/>
          <w:i/>
          <w:sz w:val="24"/>
          <w:szCs w:val="24"/>
        </w:rPr>
        <w:t>a priori</w:t>
      </w:r>
      <w:r w:rsidRPr="00B945CF">
        <w:rPr>
          <w:rFonts w:ascii="Times New Roman" w:hAnsi="Times New Roman"/>
          <w:sz w:val="24"/>
          <w:szCs w:val="24"/>
        </w:rPr>
        <w:t xml:space="preserve"> zakazuje. Pro další vymezené systémy UI pak stanoví zvláštní požadavky na transparenci. V neposlední řadě se zabývá podporou inovací.</w:t>
      </w:r>
    </w:p>
    <w:p w:rsidR="00B945CF" w:rsidRPr="00B945CF" w:rsidRDefault="00B945CF" w:rsidP="00B945CF">
      <w:pPr>
        <w:keepNext/>
        <w:spacing w:after="120"/>
        <w:jc w:val="both"/>
        <w:rPr>
          <w:rFonts w:ascii="Times New Roman" w:hAnsi="Times New Roman"/>
          <w:sz w:val="24"/>
          <w:szCs w:val="24"/>
          <w:u w:val="single"/>
        </w:rPr>
      </w:pPr>
      <w:r w:rsidRPr="00B945CF">
        <w:rPr>
          <w:rFonts w:ascii="Times New Roman" w:hAnsi="Times New Roman"/>
          <w:sz w:val="24"/>
          <w:szCs w:val="24"/>
          <w:u w:val="single"/>
        </w:rPr>
        <w:t>3. Revidovaný koordinovaný plán v oblasti UI</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 xml:space="preserve">Komise a členské státy v roce 2018 vypracovaly </w:t>
      </w:r>
      <w:hyperlink r:id="rId37" w:history="1">
        <w:r w:rsidRPr="00B945CF">
          <w:rPr>
            <w:rStyle w:val="Hypertextovodkaz"/>
            <w:rFonts w:ascii="Times New Roman" w:hAnsi="Times New Roman"/>
            <w:sz w:val="24"/>
            <w:szCs w:val="24"/>
          </w:rPr>
          <w:t>koordinovaný plán v oblasti UI</w:t>
        </w:r>
      </w:hyperlink>
      <w:r w:rsidRPr="00B945CF">
        <w:rPr>
          <w:rFonts w:ascii="Times New Roman" w:hAnsi="Times New Roman"/>
          <w:sz w:val="24"/>
          <w:szCs w:val="24"/>
        </w:rPr>
        <w:t xml:space="preserve">. Od roku 2018 ovšem došlo ke znatelnému vývoji v technologii i přístupech k UI. Komise proto v příloze sdělení o UI předkládá </w:t>
      </w:r>
      <w:hyperlink r:id="rId38" w:history="1">
        <w:r w:rsidRPr="00B945CF">
          <w:rPr>
            <w:rStyle w:val="Hypertextovodkaz"/>
            <w:rFonts w:ascii="Times New Roman" w:hAnsi="Times New Roman"/>
            <w:sz w:val="24"/>
            <w:szCs w:val="24"/>
          </w:rPr>
          <w:t>revidovaný koordinovaný plán v oblasti UI</w:t>
        </w:r>
      </w:hyperlink>
      <w:r w:rsidRPr="00B945CF">
        <w:rPr>
          <w:rFonts w:ascii="Times New Roman" w:hAnsi="Times New Roman"/>
          <w:sz w:val="24"/>
          <w:szCs w:val="24"/>
        </w:rPr>
        <w:t>, který uvádí čtyři sady doporučení pro lepší využití možností UI a zprostředkování evropského přístupu k UI Komisí, členskými státy a soukromými aktéry.</w:t>
      </w:r>
    </w:p>
    <w:p w:rsidR="00B945CF" w:rsidRPr="00B945CF" w:rsidRDefault="00B945CF" w:rsidP="00B945CF">
      <w:pPr>
        <w:pStyle w:val="Odstavecseseznamem"/>
        <w:numPr>
          <w:ilvl w:val="0"/>
          <w:numId w:val="23"/>
        </w:numPr>
        <w:suppressAutoHyphens/>
        <w:autoSpaceDN w:val="0"/>
        <w:spacing w:after="120" w:line="252" w:lineRule="auto"/>
        <w:ind w:left="641" w:hanging="357"/>
        <w:contextualSpacing w:val="0"/>
        <w:jc w:val="both"/>
        <w:rPr>
          <w:rFonts w:ascii="Times New Roman" w:hAnsi="Times New Roman"/>
          <w:sz w:val="24"/>
          <w:szCs w:val="24"/>
        </w:rPr>
      </w:pPr>
      <w:r w:rsidRPr="00B945CF">
        <w:rPr>
          <w:rFonts w:ascii="Times New Roman" w:hAnsi="Times New Roman"/>
          <w:sz w:val="24"/>
          <w:szCs w:val="24"/>
        </w:rPr>
        <w:t>Zaprvé jde o nastavení příhodných podmínek pro rozvoj UI v EU. Toho má být dosaženo zaměřením na rámec spolupráce a datové a výpočetní infrastruktury. Takovéto podmínky musí být přívětivé pro malé a střední podniky. Členské státy jsou vybízeny ke zrychlení postupů avizovaných v národních strategiích UI, třeba za pomoci Nástroje pro oživení a odolnost nebo kohezních fondů.</w:t>
      </w:r>
    </w:p>
    <w:p w:rsidR="00B945CF" w:rsidRPr="00B945CF" w:rsidRDefault="00B945CF" w:rsidP="00B945CF">
      <w:pPr>
        <w:pStyle w:val="Odstavecseseznamem"/>
        <w:numPr>
          <w:ilvl w:val="0"/>
          <w:numId w:val="23"/>
        </w:numPr>
        <w:suppressAutoHyphens/>
        <w:autoSpaceDN w:val="0"/>
        <w:spacing w:after="120" w:line="252" w:lineRule="auto"/>
        <w:ind w:left="641" w:hanging="357"/>
        <w:contextualSpacing w:val="0"/>
        <w:jc w:val="both"/>
        <w:rPr>
          <w:rFonts w:ascii="Times New Roman" w:hAnsi="Times New Roman"/>
          <w:sz w:val="24"/>
          <w:szCs w:val="24"/>
        </w:rPr>
      </w:pPr>
      <w:r w:rsidRPr="00B945CF">
        <w:rPr>
          <w:rFonts w:ascii="Times New Roman" w:hAnsi="Times New Roman"/>
          <w:sz w:val="24"/>
          <w:szCs w:val="24"/>
        </w:rPr>
        <w:t>Zadruhé jde o podporu excelence od laboratoře po trh. Komise se bude soustředit na financování sítě center excelence a v rámci programu Horizont Evropa založí Evropské partnerství pro UI, data a robotiku. Skrze program Digitální Evropa budou EU a členské státy spolufinancovat inovativní pracoviště pro testování a experimentování s UI i sít evropských center pro digitální inovace.</w:t>
      </w:r>
    </w:p>
    <w:p w:rsidR="00B945CF" w:rsidRPr="00B945CF" w:rsidRDefault="00B945CF" w:rsidP="00B945CF">
      <w:pPr>
        <w:pStyle w:val="Odstavecseseznamem"/>
        <w:numPr>
          <w:ilvl w:val="0"/>
          <w:numId w:val="23"/>
        </w:numPr>
        <w:suppressAutoHyphens/>
        <w:autoSpaceDN w:val="0"/>
        <w:spacing w:after="120" w:line="252" w:lineRule="auto"/>
        <w:ind w:left="641" w:hanging="357"/>
        <w:contextualSpacing w:val="0"/>
        <w:jc w:val="both"/>
        <w:rPr>
          <w:rFonts w:ascii="Times New Roman" w:hAnsi="Times New Roman"/>
          <w:sz w:val="24"/>
          <w:szCs w:val="24"/>
        </w:rPr>
      </w:pPr>
      <w:r w:rsidRPr="00B945CF">
        <w:rPr>
          <w:rFonts w:ascii="Times New Roman" w:hAnsi="Times New Roman"/>
          <w:sz w:val="24"/>
          <w:szCs w:val="24"/>
        </w:rPr>
        <w:t>Zatřetí jde o zajištění, že UI slouží lidem a je prospěšnou silou ve společnosti. UI vyvíjená a uváděná na trh v EU má být zaměřená na člověka, udržitelná, bezpečná, inkluzivní, dostupná a důvěryhodná. K tomuto slouží nový regulační rámec pro UI. Zároveň by členské státy měly podporovat talenty a rozvíjet zázemí pro dovednosti potřebné k vývoji důvěryhodné UI.</w:t>
      </w:r>
    </w:p>
    <w:p w:rsidR="00B945CF" w:rsidRPr="00B945CF" w:rsidRDefault="00B945CF" w:rsidP="00B945CF">
      <w:pPr>
        <w:pStyle w:val="Odstavecseseznamem"/>
        <w:numPr>
          <w:ilvl w:val="0"/>
          <w:numId w:val="23"/>
        </w:numPr>
        <w:suppressAutoHyphens/>
        <w:autoSpaceDN w:val="0"/>
        <w:spacing w:after="120" w:line="252" w:lineRule="auto"/>
        <w:ind w:left="641" w:hanging="357"/>
        <w:contextualSpacing w:val="0"/>
        <w:jc w:val="both"/>
        <w:rPr>
          <w:rFonts w:ascii="Times New Roman" w:hAnsi="Times New Roman"/>
          <w:sz w:val="24"/>
          <w:szCs w:val="24"/>
        </w:rPr>
      </w:pPr>
      <w:r w:rsidRPr="00B945CF">
        <w:rPr>
          <w:rFonts w:ascii="Times New Roman" w:hAnsi="Times New Roman"/>
          <w:sz w:val="24"/>
          <w:szCs w:val="24"/>
        </w:rPr>
        <w:t>Začtvrté hodlá Komise pokročit v budování strategického vedení v sektorech s významným dopadem, a to včetně globálního oteplování a životního prostředí, zdraví, veřejného sektoru, robotiky, mobility, bezpečnosti a vnitřních záležitostí nebo zemědělství.</w:t>
      </w:r>
    </w:p>
    <w:p w:rsidR="00B945CF" w:rsidRPr="00B945CF" w:rsidRDefault="00B945CF" w:rsidP="00B945CF">
      <w:pPr>
        <w:keepNext/>
        <w:spacing w:after="120"/>
        <w:jc w:val="both"/>
        <w:rPr>
          <w:rFonts w:ascii="Times New Roman" w:hAnsi="Times New Roman"/>
          <w:b/>
          <w:i/>
          <w:sz w:val="24"/>
          <w:szCs w:val="24"/>
        </w:rPr>
      </w:pPr>
      <w:r w:rsidRPr="00B945CF">
        <w:rPr>
          <w:rFonts w:ascii="Times New Roman" w:hAnsi="Times New Roman"/>
          <w:b/>
          <w:i/>
          <w:sz w:val="24"/>
          <w:szCs w:val="24"/>
        </w:rPr>
        <w:t>Návrh nařízení Evropského parlamentu a Rady, kterým se stanoví harmonizovaná pravidla pro umělou inteligenci (akt o umělé inteligenci) a mění některé legislativní akty Unie</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 xml:space="preserve">Akt o umělé inteligenci má stanovit harmonizovaná pravidla pro systémy UI, zákazy určitých praktik spojených s UI, specifické požadavky pro vysoce rizikové systémy UI, harmonizované požadavky na transparenci některých systémů UI a pravidla pro monitoring a dozor nad trhy. Vztáhne se na uživatele systémů UI nacházející se v EU a poskytovatele, kteří systémy UI uvádějí trh na trh nebo do provozu v EU, aniž by museli být v EU usazeni. Aby se zabránilo obcházení stanovených pravidel outsourcingem do třetích zemí, úprava se též </w:t>
      </w:r>
      <w:r w:rsidRPr="00B945CF">
        <w:rPr>
          <w:rFonts w:ascii="Times New Roman" w:hAnsi="Times New Roman"/>
          <w:sz w:val="24"/>
          <w:szCs w:val="24"/>
        </w:rPr>
        <w:lastRenderedPageBreak/>
        <w:t>vztáhne na poskytovatele a uživatele ze třetích zemí, pokud je v daném případě výstup systémů UI použit v EU.</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Akt o umělé inteligenci se naopak nevztáhne na systémy UI vyvinuté výlučně pro vojenské účely nebo na orgány veřejné moci třetích zemí a mezinárodní organizace, pokud využívají systémy UI v rámci mezinárodních dohod týkajících se vymáhání práva a justiční spolupráce.</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Níže následuje (1.) popis zakázaných praktik spojených s UI, (2.) popis pravidel týkajících se vysoce rizikových systémů UI, (3.) popis požadavků na transparenci některých systémů UI, (4.) popis opatření na podporu inovace a (5.) shrnutí základních pravidel správy a provádění aktu o umělé inteligenci.</w:t>
      </w:r>
    </w:p>
    <w:p w:rsidR="00B945CF" w:rsidRPr="00B945CF" w:rsidRDefault="00B945CF" w:rsidP="00B945CF">
      <w:pPr>
        <w:keepNext/>
        <w:spacing w:after="120"/>
        <w:jc w:val="both"/>
        <w:rPr>
          <w:rFonts w:ascii="Times New Roman" w:hAnsi="Times New Roman"/>
          <w:sz w:val="24"/>
          <w:szCs w:val="24"/>
          <w:u w:val="single"/>
        </w:rPr>
      </w:pPr>
      <w:r w:rsidRPr="00B945CF">
        <w:rPr>
          <w:rFonts w:ascii="Times New Roman" w:hAnsi="Times New Roman"/>
          <w:sz w:val="24"/>
          <w:szCs w:val="24"/>
          <w:u w:val="single"/>
        </w:rPr>
        <w:t>1. Zakázané praktiky spojené s UI</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Čl. 5 aktu o umělé inteligenci stanoví výčet praktik, které jsou v souvislosti s UI zakázány:</w:t>
      </w:r>
    </w:p>
    <w:p w:rsidR="00B945CF" w:rsidRPr="00B945CF" w:rsidRDefault="00B945CF" w:rsidP="00B945CF">
      <w:pPr>
        <w:pStyle w:val="Odstavecseseznamem"/>
        <w:numPr>
          <w:ilvl w:val="0"/>
          <w:numId w:val="23"/>
        </w:numPr>
        <w:suppressAutoHyphens/>
        <w:autoSpaceDN w:val="0"/>
        <w:spacing w:after="120" w:line="252" w:lineRule="auto"/>
        <w:ind w:left="641" w:hanging="357"/>
        <w:contextualSpacing w:val="0"/>
        <w:jc w:val="both"/>
        <w:rPr>
          <w:rFonts w:ascii="Times New Roman" w:hAnsi="Times New Roman"/>
          <w:sz w:val="24"/>
          <w:szCs w:val="24"/>
        </w:rPr>
      </w:pPr>
      <w:r w:rsidRPr="00B945CF">
        <w:rPr>
          <w:rFonts w:ascii="Times New Roman" w:hAnsi="Times New Roman"/>
          <w:sz w:val="24"/>
          <w:szCs w:val="24"/>
        </w:rPr>
        <w:t>uvádět na trh, uvádět do provozu nebo používat systém UI, který využívá podprahových technik s cílem podstatně ovlivnit chování osoby způsobem, který přinejmenším pravděpodobně způsobí fyzickou či psychickou újmu,</w:t>
      </w:r>
    </w:p>
    <w:p w:rsidR="00B945CF" w:rsidRPr="00B945CF" w:rsidRDefault="00B945CF" w:rsidP="00B945CF">
      <w:pPr>
        <w:pStyle w:val="Odstavecseseznamem"/>
        <w:numPr>
          <w:ilvl w:val="0"/>
          <w:numId w:val="23"/>
        </w:numPr>
        <w:suppressAutoHyphens/>
        <w:autoSpaceDN w:val="0"/>
        <w:spacing w:after="120" w:line="252" w:lineRule="auto"/>
        <w:ind w:left="641" w:hanging="357"/>
        <w:contextualSpacing w:val="0"/>
        <w:jc w:val="both"/>
        <w:rPr>
          <w:rFonts w:ascii="Times New Roman" w:hAnsi="Times New Roman"/>
          <w:sz w:val="24"/>
          <w:szCs w:val="24"/>
        </w:rPr>
      </w:pPr>
      <w:r w:rsidRPr="00B945CF">
        <w:rPr>
          <w:rFonts w:ascii="Times New Roman" w:hAnsi="Times New Roman"/>
          <w:sz w:val="24"/>
          <w:szCs w:val="24"/>
        </w:rPr>
        <w:t>uvádět na trh, uvádět do provozu nebo používat systém UI, který využívá jakoukoli slabinu specifické skupiny osob kvůli jejich věku, fyzickému nebo mentálnímu postižení, s cílem podstatně ovlivnit chování osoby patřící k této skupině způsobem, který přinejmenším pravděpodobně způsobí fyzickou či psychickou újmu,</w:t>
      </w:r>
    </w:p>
    <w:p w:rsidR="00B945CF" w:rsidRPr="00B945CF" w:rsidRDefault="00B945CF" w:rsidP="00B945CF">
      <w:pPr>
        <w:pStyle w:val="Odstavecseseznamem"/>
        <w:numPr>
          <w:ilvl w:val="0"/>
          <w:numId w:val="23"/>
        </w:numPr>
        <w:suppressAutoHyphens/>
        <w:autoSpaceDN w:val="0"/>
        <w:spacing w:after="120" w:line="252" w:lineRule="auto"/>
        <w:ind w:left="641" w:hanging="357"/>
        <w:contextualSpacing w:val="0"/>
        <w:jc w:val="both"/>
        <w:rPr>
          <w:rFonts w:ascii="Times New Roman" w:hAnsi="Times New Roman"/>
          <w:sz w:val="24"/>
          <w:szCs w:val="24"/>
        </w:rPr>
      </w:pPr>
      <w:r w:rsidRPr="00B945CF">
        <w:rPr>
          <w:rFonts w:ascii="Times New Roman" w:hAnsi="Times New Roman"/>
          <w:sz w:val="24"/>
          <w:szCs w:val="24"/>
        </w:rPr>
        <w:t>uvádět na trh, uvádět do provozu nebo používat systém UI ze strany orgánů veřejné moci nebo jejich jménem k vyhodnocení nebo klasifikaci důvěryhodnosti fyzických osob po určitou dobu na základě jejich společenského chování nebo známých či odhadovaných osobních nebo osobnostních charakteristik pomocí sociálního skóre vedoucího k alespoň jednomu z následujících důsledků:</w:t>
      </w:r>
    </w:p>
    <w:p w:rsidR="00B945CF" w:rsidRPr="00B945CF" w:rsidRDefault="00B945CF" w:rsidP="00B945CF">
      <w:pPr>
        <w:pStyle w:val="Odstavecseseznamem"/>
        <w:numPr>
          <w:ilvl w:val="1"/>
          <w:numId w:val="23"/>
        </w:numPr>
        <w:suppressAutoHyphens/>
        <w:autoSpaceDN w:val="0"/>
        <w:spacing w:after="120" w:line="252" w:lineRule="auto"/>
        <w:ind w:hanging="361"/>
        <w:contextualSpacing w:val="0"/>
        <w:jc w:val="both"/>
        <w:rPr>
          <w:rFonts w:ascii="Times New Roman" w:hAnsi="Times New Roman"/>
          <w:sz w:val="24"/>
          <w:szCs w:val="24"/>
        </w:rPr>
      </w:pPr>
      <w:r w:rsidRPr="00B945CF">
        <w:rPr>
          <w:rFonts w:ascii="Times New Roman" w:hAnsi="Times New Roman"/>
          <w:sz w:val="24"/>
          <w:szCs w:val="24"/>
        </w:rPr>
        <w:t>špatné nebo nepříznivé zacházení s určitými fyzickými osobami nebo skupinami osob ve společenských situacích, které nesouvisí se situacemi, ve kterých byla data původně vygenerována nebo sesbírána,</w:t>
      </w:r>
    </w:p>
    <w:p w:rsidR="00B945CF" w:rsidRPr="00B945CF" w:rsidRDefault="00B945CF" w:rsidP="00B945CF">
      <w:pPr>
        <w:pStyle w:val="Odstavecseseznamem"/>
        <w:numPr>
          <w:ilvl w:val="1"/>
          <w:numId w:val="23"/>
        </w:numPr>
        <w:suppressAutoHyphens/>
        <w:autoSpaceDN w:val="0"/>
        <w:spacing w:after="120" w:line="252" w:lineRule="auto"/>
        <w:ind w:hanging="361"/>
        <w:contextualSpacing w:val="0"/>
        <w:jc w:val="both"/>
        <w:rPr>
          <w:rFonts w:ascii="Times New Roman" w:hAnsi="Times New Roman"/>
          <w:sz w:val="24"/>
          <w:szCs w:val="24"/>
        </w:rPr>
      </w:pPr>
      <w:r w:rsidRPr="00B945CF">
        <w:rPr>
          <w:rFonts w:ascii="Times New Roman" w:hAnsi="Times New Roman"/>
          <w:sz w:val="24"/>
          <w:szCs w:val="24"/>
        </w:rPr>
        <w:t>špatné nebo nepříznivé zacházení s určitými fyzickými osobami nebo skupinami osob, které je neodůvodněné nebo nepřiměřené vzhledem k jejich společenskému chování nebo jeho závažnosti,</w:t>
      </w:r>
    </w:p>
    <w:p w:rsidR="00B945CF" w:rsidRPr="00B945CF" w:rsidRDefault="00B945CF" w:rsidP="00B945CF">
      <w:pPr>
        <w:pStyle w:val="Odstavecseseznamem"/>
        <w:numPr>
          <w:ilvl w:val="0"/>
          <w:numId w:val="23"/>
        </w:numPr>
        <w:suppressAutoHyphens/>
        <w:autoSpaceDN w:val="0"/>
        <w:spacing w:after="120" w:line="252" w:lineRule="auto"/>
        <w:contextualSpacing w:val="0"/>
        <w:jc w:val="both"/>
        <w:rPr>
          <w:rFonts w:ascii="Times New Roman" w:hAnsi="Times New Roman"/>
          <w:sz w:val="24"/>
          <w:szCs w:val="24"/>
        </w:rPr>
      </w:pPr>
      <w:r w:rsidRPr="00B945CF">
        <w:rPr>
          <w:rFonts w:ascii="Times New Roman" w:hAnsi="Times New Roman"/>
          <w:sz w:val="24"/>
          <w:szCs w:val="24"/>
        </w:rPr>
        <w:t>využívat systémy vzdálené biometrické identifikace v reálném čase ve veřejně přístupných prostorech pro účely vymáhání práva, ledaže je takovéto využití nezbytně nutné k dosažení jednoho z následujících cílů:</w:t>
      </w:r>
    </w:p>
    <w:p w:rsidR="00B945CF" w:rsidRPr="00B945CF" w:rsidRDefault="00B945CF" w:rsidP="00B945CF">
      <w:pPr>
        <w:pStyle w:val="Odstavecseseznamem"/>
        <w:numPr>
          <w:ilvl w:val="1"/>
          <w:numId w:val="23"/>
        </w:numPr>
        <w:suppressAutoHyphens/>
        <w:autoSpaceDN w:val="0"/>
        <w:spacing w:after="120" w:line="252" w:lineRule="auto"/>
        <w:contextualSpacing w:val="0"/>
        <w:jc w:val="both"/>
        <w:rPr>
          <w:rFonts w:ascii="Times New Roman" w:hAnsi="Times New Roman"/>
          <w:sz w:val="24"/>
          <w:szCs w:val="24"/>
        </w:rPr>
      </w:pPr>
      <w:r w:rsidRPr="00B945CF">
        <w:rPr>
          <w:rFonts w:ascii="Times New Roman" w:hAnsi="Times New Roman"/>
          <w:sz w:val="24"/>
          <w:szCs w:val="24"/>
        </w:rPr>
        <w:t>cílené vyhledávání specifických potenciálních obětí trestných činů včetně ztracených dětí,</w:t>
      </w:r>
    </w:p>
    <w:p w:rsidR="00B945CF" w:rsidRPr="00B945CF" w:rsidRDefault="00B945CF" w:rsidP="00B945CF">
      <w:pPr>
        <w:pStyle w:val="Odstavecseseznamem"/>
        <w:numPr>
          <w:ilvl w:val="1"/>
          <w:numId w:val="23"/>
        </w:numPr>
        <w:suppressAutoHyphens/>
        <w:autoSpaceDN w:val="0"/>
        <w:spacing w:after="120" w:line="252" w:lineRule="auto"/>
        <w:contextualSpacing w:val="0"/>
        <w:jc w:val="both"/>
        <w:rPr>
          <w:rFonts w:ascii="Times New Roman" w:hAnsi="Times New Roman"/>
          <w:sz w:val="24"/>
          <w:szCs w:val="24"/>
        </w:rPr>
      </w:pPr>
      <w:r w:rsidRPr="00B945CF">
        <w:rPr>
          <w:rFonts w:ascii="Times New Roman" w:hAnsi="Times New Roman"/>
          <w:sz w:val="24"/>
          <w:szCs w:val="24"/>
        </w:rPr>
        <w:t>zabránění specifické, závažné a bezprostřední hrozbě teroristického útoku nebo hrozbě vůči lidským životům či fyzické bezpečnosti fyzických osob,</w:t>
      </w:r>
    </w:p>
    <w:p w:rsidR="00B945CF" w:rsidRPr="00B945CF" w:rsidRDefault="00B945CF" w:rsidP="00B945CF">
      <w:pPr>
        <w:pStyle w:val="Odstavecseseznamem"/>
        <w:numPr>
          <w:ilvl w:val="1"/>
          <w:numId w:val="23"/>
        </w:numPr>
        <w:suppressAutoHyphens/>
        <w:autoSpaceDN w:val="0"/>
        <w:spacing w:after="120" w:line="252" w:lineRule="auto"/>
        <w:contextualSpacing w:val="0"/>
        <w:jc w:val="both"/>
        <w:rPr>
          <w:rFonts w:ascii="Times New Roman" w:hAnsi="Times New Roman"/>
          <w:sz w:val="24"/>
          <w:szCs w:val="24"/>
        </w:rPr>
      </w:pPr>
      <w:r w:rsidRPr="00B945CF">
        <w:rPr>
          <w:rFonts w:ascii="Times New Roman" w:hAnsi="Times New Roman"/>
          <w:sz w:val="24"/>
          <w:szCs w:val="24"/>
        </w:rPr>
        <w:t>detekce, lokalizace, identifikace nebo stíhání pachatele či osoby podezřelé ze spáchání trestných činů, které dosahují určitého stupně vážnosti a lze v jejich věci vydat evropský zatýkací rozkaz.</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Využití systémů vzdálené biometrické identifikace v reálném čase vyžaduje předchozí souhlas soudu nebo nezávislého správního orgánů příslušného členského státu. Začít se sledováním bez takovéhoto souhlasu lze pouze v náležitě odůvodněných a naléhavých případech.</w:t>
      </w:r>
    </w:p>
    <w:p w:rsidR="00B945CF" w:rsidRPr="00B945CF" w:rsidRDefault="00B945CF" w:rsidP="00B945CF">
      <w:pPr>
        <w:keepNext/>
        <w:spacing w:after="120"/>
        <w:jc w:val="both"/>
        <w:rPr>
          <w:rFonts w:ascii="Times New Roman" w:hAnsi="Times New Roman"/>
          <w:sz w:val="24"/>
          <w:szCs w:val="24"/>
          <w:u w:val="single"/>
        </w:rPr>
      </w:pPr>
      <w:r w:rsidRPr="00B945CF">
        <w:rPr>
          <w:rFonts w:ascii="Times New Roman" w:hAnsi="Times New Roman"/>
          <w:sz w:val="24"/>
          <w:szCs w:val="24"/>
          <w:u w:val="single"/>
        </w:rPr>
        <w:lastRenderedPageBreak/>
        <w:t>2. Vysoce rizikové systémy UI</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 xml:space="preserve">Čl. 6 aktu o umělé inteligenci vymezuje vysoce rizikové systémy UI a stanoví pro ně zvláštní požadavky. Za </w:t>
      </w:r>
      <w:r w:rsidRPr="00B945CF">
        <w:rPr>
          <w:rFonts w:ascii="Times New Roman" w:hAnsi="Times New Roman"/>
          <w:b/>
          <w:sz w:val="24"/>
          <w:szCs w:val="24"/>
        </w:rPr>
        <w:t>vysoce rizikové systémy UI</w:t>
      </w:r>
      <w:r w:rsidRPr="00B945CF">
        <w:rPr>
          <w:rFonts w:ascii="Times New Roman" w:hAnsi="Times New Roman"/>
          <w:sz w:val="24"/>
          <w:szCs w:val="24"/>
        </w:rPr>
        <w:t xml:space="preserve"> se považují systémy výslovně uvedené v Příloze III (některé systémy týkající se biometrické identifikace, správy a provozu kritických infrastruktur, vzdělání a odborné přípravy, zaměstnanosti, přístupu k základním soukromým a veřejným službám, vymáhání práva, řízení migrace, výkonu spravedlnosti a demokratických procesů apod.; Komise může tento seznam upravovat akty v přenesené pravomoci) a dále takové systémy, které:</w:t>
      </w:r>
    </w:p>
    <w:p w:rsidR="00B945CF" w:rsidRPr="00B945CF" w:rsidRDefault="00B945CF" w:rsidP="00B945CF">
      <w:pPr>
        <w:pStyle w:val="Odstavecseseznamem"/>
        <w:numPr>
          <w:ilvl w:val="0"/>
          <w:numId w:val="23"/>
        </w:numPr>
        <w:suppressAutoHyphens/>
        <w:autoSpaceDN w:val="0"/>
        <w:spacing w:after="120" w:line="252" w:lineRule="auto"/>
        <w:ind w:left="641" w:hanging="357"/>
        <w:contextualSpacing w:val="0"/>
        <w:jc w:val="both"/>
        <w:rPr>
          <w:rFonts w:ascii="Times New Roman" w:hAnsi="Times New Roman"/>
          <w:sz w:val="24"/>
          <w:szCs w:val="24"/>
        </w:rPr>
      </w:pPr>
      <w:r w:rsidRPr="00B945CF">
        <w:rPr>
          <w:rFonts w:ascii="Times New Roman" w:hAnsi="Times New Roman"/>
          <w:sz w:val="24"/>
          <w:szCs w:val="24"/>
        </w:rPr>
        <w:t>mají být použity jako bezpečnostní součást produktu nebo jsou samy produktem pokrytým unijní harmonizací podle Přílohy II (jde o seznam unijních legislativních aktů harmonizujících mj. pravidla týkající se bezpečnosti některých produktů) a</w:t>
      </w:r>
    </w:p>
    <w:p w:rsidR="00B945CF" w:rsidRPr="00B945CF" w:rsidRDefault="00B945CF" w:rsidP="00B945CF">
      <w:pPr>
        <w:pStyle w:val="Odstavecseseznamem"/>
        <w:numPr>
          <w:ilvl w:val="0"/>
          <w:numId w:val="23"/>
        </w:numPr>
        <w:suppressAutoHyphens/>
        <w:autoSpaceDN w:val="0"/>
        <w:spacing w:after="120" w:line="252" w:lineRule="auto"/>
        <w:ind w:left="641" w:hanging="357"/>
        <w:contextualSpacing w:val="0"/>
        <w:jc w:val="both"/>
        <w:rPr>
          <w:rFonts w:ascii="Times New Roman" w:hAnsi="Times New Roman"/>
          <w:sz w:val="24"/>
          <w:szCs w:val="24"/>
        </w:rPr>
      </w:pPr>
      <w:r w:rsidRPr="00B945CF">
        <w:rPr>
          <w:rFonts w:ascii="Times New Roman" w:hAnsi="Times New Roman"/>
          <w:sz w:val="24"/>
          <w:szCs w:val="24"/>
        </w:rPr>
        <w:t>podléhají hodnocení shody pro účely uvedení na trh nebo do provozu v souladu s unijní harmonizační legislativou podle Přílohy II.</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Pokud je systém UI kategorizován jako vysoce rizikový, musí splňovat stanovené požadavky. Jde například o zřízení a udržování systému řízení rizik (čl. 9), kvalitativní požadavky na data a správu dat pro systémy UI používající techniky trénování modelů na datech (čl. 10), požadavky na technickou dokumentaci a uchovávání záznamů (čl. 11-12), transparenci a poskytování informací uživatelům včetně vhodných uživatelských pokynů (čl. 13), garanci lidského dohledu (čl. 14) a požadavky na přesnost, robustnost a kybernetickou bezpečnost (čl. 15).</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Poskytovatelé vysoce rizikových systémů UI jsou mj. povinni dodržovat výše zmíněné požadavky, používat systém řízení kvality odpovídající požadavkům čl. 17 aktu o umělé inteligenci, uchovávat automaticky generované záznamy, zajišťovat pro své systémy odpovídající procedury hodnocení shody, registrovat své vysoce rizikové systémy do unijní databáze podle čl. 60 aktu o umělé inteligenci či předvést příslušnému vnitrostátnímu orgánu splnění požadavků pro vysoce rizikové systémy UI. Pokud poskytovatel zjistí nebo pojme podezření, že jeho vysoce rizikový systém UI nesplňuje příslušné požadavky, zjedná okamžitou nápravu nebo tento systém stáhne. O tomto informuje distributora, dovozce či zplnomocněného zástupce (čl. 21). O riziku na národní úrovni ve smyslu čl. 65 aktu o umělé inteligenci plynoucím z příslušného systému uvědomí jeho poskytovatel příslušné vnitrostátní orgány (čl. 22).</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Akt o umělé inteligenci se dále s ohledem na specifické podmínky zabývá povinnostmi výrobců produktů, zplnomocněných zástupců, dovozců a distributorů. Na distributory, dovozce, uživatele nebo jiné třetí strany za stanovených podmínek přechází povinnosti poskytovatele (čl. 28). Na užívání vysoce rizikových systémů UI se váží i povinnosti uživatelů (čl. 29).</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Akt o umělé inteligenci dále stanoví pravidla pro vnitrostátní oznamující orgány (odpovědné za nastavení a provádění prostupů potřebných pro hodnocení, určení a oznámení subjektů posuzování shody a jejich monitoring) a oznámené subjekty (tj. subjekt posuzování shody, který po oznámení bez následných výhrad Komise či členských států může ověřovat shodu vysoce rizikových systémů UI s požadavky aktu o umělé inteligenci). Na toto pak navazují podrobnější pravidla o harmonizovaných standardech, posuzování shody, certifikátech o shodě a povinnosti registrace systémů UI v unijní databázi.</w:t>
      </w:r>
    </w:p>
    <w:p w:rsidR="00B945CF" w:rsidRPr="00B945CF" w:rsidRDefault="00B945CF" w:rsidP="00B945CF">
      <w:pPr>
        <w:keepNext/>
        <w:spacing w:after="120"/>
        <w:jc w:val="both"/>
        <w:rPr>
          <w:rFonts w:ascii="Times New Roman" w:hAnsi="Times New Roman"/>
          <w:sz w:val="24"/>
          <w:szCs w:val="24"/>
          <w:u w:val="single"/>
        </w:rPr>
      </w:pPr>
      <w:r w:rsidRPr="00B945CF">
        <w:rPr>
          <w:rFonts w:ascii="Times New Roman" w:hAnsi="Times New Roman"/>
          <w:sz w:val="24"/>
          <w:szCs w:val="24"/>
          <w:u w:val="single"/>
        </w:rPr>
        <w:lastRenderedPageBreak/>
        <w:t>3. Požadavky na transparenci</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Na určité systémy UI se vztáhnou zvláštní požadavky na transparenci podle čl. 52 aktu o umělé inteligenci. Vysoce rizikové systémy UI obsahují vlastní zvláštní úpravu transparence. Konkrétně:</w:t>
      </w:r>
    </w:p>
    <w:p w:rsidR="00B945CF" w:rsidRPr="00B945CF" w:rsidRDefault="00B945CF" w:rsidP="00B945CF">
      <w:pPr>
        <w:pStyle w:val="Odstavecseseznamem"/>
        <w:numPr>
          <w:ilvl w:val="0"/>
          <w:numId w:val="23"/>
        </w:numPr>
        <w:suppressAutoHyphens/>
        <w:autoSpaceDN w:val="0"/>
        <w:spacing w:after="120" w:line="252" w:lineRule="auto"/>
        <w:ind w:left="641" w:hanging="357"/>
        <w:contextualSpacing w:val="0"/>
        <w:jc w:val="both"/>
        <w:rPr>
          <w:rFonts w:ascii="Times New Roman" w:hAnsi="Times New Roman"/>
          <w:sz w:val="24"/>
          <w:szCs w:val="24"/>
        </w:rPr>
      </w:pPr>
      <w:r w:rsidRPr="00B945CF">
        <w:rPr>
          <w:rFonts w:ascii="Times New Roman" w:hAnsi="Times New Roman"/>
          <w:sz w:val="24"/>
          <w:szCs w:val="24"/>
        </w:rPr>
        <w:t>poskytovatelé systémů UI zamýšlených k interakci s fyzickými osobami musí zajistit jejich nastavení způsobem zajišťujícím, že fyzické osoby jsou informovány o tom, že interagují se systémem UI (pokud toto není zřejmé z kontextu situace), toto se neuplatní na systémy UI užívané k vyšetřování a stíhání trestných činů, nejedná-li se o rozhraní pro ohlašování takových činů,</w:t>
      </w:r>
    </w:p>
    <w:p w:rsidR="00B945CF" w:rsidRPr="00B945CF" w:rsidRDefault="00B945CF" w:rsidP="00B945CF">
      <w:pPr>
        <w:pStyle w:val="Odstavecseseznamem"/>
        <w:numPr>
          <w:ilvl w:val="0"/>
          <w:numId w:val="23"/>
        </w:numPr>
        <w:suppressAutoHyphens/>
        <w:autoSpaceDN w:val="0"/>
        <w:spacing w:after="120" w:line="252" w:lineRule="auto"/>
        <w:ind w:left="641" w:hanging="357"/>
        <w:contextualSpacing w:val="0"/>
        <w:jc w:val="both"/>
        <w:rPr>
          <w:rFonts w:ascii="Times New Roman" w:hAnsi="Times New Roman"/>
          <w:sz w:val="24"/>
          <w:szCs w:val="24"/>
        </w:rPr>
      </w:pPr>
      <w:r w:rsidRPr="00B945CF">
        <w:rPr>
          <w:rFonts w:ascii="Times New Roman" w:hAnsi="Times New Roman"/>
          <w:sz w:val="24"/>
          <w:szCs w:val="24"/>
        </w:rPr>
        <w:t>uživatelé systému rozpoznávajícího emoce nebo umožňujícího biometrickou kategorizaci informují fyzické osoby vystavené takovémuto systému o jeho použití, platí opět výjimka pro systémy užívané k vyšetřování a stíhání trestných činů,</w:t>
      </w:r>
    </w:p>
    <w:p w:rsidR="00B945CF" w:rsidRPr="00B945CF" w:rsidRDefault="00B945CF" w:rsidP="00B945CF">
      <w:pPr>
        <w:pStyle w:val="Odstavecseseznamem"/>
        <w:numPr>
          <w:ilvl w:val="0"/>
          <w:numId w:val="23"/>
        </w:numPr>
        <w:suppressAutoHyphens/>
        <w:autoSpaceDN w:val="0"/>
        <w:spacing w:after="120" w:line="252" w:lineRule="auto"/>
        <w:ind w:left="641" w:hanging="357"/>
        <w:contextualSpacing w:val="0"/>
        <w:jc w:val="both"/>
        <w:rPr>
          <w:rFonts w:ascii="Times New Roman" w:hAnsi="Times New Roman"/>
          <w:sz w:val="24"/>
          <w:szCs w:val="24"/>
        </w:rPr>
      </w:pPr>
      <w:r w:rsidRPr="00B945CF">
        <w:rPr>
          <w:rFonts w:ascii="Times New Roman" w:hAnsi="Times New Roman"/>
          <w:sz w:val="24"/>
          <w:szCs w:val="24"/>
        </w:rPr>
        <w:t>uživatelé systému UI, který generuje nebo manipuluje obrazy, zvuk nebo video znatelně připomínající existující osoby, předměty, místa nebo jiné entity či jiné události, které by se v rozporu s realitou zdály autentickými nebo skutečnými (</w:t>
      </w:r>
      <w:r w:rsidRPr="00B945CF">
        <w:rPr>
          <w:rFonts w:ascii="Times New Roman" w:hAnsi="Times New Roman"/>
          <w:i/>
          <w:sz w:val="24"/>
          <w:szCs w:val="24"/>
        </w:rPr>
        <w:t>„deep fake“</w:t>
      </w:r>
      <w:r w:rsidRPr="00B945CF">
        <w:rPr>
          <w:rFonts w:ascii="Times New Roman" w:hAnsi="Times New Roman"/>
          <w:sz w:val="24"/>
          <w:szCs w:val="24"/>
        </w:rPr>
        <w:t>), musí informovat o skutečnosti, že příslušný materiál byl vygenerován nebo manipulován. Z tohoto je stanovena výjimka pro vyšetřování a stíhání trestných činů a pro realizaci svobody projevu či svobody umění a věd, pokud tato odpovídajícím způsobem šetří práva a svobody třetích stran.</w:t>
      </w:r>
    </w:p>
    <w:p w:rsidR="00B945CF" w:rsidRPr="00B945CF" w:rsidRDefault="00B945CF" w:rsidP="00B945CF">
      <w:pPr>
        <w:spacing w:after="120"/>
        <w:jc w:val="both"/>
        <w:rPr>
          <w:rFonts w:ascii="Times New Roman" w:hAnsi="Times New Roman"/>
          <w:sz w:val="24"/>
          <w:szCs w:val="24"/>
          <w:u w:val="single"/>
        </w:rPr>
      </w:pPr>
      <w:r w:rsidRPr="00B945CF">
        <w:rPr>
          <w:rFonts w:ascii="Times New Roman" w:hAnsi="Times New Roman"/>
          <w:sz w:val="24"/>
          <w:szCs w:val="24"/>
          <w:u w:val="single"/>
        </w:rPr>
        <w:t>4. Opatření na podporu inovace</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Mezi opatření na podporu inovace patří pravidla pro vytváření regulačních pískovišť (</w:t>
      </w:r>
      <w:r w:rsidRPr="00B945CF">
        <w:rPr>
          <w:rFonts w:ascii="Times New Roman" w:hAnsi="Times New Roman"/>
          <w:i/>
          <w:sz w:val="24"/>
          <w:szCs w:val="24"/>
        </w:rPr>
        <w:t>regulatory sandbox</w:t>
      </w:r>
      <w:r w:rsidRPr="00B945CF">
        <w:rPr>
          <w:rFonts w:ascii="Times New Roman" w:hAnsi="Times New Roman"/>
          <w:sz w:val="24"/>
          <w:szCs w:val="24"/>
        </w:rPr>
        <w:t xml:space="preserve">) a pravidla na podporu malých a středních podniků a startupů. </w:t>
      </w:r>
      <w:r w:rsidRPr="00B945CF">
        <w:rPr>
          <w:rFonts w:ascii="Times New Roman" w:hAnsi="Times New Roman"/>
          <w:b/>
          <w:sz w:val="24"/>
          <w:szCs w:val="24"/>
        </w:rPr>
        <w:t>Regulační pískoviště</w:t>
      </w:r>
      <w:r w:rsidRPr="00B945CF">
        <w:rPr>
          <w:rFonts w:ascii="Times New Roman" w:hAnsi="Times New Roman"/>
          <w:sz w:val="24"/>
          <w:szCs w:val="24"/>
        </w:rPr>
        <w:t xml:space="preserve"> zřizovaná příslušnými orgány členských států nebo </w:t>
      </w:r>
      <w:hyperlink r:id="rId39" w:history="1">
        <w:r w:rsidRPr="00B945CF">
          <w:rPr>
            <w:rStyle w:val="Hypertextovodkaz"/>
            <w:rFonts w:ascii="Times New Roman" w:hAnsi="Times New Roman"/>
            <w:sz w:val="24"/>
            <w:szCs w:val="24"/>
          </w:rPr>
          <w:t>evropským inspektorem ochrany údajů</w:t>
        </w:r>
      </w:hyperlink>
      <w:r w:rsidRPr="00B945CF">
        <w:rPr>
          <w:rFonts w:ascii="Times New Roman" w:hAnsi="Times New Roman"/>
          <w:sz w:val="24"/>
          <w:szCs w:val="24"/>
        </w:rPr>
        <w:t xml:space="preserve"> mají poskytnout kontrolované prostředí pro vývoj, testování a ověřování inovativních systémů UI. Členské státy přitom zajistí zapojení vnitrostátních orgánů pro ochranu osobních údajů a dalších příslušných orgánů, jsou-li v rámci regulačního pískoviště zpracovávány osobní údaje. Čl. 74 aktu o umělé inteligenci v této souvislosti stanoví, že i osobní údaje zákonně získané za jiným účelem mohou být použity pro účely vývoje a testování určitých inovativních systémů UI v regulačním pískovišti, pokud jsou dodrženy podmínky stanovené aktem o umělé inteligenci. Jde mj. o požadavek na podstatný veřejný zájem sledovaný inovativním systémem UI nebo nezbytnost těchto osobních údajů pro splnění požadavků aktu o umělé inteligenci, které by nešlo naplnit anonymizovanými, syntetickými nebo neosobními údaji. Další požadavky směřují zejména na bezpečnost osobních údajů a možnost určité veřejné kontroly nad jejich použitím.</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 xml:space="preserve">Členské státy mají podle čl. 55 aktu o umělé inteligenci dále </w:t>
      </w:r>
      <w:r w:rsidRPr="00B945CF">
        <w:rPr>
          <w:rFonts w:ascii="Times New Roman" w:hAnsi="Times New Roman"/>
          <w:b/>
          <w:sz w:val="24"/>
          <w:szCs w:val="24"/>
        </w:rPr>
        <w:t>podporovat malé poskytovatele a uživatele</w:t>
      </w:r>
      <w:r w:rsidRPr="00B945CF">
        <w:rPr>
          <w:rFonts w:ascii="Times New Roman" w:hAnsi="Times New Roman"/>
          <w:sz w:val="24"/>
          <w:szCs w:val="24"/>
        </w:rPr>
        <w:t xml:space="preserve"> (za „malý“ je zde považován malý podnik nebo mikropodnik ve smyslu </w:t>
      </w:r>
      <w:hyperlink r:id="rId40" w:history="1">
        <w:r w:rsidRPr="00B945CF">
          <w:rPr>
            <w:rStyle w:val="Hypertextovodkaz"/>
            <w:rFonts w:ascii="Times New Roman" w:hAnsi="Times New Roman"/>
            <w:sz w:val="24"/>
            <w:szCs w:val="24"/>
          </w:rPr>
          <w:t>doporučení Komise 2003/361/ES</w:t>
        </w:r>
      </w:hyperlink>
      <w:r w:rsidRPr="00B945CF">
        <w:rPr>
          <w:rFonts w:ascii="Times New Roman" w:hAnsi="Times New Roman"/>
          <w:sz w:val="24"/>
          <w:szCs w:val="24"/>
        </w:rPr>
        <w:t>) tím, že (i.)  zajistí malým poskytovatelům a startupům prioritní přístup k regulačním pískovištím, pokud splňují potřebné požadavky, (ii.) budou organizovat osvětové aktivity o uplatňování aktu o umělé inteligenci zaměřené na potřeby malých poskytovatelů a uživatelů a (iii.) zřídí k tomu určený komunikační kanál s malými poskytovateli a uživateli pro poradenství a vyřizování dotazů, je-li to vhodné.</w:t>
      </w:r>
    </w:p>
    <w:p w:rsidR="00B945CF" w:rsidRPr="00B945CF" w:rsidRDefault="00B945CF" w:rsidP="00B945CF">
      <w:pPr>
        <w:keepNext/>
        <w:spacing w:after="120"/>
        <w:jc w:val="both"/>
        <w:rPr>
          <w:rFonts w:ascii="Times New Roman" w:hAnsi="Times New Roman"/>
          <w:sz w:val="24"/>
          <w:szCs w:val="24"/>
          <w:u w:val="single"/>
        </w:rPr>
      </w:pPr>
      <w:r w:rsidRPr="00B945CF">
        <w:rPr>
          <w:rFonts w:ascii="Times New Roman" w:hAnsi="Times New Roman"/>
          <w:sz w:val="24"/>
          <w:szCs w:val="24"/>
          <w:u w:val="single"/>
        </w:rPr>
        <w:t>5. Správa a provádění aktu o umělé inteligenci</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 xml:space="preserve">Má být zřízena </w:t>
      </w:r>
      <w:r w:rsidRPr="00B945CF">
        <w:rPr>
          <w:rFonts w:ascii="Times New Roman" w:hAnsi="Times New Roman"/>
          <w:b/>
          <w:sz w:val="24"/>
          <w:szCs w:val="24"/>
        </w:rPr>
        <w:t>Evropská rada pro umělou inteligenci</w:t>
      </w:r>
      <w:r w:rsidRPr="00B945CF">
        <w:rPr>
          <w:rFonts w:ascii="Times New Roman" w:hAnsi="Times New Roman"/>
          <w:sz w:val="24"/>
          <w:szCs w:val="24"/>
        </w:rPr>
        <w:t xml:space="preserve">, která má sestávat z vysokých zástupců vnitrostátních dohledových orgánů a evropského inspektora ochrany údajů. Její </w:t>
      </w:r>
      <w:r w:rsidRPr="00B945CF">
        <w:rPr>
          <w:rFonts w:ascii="Times New Roman" w:hAnsi="Times New Roman"/>
          <w:sz w:val="24"/>
          <w:szCs w:val="24"/>
        </w:rPr>
        <w:lastRenderedPageBreak/>
        <w:t>funkcí je poskytovat poradenství a asistenci Komisi k zajištění efektivní spolupráce mezi Komisí a vnitrostátními orgány, poskytovat pokyny a analýzy a zajistit jednotné uplatňování aktu o umělé inteligenci. Členské státy jsou rovněž povinny zřídit nebo určit orgán příslušný k zajištění uplatňování aktu o umělé inteligenci.</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Komise bude podle čl. 60 aktu o umělé inteligenci ve spolupráci s členskými státy spravovat unijní databázi vysoce rizikových systémů UI (srov. výše).</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Poskytovatelé budou povinni zřídit přiměřený systém monitoringu po uvedení na trh odpovídající povaze technologie UI a rizikům vysoce rizikového systému UI. Poskytovatelé vysoce rizikových systémů UI budou dále povinni hlásit závažné incidenty nebo poruchy vyvstalé v souvislosti s jejich systémy, pokud tyto představují porušení normy práva EU chránící základní práva.</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 xml:space="preserve">Za vymáhání aktu o umělé inteligenci jsou v první řadě odpovědné určené vnitrostátní orgány. Na systémy UI se přitom vztáhne </w:t>
      </w:r>
      <w:hyperlink r:id="rId41" w:history="1">
        <w:r w:rsidRPr="00B945CF">
          <w:rPr>
            <w:rStyle w:val="Hypertextovodkaz"/>
            <w:rFonts w:ascii="Times New Roman" w:hAnsi="Times New Roman"/>
            <w:sz w:val="24"/>
            <w:szCs w:val="24"/>
          </w:rPr>
          <w:t>nařízení (EU) 2019/1020</w:t>
        </w:r>
      </w:hyperlink>
      <w:r w:rsidRPr="00B945CF">
        <w:rPr>
          <w:rFonts w:ascii="Times New Roman" w:hAnsi="Times New Roman"/>
          <w:sz w:val="24"/>
          <w:szCs w:val="24"/>
        </w:rPr>
        <w:t xml:space="preserve"> o dozoru nad trhem a souladu výrobků s předpisy (toto nařízení se použije od poloviny července 2021). V případě systému UI představujícího riziko (systému, který by mohl nepříznivě ovlivnit zdraví a bezpečnost osob nad důvodnou míru podle unijních předpisů nebo naplnit jiná kritéria uvedená v čl. 3 odst. 19 nařízení (EU) 2019/1020) mohou příslušné vnitrostátní orgány v případě zjištění nesouladu s aktem o umělé inteligenci požadovat jeho odstranění nebo dokonce stažení příslušného systému UI (čl. 65 odst. 2). Pokud příslušný poskytovatel neuposlechne požadavky vnitrostátního orgánů, tento může zakázat nebo omezit zpřístupňování systému UI na národním trhu, stáhnout tento systém z trhu nebo z oběhu (čl. 65 odst. 5). Rozhodnutí podle čl. 65 odst. 5 aktu o umělé inteligenci ovšem podléhá možnosti revize ze strany Komise (čl. 66). Členské státy mají za porušení aktu o umělé inteligenci zavést sankce včetně pokut, které mají být účinné, přiměřené a odrazující. Za některá zvláště závažná porušení (například porušení </w:t>
      </w:r>
      <w:r w:rsidRPr="00B945CF">
        <w:rPr>
          <w:rFonts w:ascii="Times New Roman" w:hAnsi="Times New Roman"/>
          <w:i/>
          <w:sz w:val="24"/>
          <w:szCs w:val="24"/>
        </w:rPr>
        <w:t>a priori</w:t>
      </w:r>
      <w:r w:rsidRPr="00B945CF">
        <w:rPr>
          <w:rFonts w:ascii="Times New Roman" w:hAnsi="Times New Roman"/>
          <w:sz w:val="24"/>
          <w:szCs w:val="24"/>
        </w:rPr>
        <w:t xml:space="preserve"> zákazu určitých praktik) stanoví samotný akt o umělé inteligence pokuty jdoucí do desítek milionů eur, resp. jednotek procent ročního celosvětového obratu (čl. 71).</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Komise a členské státy mají podporovat vytváření kodexů chování, které mají podporovat dobrovolné dodržování požadavků stanovených pro vysoce rizikové systémy UI. Komise a Evropská rada pro umělou inteligenci budou dále podporovat vytváření kodexů chování motivujících k dobrovolnému dodržování v oblastech environmentální udržitelnosti, bezbariérovosti, účasti zainteresovaných subjektů na vyvíjení systémů UI aj. Samotné kodexy mohou vytvářet jednotliví poskytovatelé i jejich sdružení (čl. 69).</w:t>
      </w:r>
    </w:p>
    <w:p w:rsidR="00B945CF" w:rsidRPr="00B945CF" w:rsidRDefault="00B945CF" w:rsidP="00B945CF">
      <w:pPr>
        <w:spacing w:after="120"/>
        <w:jc w:val="both"/>
        <w:rPr>
          <w:rFonts w:ascii="Times New Roman" w:hAnsi="Times New Roman"/>
          <w:b/>
          <w:i/>
          <w:sz w:val="24"/>
          <w:szCs w:val="24"/>
        </w:rPr>
      </w:pPr>
      <w:r w:rsidRPr="00B945CF">
        <w:rPr>
          <w:rFonts w:ascii="Times New Roman" w:hAnsi="Times New Roman"/>
          <w:b/>
          <w:i/>
          <w:sz w:val="24"/>
          <w:szCs w:val="24"/>
        </w:rPr>
        <w:t>Návrh nařízení Evropského parlamentu a Rady o strojních výrobcích</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Nařízení o strojních výrobcích stanovuje požadavky pro navrhování a konstrukci strojních výrobků, jež umožní dodávat na trh nebo uvádět do provozu strojní výrobky, a zavádí rovněž pravidla pro jejich volný pohyb v EU. Podobně jako dosavadní směrnice 2006/42/ES se vztahuje na relativně konkrétní výčet strojních výrobků, který je uveden v čl. 2 nařízení o strojních výrobcích. Tento výčet byl upraven mj. s ohledem na zvýšení právní jistoty ohledně pravidel vztahujících se na konkrétní výrobek. Pokud příslušný výrobek splňuje podmínky nařízení o strojních výrobcích, členské státy nesmí na základě hledisek pokrytých tímto nařízením bránit jeho dodávání na trh a uvádění do provozu (čl. 4).</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Ve své úvodní části nařízení dále zavádí pojem výrobku s vysokým rizikem, jejichž seznam bude moci Komise aktualizovat akty v přenesené pravomoci (čl. 5). To samé platí podle čl. 6 nařízení o strojních výrobcích pro seznam bezpečnostních součástí, mezi které se nově explicitně řadí i digitální součásti strojního zařízení (např. software).</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lastRenderedPageBreak/>
        <w:t>Nařízení o strojních výrobcích má působit jako obecný rámec, před kterým mají z hlediska určených požadavků na ochranu zdraví a bezpečnosti v případě rozporu přednost konkrétnější harmonizační předpisy EU (čl. 8). Podobně se má v případě systémů UI zahrnutých ve strojních výrobcích uplatnit primárně akt o umělé inteligenci. Nařízení o strojních výrobcích je pro systémy UI relevantní pouze z hlediska jejich bezpečného začlenění do celého strojního zařízení.</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Níže následuje stručné shrnutí (1.) povinností určených hospodářských subjektů, (2.) pravidel pro shodu a posouzení shody strojních zařízení, (3.) pravidel pro oznamování subjektů posuzování shody a tržní dozor, kontrolu výrobků vstupujících na trh a ochranný postup Unie.</w:t>
      </w:r>
    </w:p>
    <w:p w:rsidR="00B945CF" w:rsidRPr="00B945CF" w:rsidRDefault="00B945CF" w:rsidP="00B945CF">
      <w:pPr>
        <w:keepNext/>
        <w:spacing w:after="120"/>
        <w:jc w:val="both"/>
        <w:rPr>
          <w:rFonts w:ascii="Times New Roman" w:hAnsi="Times New Roman"/>
          <w:sz w:val="24"/>
          <w:szCs w:val="24"/>
          <w:u w:val="single"/>
        </w:rPr>
      </w:pPr>
      <w:r w:rsidRPr="00B945CF">
        <w:rPr>
          <w:rFonts w:ascii="Times New Roman" w:hAnsi="Times New Roman"/>
          <w:sz w:val="24"/>
          <w:szCs w:val="24"/>
          <w:u w:val="single"/>
        </w:rPr>
        <w:t>1. Povinnosti určených hospodářských subjektů</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 xml:space="preserve">Nařízení o strojních výrobcích stanoví základní povinnosti výrobců, zplnomocněných zástupců, dovozců, distributorů a jiných osob. </w:t>
      </w:r>
      <w:r w:rsidRPr="00B945CF">
        <w:rPr>
          <w:rFonts w:ascii="Times New Roman" w:hAnsi="Times New Roman"/>
          <w:b/>
          <w:sz w:val="24"/>
          <w:szCs w:val="24"/>
        </w:rPr>
        <w:t>Výrobce</w:t>
      </w:r>
      <w:r w:rsidRPr="00B945CF">
        <w:rPr>
          <w:rFonts w:ascii="Times New Roman" w:hAnsi="Times New Roman"/>
          <w:sz w:val="24"/>
          <w:szCs w:val="24"/>
        </w:rPr>
        <w:t xml:space="preserve"> má mj. povinnosti výrobek navrhnout a zkonstruovat způsobem odpovídajícím požadavkům nařízení, vypracovat technickou dokumentaci, zajistit shodu s nařízením v případě sériové výroby, uvádění šarží či sériových čísel a jejich identifikačních údajů (čl. 10). Výrobci jsou mj. povinni přiložit k výrobku návod k používání. Ten lze poskytnout za splnění stanovených podmínek i digitálně, přičemž má kupující právo návod požadovat bezplatně v tištěné podobě (Příloha III bod 1.7.4). Povinnosti výrobce podle čl. 10 nařízení o strojních výrobcích se vztáhnou i na dovozce nebo distributora, pokud uvedou výrobek pod svým jménem nebo provedou podstatnou změnu tohoto výrobku (čl. 14). Podobně se mohou povinnosti výrobce vztáhnout na jinou osobu, která provede podstatnou změnu výrobku ve vztahu k části výrobku, která byla změnou dotčena.</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 xml:space="preserve">Pokud byl určen </w:t>
      </w:r>
      <w:r w:rsidRPr="00B945CF">
        <w:rPr>
          <w:rFonts w:ascii="Times New Roman" w:hAnsi="Times New Roman"/>
          <w:b/>
          <w:sz w:val="24"/>
          <w:szCs w:val="24"/>
        </w:rPr>
        <w:t>zplnomocněný zástupce</w:t>
      </w:r>
      <w:r w:rsidRPr="00B945CF">
        <w:rPr>
          <w:rFonts w:ascii="Times New Roman" w:hAnsi="Times New Roman"/>
          <w:sz w:val="24"/>
          <w:szCs w:val="24"/>
        </w:rPr>
        <w:t xml:space="preserve"> (osoba usazená v EU, která byla výrobcem pověřena k tomu, aby jednala jeho jménem při plnění určených úkolů), nesmí za výrobce plnit povinnosti týkající se souladného navržení a zkonstruování výrobku či vypracování technické dokumentace. Má povinnost při své činnosti uchovávat prohlášení o shodě a technickou dokumentaci, poskytovat informace vnitrostátním orgánům a spolupracovat s nimi na opatřeních k vyloučení rizik vyvolaných strojním výrobkem (čl. 11).</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b/>
          <w:sz w:val="24"/>
          <w:szCs w:val="24"/>
        </w:rPr>
        <w:t>Dovozce</w:t>
      </w:r>
      <w:r w:rsidRPr="00B945CF">
        <w:rPr>
          <w:rFonts w:ascii="Times New Roman" w:hAnsi="Times New Roman"/>
          <w:sz w:val="24"/>
          <w:szCs w:val="24"/>
        </w:rPr>
        <w:t xml:space="preserve"> smí na trh uvádět pouze strojní výrobky splňující určené požadavky na ochranu bezpečnosti a zdraví. Je povinen zajistit, aby výrobce provedl příslušné postupy posuzování shody a splnil některé další povinnosti. Dovozce musí na obalu výrobku nebo na dokumentu při něm uvést své kontaktní údaje. Mezi dalšími povinnostmi dovozců je podniknout kroky z vlastní iniciativy, pokud pojmou podezření, že výrobek není v souladu s některými požadavky (čl. 12).</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b/>
          <w:sz w:val="24"/>
          <w:szCs w:val="24"/>
        </w:rPr>
        <w:t>Distributoři</w:t>
      </w:r>
      <w:r w:rsidRPr="00B945CF">
        <w:rPr>
          <w:rFonts w:ascii="Times New Roman" w:hAnsi="Times New Roman"/>
          <w:sz w:val="24"/>
          <w:szCs w:val="24"/>
        </w:rPr>
        <w:t xml:space="preserve"> jsou mimo jiné před dodáním strojního výrobku na trh povinni ověřit, že je výrobek opatřen označením CE, jsou k němu přiloženy potřebné dokumenty, je opatřen sériovým číslem a kontaktními údaji na výrobce a dovozce. I distributor je povinen jednat z vlastní iniciativy, pokud má alespoň důvod se domnívat, že strojní výrobek není v souladu se základními požadavky na ochranu zdraví a bezpečnosti (čl. 13).</w:t>
      </w:r>
    </w:p>
    <w:p w:rsidR="00B945CF" w:rsidRPr="00B945CF" w:rsidRDefault="00B945CF" w:rsidP="00B945CF">
      <w:pPr>
        <w:keepNext/>
        <w:spacing w:after="120"/>
        <w:jc w:val="both"/>
        <w:rPr>
          <w:rFonts w:ascii="Times New Roman" w:hAnsi="Times New Roman"/>
          <w:sz w:val="24"/>
          <w:szCs w:val="24"/>
          <w:u w:val="single"/>
        </w:rPr>
      </w:pPr>
      <w:r w:rsidRPr="00B945CF">
        <w:rPr>
          <w:rFonts w:ascii="Times New Roman" w:hAnsi="Times New Roman"/>
          <w:sz w:val="24"/>
          <w:szCs w:val="24"/>
          <w:u w:val="single"/>
        </w:rPr>
        <w:t>2. Pravidla pro shodu a posouzení shody strojních zařízení</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 xml:space="preserve">Shoda výrobků se základními požadavky na ochranu zdraví a bezpečnosti se předpokládá, pokud je strojní výrobek ve shodě s harmonizovanými normami, na které byly zveřejněny odkazy v Úředním věstníku Evropské unie. Pokud takovéto normy v určité oblasti nejsou a tuto situaci se nedaří zhojit bez nepřiměřených prodlev, Komise může rovněž přijímat </w:t>
      </w:r>
      <w:r w:rsidRPr="00B945CF">
        <w:rPr>
          <w:rFonts w:ascii="Times New Roman" w:hAnsi="Times New Roman"/>
          <w:sz w:val="24"/>
          <w:szCs w:val="24"/>
        </w:rPr>
        <w:lastRenderedPageBreak/>
        <w:t>prováděcí akty, které stanoví technické specifikace pro základní požadavky na ochranu zdraví a bezpečnosti v dané oblasti (čl. 17). Prokázání shody se základními požadavky na ochranu zdraví a bezpečnosti osvědčuje EU prohlášením o shodě (čl. 18). Na výrobek se umístí i označení CE, které v souladu s </w:t>
      </w:r>
      <w:hyperlink r:id="rId42" w:history="1">
        <w:r w:rsidRPr="00B945CF">
          <w:rPr>
            <w:rStyle w:val="Hypertextovodkaz"/>
            <w:rFonts w:ascii="Times New Roman" w:hAnsi="Times New Roman"/>
            <w:sz w:val="24"/>
            <w:szCs w:val="24"/>
          </w:rPr>
          <w:t>nařízením (ES) č. 765/2008</w:t>
        </w:r>
      </w:hyperlink>
      <w:r w:rsidRPr="00B945CF">
        <w:rPr>
          <w:rFonts w:ascii="Times New Roman" w:hAnsi="Times New Roman"/>
          <w:sz w:val="24"/>
          <w:szCs w:val="24"/>
        </w:rPr>
        <w:t xml:space="preserve"> osvědčuje shodu s příslušnými požadavky harmonizačních právních předpisů (čl. 19 a 20).</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Samotné postupy posouzení shody záleží na typu výrobku. Odlišné postupy předpokládá nařízení o strojních výrobcích pro strojní výrobky s vysokým rizikem (čl. 21 odst. 2) a strojní výrobky, které nejsou strojními výrobky s vysokým rizikem (čl. 21 odst. 3). Specifická pravidla jsou stanovena pro posuzování shody neúplných strojních zařízení (čl. 22).</w:t>
      </w:r>
    </w:p>
    <w:p w:rsidR="00B945CF" w:rsidRPr="00B945CF" w:rsidRDefault="00B945CF" w:rsidP="00B945CF">
      <w:pPr>
        <w:keepNext/>
        <w:spacing w:after="120"/>
        <w:jc w:val="both"/>
        <w:rPr>
          <w:rFonts w:ascii="Times New Roman" w:hAnsi="Times New Roman"/>
          <w:sz w:val="24"/>
          <w:szCs w:val="24"/>
          <w:u w:val="single"/>
        </w:rPr>
      </w:pPr>
      <w:r w:rsidRPr="00B945CF">
        <w:rPr>
          <w:rFonts w:ascii="Times New Roman" w:hAnsi="Times New Roman"/>
          <w:sz w:val="24"/>
          <w:szCs w:val="24"/>
          <w:u w:val="single"/>
        </w:rPr>
        <w:t>3. Oznamování subjektů posuzování shody a tržní dozor, kontrola výrobků vstupujících na trh a ochranný postup Unie</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K posuzování shody jsou příslušné subjekty posuzování shody oznámené Komisi a ostatním členským státům (čl. 24), tyto subjekty posuzují a oznamují oznamující orgány určené členskými státy (čl. 25). Nařízení o strojních výrobcích dále stanovuje podrobnější pravidla týkající se požadavků na oznámené subjekty a některá pravidla jejich fungování.</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 xml:space="preserve">Nařízení dále stanovuje pravidla pro dozor nad trhem, kontrolu výrobků vstupujících na trh a ochranný postup Unie. Pokud orgány dozoru nad trhem ve smyslu </w:t>
      </w:r>
      <w:hyperlink r:id="rId43" w:history="1">
        <w:r w:rsidRPr="00B945CF">
          <w:rPr>
            <w:rStyle w:val="Hypertextovodkaz"/>
            <w:rFonts w:ascii="Times New Roman" w:hAnsi="Times New Roman"/>
            <w:sz w:val="24"/>
            <w:szCs w:val="24"/>
          </w:rPr>
          <w:t>nařízení (EU) 2019/1020</w:t>
        </w:r>
      </w:hyperlink>
      <w:r w:rsidRPr="00B945CF">
        <w:rPr>
          <w:rFonts w:ascii="Times New Roman" w:hAnsi="Times New Roman"/>
          <w:sz w:val="24"/>
          <w:szCs w:val="24"/>
        </w:rPr>
        <w:t xml:space="preserve"> (orgány určené členským státem jako odpovědné za dozor nad trhem) mají dostatečné důvody domnívat se, že strojní výrobek představuje riziko popsané v čl. 41 odst. 1 nařízení o strojních výrobcích, přistoupí k hodnocení jeho souladu s požadavky nařízení o strojních výrobcích. V případě zjištění nesplnění některých požadavků požádají příslušný hospodářský subjekt o přijetí nápravných opatření, která mohou spočívat i ve stažení strojního výrobku z trhu nebo z oběhu (čl. 41 odst. 1). Pokud hospodářský subjekt nepřijme nápravná opatření v přiměřené lhůtě, přijmou orgány dozoru nad trhem dočasná opatření, která mohou vést až ke stažení strojního výrobku z trhu či z oběhu (čl. 41 odst. 4).</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Ochranný postup Unie spočívá v konzultacích Komise s členskými státy a příslušným hospodářským subjektem na základě námitek proti výše uvedeným opatřením vzneseným jiným členským státem, resp. pochybností Komise o souladu přijatých opatření s unijním právem. Na základě tohoto postupu přijme Komise rozhodnutí určující, zda je vnitrostátní opatření oprávněné (čl. 42).</w:t>
      </w:r>
    </w:p>
    <w:p w:rsidR="00B945CF" w:rsidRPr="00B945CF" w:rsidRDefault="00B945CF" w:rsidP="00B945CF">
      <w:pPr>
        <w:jc w:val="both"/>
        <w:rPr>
          <w:rFonts w:ascii="Times New Roman" w:hAnsi="Times New Roman"/>
          <w:sz w:val="24"/>
          <w:szCs w:val="24"/>
        </w:rPr>
      </w:pPr>
      <w:r w:rsidRPr="00B945CF">
        <w:rPr>
          <w:rFonts w:ascii="Times New Roman" w:hAnsi="Times New Roman"/>
          <w:sz w:val="24"/>
          <w:szCs w:val="24"/>
        </w:rPr>
        <w:t>I nařízení o strojních výrobcích počítá s tím, že členské státy stanoví pravidla pro sankce za jeho porušení. Na rozdíl od aktu o umělé inteligenci ale nestanoví konkrétní výše sankcí za určitá porušení (čl. 48).</w:t>
      </w:r>
    </w:p>
    <w:p w:rsidR="00B945CF" w:rsidRPr="00B945CF" w:rsidRDefault="00B945CF" w:rsidP="00B945CF">
      <w:pPr>
        <w:pStyle w:val="Nadpis1"/>
        <w:rPr>
          <w:rFonts w:ascii="Times New Roman" w:hAnsi="Times New Roman"/>
          <w:szCs w:val="24"/>
        </w:rPr>
      </w:pPr>
      <w:bookmarkStart w:id="12" w:name="_Toc448302191"/>
      <w:bookmarkStart w:id="13" w:name="_Toc445380612"/>
      <w:r w:rsidRPr="00B945CF">
        <w:rPr>
          <w:rFonts w:ascii="Times New Roman" w:hAnsi="Times New Roman"/>
          <w:szCs w:val="24"/>
        </w:rPr>
        <w:t>Stanovisko vlády ČR:</w:t>
      </w:r>
      <w:bookmarkEnd w:id="12"/>
      <w:bookmarkEnd w:id="13"/>
    </w:p>
    <w:p w:rsidR="00B945CF" w:rsidRPr="00B945CF" w:rsidRDefault="00B945CF" w:rsidP="00B945CF">
      <w:pPr>
        <w:keepNext/>
        <w:spacing w:after="120"/>
        <w:jc w:val="both"/>
        <w:rPr>
          <w:rFonts w:ascii="Times New Roman" w:hAnsi="Times New Roman"/>
          <w:i/>
          <w:sz w:val="24"/>
          <w:szCs w:val="24"/>
        </w:rPr>
      </w:pPr>
      <w:r w:rsidRPr="00B945CF">
        <w:rPr>
          <w:rFonts w:ascii="Times New Roman" w:hAnsi="Times New Roman"/>
          <w:b/>
          <w:i/>
          <w:sz w:val="24"/>
          <w:szCs w:val="24"/>
        </w:rPr>
        <w:t>Sdělení „Podpora evropského přístupu k umělé inteligenci“</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Vláda ČR obecně vítá sdělení o UI. Za zásadní považuje vyváženost obou rovin předestřeného přístupu k UI, tj. podpory inovačního prostředí i přetváření právního prostředí. Učiněné kroky by neměly vést k nadměrné administrativní zátěži ani protekcionistickým opatřením. Otevřený vnitřní trh je prioritou české politiky v EU, vláda konkrétně zmiňuje volný pohyb dat a podporu konceptu otevřené strategické autonomie na principech spravedlivé konkurence, odolnosti a inovativnosti. Digitální suverenita by přitom neměla mimo jiné znamenat omezení základních principů volného obchodu a svobody internetu. Vláda se dále podrobněji zabývá jednotlivými složkami revidovaného koordinovaného plánu v oblasti UI.</w:t>
      </w:r>
    </w:p>
    <w:p w:rsidR="00B945CF" w:rsidRPr="00B945CF" w:rsidRDefault="00B945CF" w:rsidP="00B945CF">
      <w:pPr>
        <w:spacing w:after="120"/>
        <w:jc w:val="both"/>
        <w:rPr>
          <w:rFonts w:ascii="Times New Roman" w:eastAsia="Times New Roman" w:hAnsi="Times New Roman"/>
          <w:b/>
          <w:i/>
          <w:sz w:val="24"/>
          <w:szCs w:val="24"/>
          <w:lang w:eastAsia="cs-CZ"/>
        </w:rPr>
      </w:pPr>
      <w:r w:rsidRPr="00B945CF">
        <w:rPr>
          <w:rFonts w:ascii="Times New Roman" w:hAnsi="Times New Roman"/>
          <w:b/>
          <w:i/>
          <w:sz w:val="24"/>
          <w:szCs w:val="24"/>
        </w:rPr>
        <w:lastRenderedPageBreak/>
        <w:t>Návrh nařízení Evropského parlamentu a Rady, kterým se stanoví harmonizovaná pravidla pro umělou inteligenci (akt o umělé inteligenci) a mění některé legislativní akty Unie</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Vláda ČR vítá zájem Komise o oblast UI, kterou sama považuje za zásadní. ČR je v oblasti UI velice aktivní, působí zde startupy, společnosti i vědecká a expertní obec zabývající se všemi aspekty UI. Zodpovědný výzkum a vývoj podporuje i stát. Samotný návrh aktu o umělé inteligenci považuje vláda za ambiciózní a odvážný, jeho cíle a principy podporuje. Základem pozice vlády k UI je dlouhodobě stavění člověka do centra přístupu k UI. V této souvislosti vláda oceňuje jasné stanovení cílů návrhu a snahu o vyvažování zájmů.</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Vláda v návaznosti na regulaci UI rovněž zdůrazňuje, že nesmí stát v cestě rozvoji a konkurenceschopnosti. Je třeba se vyhnout poškození proexportní politiky ČR a jejího inovativního technologického prostředí. Vláda avizuje potřebu vyjasnit všechny právní, ekonomické a další faktory včetně právního základu (zde čl. 16 a 114 SFEU) nebo otázek dopadu předložené regulace na sektorové politiky spadající do kompetence členských států. V neposlední řadě vláda vyzdvihuje nutnost nastavit regulaci v souladu s principy proporcionality a subsidiarity nebo potřebu projednat návrh i s ohledem na transatlantické partnerství a zapojení EU do mezinárodní spolupráce. Vláda se dále podrobně zabývá konkrétními aspekty návrhu. Mimo jiné poukazuje na skutečnost, že pojem systému UI je v návrhu definován široce a může v praxi zahrnovat např. postupy statistických predikcí (logické a lineární regrese).</w:t>
      </w:r>
    </w:p>
    <w:p w:rsidR="00B945CF" w:rsidRPr="00B945CF" w:rsidRDefault="00B945CF" w:rsidP="00B945CF">
      <w:pPr>
        <w:spacing w:after="120"/>
        <w:jc w:val="both"/>
        <w:rPr>
          <w:rFonts w:ascii="Times New Roman" w:hAnsi="Times New Roman"/>
          <w:b/>
          <w:i/>
          <w:sz w:val="24"/>
          <w:szCs w:val="24"/>
        </w:rPr>
      </w:pPr>
      <w:r w:rsidRPr="00B945CF">
        <w:rPr>
          <w:rFonts w:ascii="Times New Roman" w:hAnsi="Times New Roman"/>
          <w:b/>
          <w:i/>
          <w:sz w:val="24"/>
          <w:szCs w:val="24"/>
        </w:rPr>
        <w:t>Návrh nařízení Evropského parlamentu a Rady o strojních výrobcích</w:t>
      </w:r>
    </w:p>
    <w:p w:rsidR="00B945CF" w:rsidRPr="00B945CF" w:rsidRDefault="00B945CF" w:rsidP="00B945CF">
      <w:pPr>
        <w:jc w:val="both"/>
        <w:rPr>
          <w:rFonts w:ascii="Times New Roman" w:hAnsi="Times New Roman"/>
          <w:sz w:val="24"/>
          <w:szCs w:val="24"/>
        </w:rPr>
      </w:pPr>
      <w:r w:rsidRPr="00B945CF">
        <w:rPr>
          <w:rFonts w:ascii="Times New Roman" w:hAnsi="Times New Roman"/>
          <w:sz w:val="24"/>
          <w:szCs w:val="24"/>
        </w:rPr>
        <w:t xml:space="preserve">Vláda obecně podporuje revizi směrnice 2006/42/ES o strojních zařízeních. Podporuje zejména přizpůsobení základních požadavků novým technologiím, zpřesnění/doplnění definic, vyjasnění/doplnění základních požadavků na ochranu zdraví a bezpečnosti, aktualizaci některých kategorií vysoce rizikových strojních zařízení k posuzování shody třetí nezávislou stranou, zrušení tzv. modulu A pro vybraná vysoce riziková strojní zařízení nebo možnost předkládat technickou dokumentaci a návody v digitální podobě. Vláda podporuje sladění nové úpravy s požadavky tzv. </w:t>
      </w:r>
      <w:hyperlink r:id="rId44" w:history="1">
        <w:r w:rsidRPr="00B945CF">
          <w:rPr>
            <w:rStyle w:val="Hypertextovodkaz"/>
            <w:rFonts w:ascii="Times New Roman" w:hAnsi="Times New Roman"/>
            <w:sz w:val="24"/>
            <w:szCs w:val="24"/>
          </w:rPr>
          <w:t>nového legislativního rámce</w:t>
        </w:r>
      </w:hyperlink>
      <w:r w:rsidRPr="00B945CF">
        <w:rPr>
          <w:rFonts w:ascii="Times New Roman" w:hAnsi="Times New Roman"/>
          <w:sz w:val="24"/>
          <w:szCs w:val="24"/>
        </w:rPr>
        <w:t xml:space="preserve"> a konverzi směrnice na nařízení. Vláda se v neposlední řadě staví do určité míry rezervovaně ke zmocnění Komise přijímat technické specifikace v případě neschopnosti evropských normalizačních agentur poskytnout normy, resp. poskytnout normy vyhovující žádostem o normalizaci. V případě zachování této alternativní cesty bude vláda při vyjednávání prosazovat jasné podmínky jejího využití, jakož i její omezení na výjimečné případy.</w:t>
      </w:r>
    </w:p>
    <w:p w:rsidR="00B945CF" w:rsidRPr="00B945CF" w:rsidRDefault="00B945CF" w:rsidP="00B945CF">
      <w:pPr>
        <w:pStyle w:val="Nadpis1"/>
        <w:rPr>
          <w:rFonts w:ascii="Times New Roman" w:hAnsi="Times New Roman"/>
          <w:szCs w:val="24"/>
        </w:rPr>
      </w:pPr>
      <w:bookmarkStart w:id="14" w:name="_Toc448302192"/>
      <w:bookmarkStart w:id="15" w:name="_Toc445380613"/>
      <w:r w:rsidRPr="00B945CF">
        <w:rPr>
          <w:rFonts w:ascii="Times New Roman" w:hAnsi="Times New Roman"/>
          <w:szCs w:val="24"/>
        </w:rPr>
        <w:t>Předpokládaný harmonogram projednávání v orgánech EU:</w:t>
      </w:r>
      <w:bookmarkEnd w:id="14"/>
      <w:bookmarkEnd w:id="15"/>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 xml:space="preserve">Návrhy aktu o umělé inteligenci i nařízení o strojních výrobcích jsou projednávány v rámci řádného legislativního postupu, na jejich znění se tedy musí shodnout Evropský parlament a Rada. Oba představují legislativní prioritu ve smyslu </w:t>
      </w:r>
      <w:hyperlink r:id="rId45" w:history="1">
        <w:r w:rsidRPr="00B945CF">
          <w:rPr>
            <w:rStyle w:val="Hypertextovodkaz"/>
            <w:rFonts w:ascii="Times New Roman" w:hAnsi="Times New Roman"/>
            <w:sz w:val="24"/>
            <w:szCs w:val="24"/>
          </w:rPr>
          <w:t>společného prohlášení</w:t>
        </w:r>
      </w:hyperlink>
      <w:r w:rsidRPr="00B945CF">
        <w:rPr>
          <w:rFonts w:ascii="Times New Roman" w:hAnsi="Times New Roman"/>
          <w:sz w:val="24"/>
          <w:szCs w:val="24"/>
        </w:rPr>
        <w:t xml:space="preserve"> Evropského parlamentu, Rady a Komise.</w:t>
      </w:r>
    </w:p>
    <w:p w:rsidR="00B945CF" w:rsidRPr="00B945CF" w:rsidRDefault="00B945CF" w:rsidP="00B945CF">
      <w:pPr>
        <w:spacing w:after="120"/>
        <w:jc w:val="both"/>
        <w:rPr>
          <w:rFonts w:ascii="Times New Roman" w:hAnsi="Times New Roman"/>
          <w:sz w:val="24"/>
          <w:szCs w:val="24"/>
        </w:rPr>
      </w:pPr>
      <w:r w:rsidRPr="00B945CF">
        <w:rPr>
          <w:rFonts w:ascii="Times New Roman" w:hAnsi="Times New Roman"/>
          <w:sz w:val="24"/>
          <w:szCs w:val="24"/>
        </w:rPr>
        <w:t xml:space="preserve">Za projednání aktu o umělé inteligenci je v Evropském parlamentu odpovědný výbor pro vnitřní trh a ochranu spotřebitele (IMCO). Na projednávání se mají dále podílet výbor pro životní prostředí, veřejné zdraví a potravinovou bezpečnost (ENVI), výbor pro průmysl, výzkum a energii (ITRE), výbor pro dopravu a turismus (TRAN), výbor pro právní záležitosti (JURI) a výbor pro občanské svobody, spravedlnost a vnitřní věci (LIBE). Jména zpravodajů zatím nejsou známa. Na půdorysu Rady se návrhem zabývají její přípravné orgány, návrh byl např. zařazen na program pracovní skupiny Rady pro telekomunikace a informační společnost </w:t>
      </w:r>
      <w:hyperlink r:id="rId46" w:history="1">
        <w:r w:rsidRPr="00B945CF">
          <w:rPr>
            <w:rStyle w:val="Hypertextovodkaz"/>
            <w:rFonts w:ascii="Times New Roman" w:hAnsi="Times New Roman"/>
            <w:sz w:val="24"/>
            <w:szCs w:val="24"/>
          </w:rPr>
          <w:t>dne 9. června 2021</w:t>
        </w:r>
      </w:hyperlink>
      <w:r w:rsidRPr="00B945CF">
        <w:rPr>
          <w:rFonts w:ascii="Times New Roman" w:hAnsi="Times New Roman"/>
          <w:sz w:val="24"/>
          <w:szCs w:val="24"/>
        </w:rPr>
        <w:t>.</w:t>
      </w:r>
    </w:p>
    <w:p w:rsidR="00B4108A" w:rsidRPr="00D822CD" w:rsidRDefault="00B945CF" w:rsidP="00D822CD">
      <w:pPr>
        <w:spacing w:after="0"/>
        <w:jc w:val="both"/>
        <w:rPr>
          <w:rFonts w:ascii="Times New Roman" w:hAnsi="Times New Roman"/>
          <w:sz w:val="24"/>
          <w:szCs w:val="24"/>
        </w:rPr>
      </w:pPr>
      <w:r w:rsidRPr="00B945CF">
        <w:rPr>
          <w:rFonts w:ascii="Times New Roman" w:hAnsi="Times New Roman"/>
          <w:sz w:val="24"/>
          <w:szCs w:val="24"/>
        </w:rPr>
        <w:lastRenderedPageBreak/>
        <w:t xml:space="preserve">Nařízení o strojních výrobních projednává v Evropském parlamentu výbor pro vnitřní trh a ochranu spotřebitele (IMCO), jeho zpravodajem je poslanec Ivan Štefanec za politickou skupinu EPP. Na půdorysu Rady se návrhem zabývají její přípravné orgány, zabývala se jím např. pracovní skupina Rady pro technickou harmonizaci </w:t>
      </w:r>
      <w:hyperlink r:id="rId47" w:history="1">
        <w:r w:rsidRPr="00B945CF">
          <w:rPr>
            <w:rStyle w:val="Hypertextovodkaz"/>
            <w:rFonts w:ascii="Times New Roman" w:hAnsi="Times New Roman"/>
            <w:sz w:val="24"/>
            <w:szCs w:val="24"/>
          </w:rPr>
          <w:t>dne 11. května 2021</w:t>
        </w:r>
      </w:hyperlink>
      <w:r w:rsidRPr="00B945CF">
        <w:rPr>
          <w:rFonts w:ascii="Times New Roman" w:hAnsi="Times New Roman"/>
          <w:sz w:val="24"/>
          <w:szCs w:val="24"/>
        </w:rPr>
        <w:t>.</w:t>
      </w:r>
    </w:p>
    <w:p w:rsidR="006D769E" w:rsidRDefault="006D769E" w:rsidP="006D769E">
      <w:pPr>
        <w:pStyle w:val="Odstavecseseznamem"/>
        <w:numPr>
          <w:ilvl w:val="0"/>
          <w:numId w:val="14"/>
        </w:numPr>
        <w:spacing w:before="240" w:after="0" w:line="240" w:lineRule="auto"/>
        <w:ind w:left="0"/>
        <w:outlineLvl w:val="0"/>
        <w:rPr>
          <w:rFonts w:ascii="Times New Roman" w:eastAsia="Times New Roman" w:hAnsi="Times New Roman"/>
          <w:b/>
          <w:sz w:val="24"/>
          <w:szCs w:val="20"/>
          <w:lang w:eastAsia="cs-CZ"/>
        </w:rPr>
      </w:pPr>
      <w:bookmarkStart w:id="16" w:name="_Toc448302193"/>
      <w:bookmarkStart w:id="17" w:name="_Toc445380614"/>
      <w:r>
        <w:rPr>
          <w:rFonts w:ascii="Times New Roman" w:eastAsia="Times New Roman" w:hAnsi="Times New Roman"/>
          <w:b/>
          <w:sz w:val="24"/>
          <w:szCs w:val="20"/>
          <w:lang w:eastAsia="cs-CZ"/>
        </w:rPr>
        <w:t>Závěr:</w:t>
      </w:r>
      <w:bookmarkEnd w:id="16"/>
      <w:bookmarkEnd w:id="17"/>
      <w:r>
        <w:rPr>
          <w:rFonts w:ascii="Times New Roman" w:eastAsia="Times New Roman" w:hAnsi="Times New Roman"/>
          <w:b/>
          <w:sz w:val="24"/>
          <w:szCs w:val="20"/>
          <w:lang w:eastAsia="cs-CZ"/>
        </w:rPr>
        <w:t xml:space="preserve"> </w:t>
      </w:r>
    </w:p>
    <w:p w:rsidR="006D769E" w:rsidRDefault="006D769E" w:rsidP="006D769E">
      <w:pPr>
        <w:spacing w:after="0" w:line="240" w:lineRule="auto"/>
        <w:jc w:val="both"/>
        <w:rPr>
          <w:rFonts w:ascii="Times New Roman" w:hAnsi="Times New Roman"/>
          <w:sz w:val="24"/>
        </w:rPr>
      </w:pPr>
    </w:p>
    <w:p w:rsidR="006D769E" w:rsidRDefault="006D769E" w:rsidP="006D769E">
      <w:pPr>
        <w:spacing w:after="0" w:line="240" w:lineRule="auto"/>
        <w:rPr>
          <w:rFonts w:ascii="Times New Roman" w:eastAsia="Times New Roman" w:hAnsi="Times New Roman"/>
          <w:iCs/>
          <w:sz w:val="24"/>
          <w:szCs w:val="20"/>
          <w:lang w:eastAsia="cs-CZ"/>
        </w:rPr>
      </w:pPr>
      <w:r>
        <w:rPr>
          <w:rFonts w:ascii="Times New Roman" w:eastAsia="Times New Roman" w:hAnsi="Times New Roman"/>
          <w:iCs/>
          <w:sz w:val="24"/>
          <w:szCs w:val="20"/>
          <w:lang w:eastAsia="cs-CZ"/>
        </w:rPr>
        <w:t>Výbor pro evropské záležitosti</w:t>
      </w:r>
    </w:p>
    <w:p w:rsidR="006D769E" w:rsidRDefault="006D769E" w:rsidP="006D769E">
      <w:pPr>
        <w:spacing w:after="0" w:line="240" w:lineRule="auto"/>
        <w:rPr>
          <w:rFonts w:ascii="Times New Roman" w:eastAsia="Times New Roman" w:hAnsi="Times New Roman"/>
          <w:i/>
          <w:iCs/>
          <w:sz w:val="24"/>
          <w:szCs w:val="20"/>
          <w:lang w:eastAsia="cs-CZ"/>
        </w:rPr>
      </w:pPr>
    </w:p>
    <w:p w:rsidR="00F52386" w:rsidRPr="00F52386" w:rsidRDefault="00F52386" w:rsidP="00F52386">
      <w:pPr>
        <w:pStyle w:val="Normlnweb"/>
        <w:numPr>
          <w:ilvl w:val="0"/>
          <w:numId w:val="24"/>
        </w:numPr>
        <w:spacing w:before="0" w:beforeAutospacing="0"/>
        <w:jc w:val="both"/>
        <w:rPr>
          <w:color w:val="000000"/>
        </w:rPr>
      </w:pPr>
      <w:r w:rsidRPr="00F52386">
        <w:rPr>
          <w:b/>
          <w:bCs/>
          <w:color w:val="000000"/>
          <w:spacing w:val="60"/>
        </w:rPr>
        <w:t>souhlasí</w:t>
      </w:r>
      <w:r w:rsidRPr="00F52386">
        <w:rPr>
          <w:color w:val="000000"/>
        </w:rPr>
        <w:t xml:space="preserve"> se sdělením Komise Evropskému parlamentu, Radě, Evropskému hospodářskému a sociálnímu výboru a Výboru regionů – Podpora evropského přístupu k umělé inteligenci /kód Rady 8334/21, KOM(2021) 205 v konečném znění/,  návrhem nařízení Evropského parlamentu a Rady, kterým se stanoví harmonizovaná pravidla pro umělou inteligenci (akt o u</w:t>
      </w:r>
      <w:r>
        <w:rPr>
          <w:color w:val="000000"/>
        </w:rPr>
        <w:t>mělé inteligenci) a mění určité</w:t>
      </w:r>
      <w:r w:rsidRPr="00F52386">
        <w:rPr>
          <w:color w:val="000000"/>
        </w:rPr>
        <w:t xml:space="preserve"> legislativní akty Unie /kód Rady 8115/21, KOM(2021) 206 v konečném znění/ a návrhem nařízení Evropského parlamentu a Rady o strojních výrobcích /kód Rady 8095/21, KOM(2021) 202 v konečném znění/</w:t>
      </w:r>
      <w:r>
        <w:rPr>
          <w:color w:val="000000"/>
        </w:rPr>
        <w:t>;</w:t>
      </w:r>
    </w:p>
    <w:p w:rsidR="00F52386" w:rsidRPr="00F52386" w:rsidRDefault="00F52386" w:rsidP="00F52386">
      <w:pPr>
        <w:pStyle w:val="Odstavecseseznamem"/>
        <w:numPr>
          <w:ilvl w:val="0"/>
          <w:numId w:val="24"/>
        </w:numPr>
        <w:spacing w:after="119" w:line="240" w:lineRule="auto"/>
        <w:rPr>
          <w:rFonts w:ascii="Times New Roman" w:hAnsi="Times New Roman"/>
          <w:sz w:val="24"/>
          <w:szCs w:val="24"/>
        </w:rPr>
      </w:pPr>
      <w:r w:rsidRPr="00F52386">
        <w:rPr>
          <w:rFonts w:ascii="Times New Roman" w:hAnsi="Times New Roman"/>
          <w:b/>
          <w:bCs/>
          <w:color w:val="000000"/>
          <w:spacing w:val="60"/>
          <w:sz w:val="24"/>
          <w:szCs w:val="24"/>
        </w:rPr>
        <w:t>souhlasí</w:t>
      </w:r>
      <w:r w:rsidRPr="00F52386">
        <w:rPr>
          <w:rFonts w:ascii="Times New Roman" w:hAnsi="Times New Roman"/>
          <w:color w:val="000000"/>
          <w:sz w:val="24"/>
          <w:szCs w:val="24"/>
        </w:rPr>
        <w:t xml:space="preserve"> s rámcovou pozicí vlády</w:t>
      </w:r>
      <w:r w:rsidR="006D00E8">
        <w:rPr>
          <w:rFonts w:ascii="Times New Roman" w:hAnsi="Times New Roman"/>
          <w:color w:val="000000"/>
          <w:sz w:val="24"/>
          <w:szCs w:val="24"/>
        </w:rPr>
        <w:t>;</w:t>
      </w:r>
    </w:p>
    <w:p w:rsidR="00F52386" w:rsidRPr="00F52386" w:rsidRDefault="00F52386" w:rsidP="00F52386">
      <w:pPr>
        <w:pStyle w:val="Normlnweb"/>
        <w:numPr>
          <w:ilvl w:val="0"/>
          <w:numId w:val="24"/>
        </w:numPr>
        <w:spacing w:before="0" w:beforeAutospacing="0"/>
        <w:jc w:val="both"/>
        <w:rPr>
          <w:color w:val="000000"/>
        </w:rPr>
      </w:pPr>
      <w:r w:rsidRPr="00F52386">
        <w:rPr>
          <w:b/>
          <w:bCs/>
          <w:color w:val="000000"/>
          <w:spacing w:val="60"/>
        </w:rPr>
        <w:t>upozorňuje</w:t>
      </w:r>
      <w:r w:rsidRPr="00F52386">
        <w:rPr>
          <w:color w:val="000000"/>
        </w:rPr>
        <w:t>, že návrhy neřeší oblast „mass corporate surveillance“, kdy soukromé firmy mohou skladovat množství dat, díky kterým si</w:t>
      </w:r>
      <w:r w:rsidRPr="00F52386">
        <w:t xml:space="preserve"> mohou vytvářet v extrémním případě i v</w:t>
      </w:r>
      <w:r w:rsidR="006D00E8">
        <w:t>lastní „corporate credit score“;</w:t>
      </w:r>
    </w:p>
    <w:p w:rsidR="00F52386" w:rsidRPr="00F52386" w:rsidRDefault="00F52386" w:rsidP="00F52386">
      <w:pPr>
        <w:pStyle w:val="Normlnweb"/>
        <w:numPr>
          <w:ilvl w:val="0"/>
          <w:numId w:val="24"/>
        </w:numPr>
        <w:spacing w:before="0" w:beforeAutospacing="0"/>
        <w:jc w:val="both"/>
        <w:rPr>
          <w:color w:val="000000"/>
        </w:rPr>
      </w:pPr>
      <w:r w:rsidRPr="00F52386">
        <w:rPr>
          <w:b/>
          <w:bCs/>
          <w:color w:val="000000"/>
          <w:spacing w:val="60"/>
        </w:rPr>
        <w:t>upozorňuje</w:t>
      </w:r>
      <w:r w:rsidRPr="00F52386">
        <w:rPr>
          <w:color w:val="000000"/>
        </w:rPr>
        <w:t xml:space="preserve"> na možnost zneužití sledovacích technolo</w:t>
      </w:r>
      <w:r w:rsidR="006D00E8">
        <w:rPr>
          <w:color w:val="000000"/>
        </w:rPr>
        <w:t>gií ze stran státních institucí;</w:t>
      </w:r>
    </w:p>
    <w:p w:rsidR="00F52386" w:rsidRPr="00F52386" w:rsidRDefault="00F52386" w:rsidP="00F52386">
      <w:pPr>
        <w:pStyle w:val="Normlnweb"/>
        <w:numPr>
          <w:ilvl w:val="0"/>
          <w:numId w:val="24"/>
        </w:numPr>
        <w:spacing w:before="0" w:beforeAutospacing="0"/>
        <w:jc w:val="both"/>
        <w:rPr>
          <w:color w:val="000000"/>
        </w:rPr>
      </w:pPr>
      <w:r w:rsidRPr="00F52386">
        <w:rPr>
          <w:b/>
          <w:bCs/>
          <w:color w:val="000000"/>
          <w:spacing w:val="60"/>
        </w:rPr>
        <w:t>podporuje</w:t>
      </w:r>
      <w:r w:rsidRPr="00F52386">
        <w:rPr>
          <w:color w:val="000000"/>
        </w:rPr>
        <w:t xml:space="preserve"> nastavení objektivní odpovědnosti za škodu způsobenou UI s důkazním břemenem na provozovateli, který by měl být obligatorně</w:t>
      </w:r>
      <w:r w:rsidR="006D00E8">
        <w:rPr>
          <w:color w:val="000000"/>
        </w:rPr>
        <w:t xml:space="preserve"> pojištěn proti odpovědnosti;</w:t>
      </w:r>
    </w:p>
    <w:p w:rsidR="00F52386" w:rsidRPr="00F52386" w:rsidRDefault="00F52386" w:rsidP="00F52386">
      <w:pPr>
        <w:pStyle w:val="Normlnweb"/>
        <w:numPr>
          <w:ilvl w:val="0"/>
          <w:numId w:val="24"/>
        </w:numPr>
        <w:spacing w:before="0" w:beforeAutospacing="0"/>
        <w:jc w:val="both"/>
        <w:rPr>
          <w:color w:val="000000"/>
        </w:rPr>
      </w:pPr>
      <w:r w:rsidRPr="00F52386">
        <w:rPr>
          <w:b/>
          <w:bCs/>
          <w:color w:val="000000"/>
          <w:spacing w:val="60"/>
        </w:rPr>
        <w:t>vítá</w:t>
      </w:r>
      <w:r w:rsidRPr="00F52386">
        <w:rPr>
          <w:color w:val="000000"/>
        </w:rPr>
        <w:t>, že Komise požaduje důkladnější přezkumy v případ</w:t>
      </w:r>
      <w:r w:rsidR="006D00E8">
        <w:rPr>
          <w:color w:val="000000"/>
        </w:rPr>
        <w:t>ě vysoce rizikových technologií;</w:t>
      </w:r>
    </w:p>
    <w:p w:rsidR="00F52386" w:rsidRPr="00F52386" w:rsidRDefault="00F52386" w:rsidP="00F52386">
      <w:pPr>
        <w:pStyle w:val="Normlnweb"/>
        <w:numPr>
          <w:ilvl w:val="0"/>
          <w:numId w:val="24"/>
        </w:numPr>
        <w:spacing w:before="0" w:beforeAutospacing="0"/>
        <w:jc w:val="both"/>
        <w:rPr>
          <w:color w:val="000000"/>
        </w:rPr>
      </w:pPr>
      <w:r w:rsidRPr="00F52386">
        <w:rPr>
          <w:b/>
          <w:bCs/>
          <w:color w:val="000000"/>
          <w:spacing w:val="60"/>
        </w:rPr>
        <w:t>doporučuje</w:t>
      </w:r>
      <w:r w:rsidRPr="00F52386">
        <w:rPr>
          <w:color w:val="000000"/>
        </w:rPr>
        <w:t>, aby posouzení rizik u technologií se závažným dopadem pro lidský život (např. přihlášky do škol,</w:t>
      </w:r>
      <w:r w:rsidR="006D00E8">
        <w:rPr>
          <w:color w:val="000000"/>
        </w:rPr>
        <w:t xml:space="preserve"> způsobilost pro sociální dávky</w:t>
      </w:r>
      <w:r w:rsidRPr="00F52386">
        <w:rPr>
          <w:color w:val="000000"/>
        </w:rPr>
        <w:t>…) bylo prováděno třetí str</w:t>
      </w:r>
      <w:r w:rsidR="006D00E8">
        <w:rPr>
          <w:color w:val="000000"/>
        </w:rPr>
        <w:t>anou, nikoliv samotnými výrobci;</w:t>
      </w:r>
    </w:p>
    <w:p w:rsidR="00F52386" w:rsidRPr="00F52386" w:rsidRDefault="00F52386" w:rsidP="00F52386">
      <w:pPr>
        <w:pStyle w:val="Normlnweb"/>
        <w:numPr>
          <w:ilvl w:val="0"/>
          <w:numId w:val="24"/>
        </w:numPr>
        <w:spacing w:before="0" w:beforeAutospacing="0"/>
        <w:jc w:val="both"/>
        <w:rPr>
          <w:color w:val="000000"/>
        </w:rPr>
      </w:pPr>
      <w:r w:rsidRPr="00F52386">
        <w:rPr>
          <w:b/>
          <w:bCs/>
          <w:color w:val="000000"/>
          <w:spacing w:val="60"/>
        </w:rPr>
        <w:t>připomíná</w:t>
      </w:r>
      <w:r w:rsidRPr="00F52386">
        <w:rPr>
          <w:color w:val="000000"/>
        </w:rPr>
        <w:t xml:space="preserve"> svá usnesení č. 118, 202 a 310 z 8. volebního období, zejména ochranu osobnosti občanů, potřebu dodržovat lidská práva i etické standardy, problematiku odpovědnosti za použití UI i nebezpečí diskriminace či možné problémy personalizace ve vzdělávání a potřebu zveřejňovat trénovací data pro UI algoritmy používané ve veřejne</w:t>
      </w:r>
      <w:r w:rsidR="006D00E8">
        <w:rPr>
          <w:color w:val="000000"/>
        </w:rPr>
        <w:t>́m sektoru jako otevřená data;</w:t>
      </w:r>
    </w:p>
    <w:p w:rsidR="00D822CD" w:rsidRPr="000B08AC" w:rsidRDefault="00F52386" w:rsidP="000B08AC">
      <w:pPr>
        <w:pStyle w:val="Normlnweb"/>
        <w:numPr>
          <w:ilvl w:val="0"/>
          <w:numId w:val="24"/>
        </w:numPr>
        <w:spacing w:before="0" w:beforeAutospacing="0"/>
        <w:jc w:val="both"/>
        <w:rPr>
          <w:color w:val="000000"/>
        </w:rPr>
      </w:pPr>
      <w:r w:rsidRPr="00F52386">
        <w:rPr>
          <w:b/>
          <w:bCs/>
          <w:color w:val="000000"/>
          <w:spacing w:val="60"/>
        </w:rPr>
        <w:t>pověřuje</w:t>
      </w:r>
      <w:r w:rsidR="006D00E8">
        <w:rPr>
          <w:color w:val="000000"/>
        </w:rPr>
        <w:t xml:space="preserve"> předsedu v</w:t>
      </w:r>
      <w:r w:rsidRPr="00F52386">
        <w:rPr>
          <w:color w:val="000000"/>
        </w:rPr>
        <w:t>ýboru pro evropské záležitosti, aby v rámci politického dialogu po</w:t>
      </w:r>
      <w:r w:rsidR="006D00E8">
        <w:rPr>
          <w:color w:val="000000"/>
        </w:rPr>
        <w:t>stoupil toto usnesení předsedkyni</w:t>
      </w:r>
      <w:r w:rsidRPr="00F52386">
        <w:rPr>
          <w:color w:val="000000"/>
        </w:rPr>
        <w:t xml:space="preserve"> Evropské komise.</w:t>
      </w:r>
    </w:p>
    <w:p w:rsidR="00D822CD" w:rsidRPr="00106842" w:rsidRDefault="00D822CD" w:rsidP="00D822CD">
      <w:pPr>
        <w:keepNext/>
        <w:tabs>
          <w:tab w:val="center" w:pos="1701"/>
          <w:tab w:val="center" w:pos="4536"/>
          <w:tab w:val="center" w:pos="7371"/>
        </w:tabs>
        <w:spacing w:before="1000" w:after="0" w:line="240" w:lineRule="auto"/>
        <w:rPr>
          <w:rFonts w:ascii="Times New Roman" w:hAnsi="Times New Roman"/>
          <w:sz w:val="24"/>
        </w:rPr>
      </w:pPr>
      <w:r w:rsidRPr="00106842">
        <w:rPr>
          <w:rFonts w:ascii="Times New Roman" w:hAnsi="Times New Roman"/>
          <w:sz w:val="24"/>
        </w:rPr>
        <w:tab/>
      </w:r>
      <w:r w:rsidR="001620D1">
        <w:rPr>
          <w:rFonts w:ascii="Times New Roman" w:hAnsi="Times New Roman"/>
          <w:sz w:val="24"/>
        </w:rPr>
        <w:t>Jan Farský</w:t>
      </w:r>
      <w:r w:rsidRPr="00106842">
        <w:rPr>
          <w:rFonts w:ascii="Times New Roman" w:hAnsi="Times New Roman"/>
          <w:sz w:val="24"/>
        </w:rPr>
        <w:t xml:space="preserve"> </w:t>
      </w:r>
      <w:r w:rsidR="00ED70E5">
        <w:rPr>
          <w:rFonts w:ascii="Times New Roman" w:hAnsi="Times New Roman"/>
          <w:sz w:val="24"/>
        </w:rPr>
        <w:t>v. r.</w:t>
      </w:r>
      <w:r>
        <w:rPr>
          <w:rFonts w:ascii="Times New Roman" w:hAnsi="Times New Roman"/>
          <w:sz w:val="24"/>
        </w:rPr>
        <w:tab/>
      </w:r>
      <w:r>
        <w:rPr>
          <w:rFonts w:ascii="Times New Roman" w:hAnsi="Times New Roman"/>
          <w:sz w:val="24"/>
        </w:rPr>
        <w:tab/>
        <w:t xml:space="preserve">František Kopřiva </w:t>
      </w:r>
      <w:r w:rsidR="00ED70E5">
        <w:rPr>
          <w:rFonts w:ascii="Times New Roman" w:hAnsi="Times New Roman"/>
          <w:sz w:val="24"/>
        </w:rPr>
        <w:t>v. r.</w:t>
      </w:r>
    </w:p>
    <w:p w:rsidR="00D822CD" w:rsidRPr="00106842" w:rsidRDefault="00D822CD" w:rsidP="00D822CD">
      <w:pPr>
        <w:keepNext/>
        <w:tabs>
          <w:tab w:val="center" w:pos="1701"/>
          <w:tab w:val="center" w:pos="4536"/>
          <w:tab w:val="center" w:pos="7371"/>
        </w:tabs>
        <w:spacing w:after="0" w:line="240" w:lineRule="auto"/>
        <w:rPr>
          <w:rFonts w:ascii="Times New Roman" w:hAnsi="Times New Roman"/>
          <w:sz w:val="24"/>
        </w:rPr>
      </w:pPr>
      <w:r w:rsidRPr="00106842">
        <w:rPr>
          <w:rFonts w:ascii="Times New Roman" w:hAnsi="Times New Roman"/>
          <w:sz w:val="24"/>
        </w:rPr>
        <w:tab/>
      </w:r>
      <w:r>
        <w:rPr>
          <w:rFonts w:ascii="Times New Roman" w:hAnsi="Times New Roman"/>
          <w:sz w:val="24"/>
        </w:rPr>
        <w:t>o</w:t>
      </w:r>
      <w:r w:rsidRPr="00106842">
        <w:rPr>
          <w:rFonts w:ascii="Times New Roman" w:hAnsi="Times New Roman"/>
          <w:sz w:val="24"/>
        </w:rPr>
        <w:t>věřovatel</w:t>
      </w:r>
      <w:r w:rsidRPr="00106842">
        <w:rPr>
          <w:rFonts w:ascii="Times New Roman" w:hAnsi="Times New Roman"/>
          <w:sz w:val="24"/>
        </w:rPr>
        <w:tab/>
      </w:r>
      <w:r w:rsidRPr="00106842">
        <w:rPr>
          <w:rFonts w:ascii="Times New Roman" w:hAnsi="Times New Roman"/>
          <w:sz w:val="24"/>
        </w:rPr>
        <w:tab/>
        <w:t>zpravodaj</w:t>
      </w:r>
    </w:p>
    <w:p w:rsidR="00D822CD" w:rsidRPr="00254049" w:rsidRDefault="00D822CD" w:rsidP="00D822CD">
      <w:pPr>
        <w:tabs>
          <w:tab w:val="center" w:pos="1701"/>
          <w:tab w:val="center" w:pos="4536"/>
          <w:tab w:val="center" w:pos="7371"/>
        </w:tabs>
        <w:spacing w:before="1000" w:after="0" w:line="240" w:lineRule="auto"/>
        <w:rPr>
          <w:rFonts w:ascii="Times New Roman" w:hAnsi="Times New Roman"/>
          <w:caps/>
          <w:sz w:val="24"/>
        </w:rPr>
      </w:pPr>
      <w:r w:rsidRPr="00106842">
        <w:rPr>
          <w:rFonts w:ascii="Times New Roman" w:hAnsi="Times New Roman"/>
          <w:sz w:val="24"/>
        </w:rPr>
        <w:tab/>
      </w:r>
      <w:r w:rsidRPr="00106842">
        <w:rPr>
          <w:rFonts w:ascii="Times New Roman" w:hAnsi="Times New Roman"/>
          <w:sz w:val="24"/>
        </w:rPr>
        <w:tab/>
      </w:r>
      <w:r>
        <w:rPr>
          <w:rFonts w:ascii="Times New Roman" w:hAnsi="Times New Roman"/>
          <w:sz w:val="24"/>
        </w:rPr>
        <w:t>Ondřej Benešík</w:t>
      </w:r>
      <w:r w:rsidRPr="00106842">
        <w:rPr>
          <w:rFonts w:ascii="Times New Roman" w:hAnsi="Times New Roman"/>
          <w:sz w:val="24"/>
        </w:rPr>
        <w:t xml:space="preserve"> </w:t>
      </w:r>
      <w:r w:rsidR="00ED70E5">
        <w:rPr>
          <w:rFonts w:ascii="Times New Roman" w:hAnsi="Times New Roman"/>
          <w:sz w:val="24"/>
        </w:rPr>
        <w:t>v. r.</w:t>
      </w:r>
    </w:p>
    <w:p w:rsidR="00D822CD" w:rsidRDefault="00D822CD" w:rsidP="00D822CD">
      <w:pPr>
        <w:tabs>
          <w:tab w:val="center" w:pos="1701"/>
          <w:tab w:val="center" w:pos="4536"/>
          <w:tab w:val="center" w:pos="7371"/>
        </w:tabs>
        <w:spacing w:after="0" w:line="240" w:lineRule="auto"/>
        <w:rPr>
          <w:rFonts w:ascii="Times New Roman" w:hAnsi="Times New Roman"/>
          <w:sz w:val="24"/>
        </w:rPr>
      </w:pPr>
      <w:r w:rsidRPr="00106842">
        <w:rPr>
          <w:rFonts w:ascii="Times New Roman" w:hAnsi="Times New Roman"/>
          <w:sz w:val="24"/>
        </w:rPr>
        <w:tab/>
      </w:r>
      <w:r w:rsidRPr="00106842">
        <w:rPr>
          <w:rFonts w:ascii="Times New Roman" w:hAnsi="Times New Roman"/>
          <w:sz w:val="24"/>
        </w:rPr>
        <w:tab/>
      </w:r>
      <w:r>
        <w:rPr>
          <w:rFonts w:ascii="Times New Roman" w:hAnsi="Times New Roman"/>
          <w:sz w:val="24"/>
        </w:rPr>
        <w:t>p</w:t>
      </w:r>
      <w:r w:rsidRPr="00106842">
        <w:rPr>
          <w:rFonts w:ascii="Times New Roman" w:hAnsi="Times New Roman"/>
          <w:sz w:val="24"/>
        </w:rPr>
        <w:t>ředseda</w:t>
      </w:r>
    </w:p>
    <w:p w:rsidR="00D822CD" w:rsidRDefault="00D822CD" w:rsidP="00D822CD">
      <w:pPr>
        <w:keepNext/>
        <w:keepLines/>
        <w:suppressAutoHyphens/>
        <w:autoSpaceDN w:val="0"/>
        <w:spacing w:line="252" w:lineRule="auto"/>
        <w:jc w:val="both"/>
        <w:textAlignment w:val="baseline"/>
        <w:rPr>
          <w:rFonts w:ascii="Times New Roman" w:hAnsi="Times New Roman"/>
          <w:sz w:val="24"/>
        </w:rPr>
      </w:pPr>
    </w:p>
    <w:sectPr w:rsidR="00D822CD" w:rsidSect="00563B5A">
      <w:pgSz w:w="11906" w:h="16838"/>
      <w:pgMar w:top="1134"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B5A" w:rsidRDefault="00563B5A" w:rsidP="00563B5A">
      <w:pPr>
        <w:spacing w:after="0" w:line="240" w:lineRule="auto"/>
      </w:pPr>
      <w:r>
        <w:separator/>
      </w:r>
    </w:p>
  </w:endnote>
  <w:endnote w:type="continuationSeparator" w:id="0">
    <w:p w:rsidR="00563B5A" w:rsidRDefault="00563B5A" w:rsidP="0056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652567428"/>
      <w:docPartObj>
        <w:docPartGallery w:val="Page Numbers (Bottom of Page)"/>
        <w:docPartUnique/>
      </w:docPartObj>
    </w:sdtPr>
    <w:sdtEndPr/>
    <w:sdtContent>
      <w:p w:rsidR="00563B5A" w:rsidRPr="00563B5A" w:rsidRDefault="00563B5A">
        <w:pPr>
          <w:pStyle w:val="Zpat"/>
          <w:jc w:val="center"/>
          <w:rPr>
            <w:rFonts w:ascii="Times New Roman" w:hAnsi="Times New Roman"/>
            <w:sz w:val="24"/>
            <w:szCs w:val="24"/>
          </w:rPr>
        </w:pPr>
        <w:r w:rsidRPr="00563B5A">
          <w:rPr>
            <w:rFonts w:ascii="Times New Roman" w:hAnsi="Times New Roman"/>
            <w:sz w:val="24"/>
            <w:szCs w:val="24"/>
          </w:rPr>
          <w:fldChar w:fldCharType="begin"/>
        </w:r>
        <w:r w:rsidRPr="00563B5A">
          <w:rPr>
            <w:rFonts w:ascii="Times New Roman" w:hAnsi="Times New Roman"/>
            <w:sz w:val="24"/>
            <w:szCs w:val="24"/>
          </w:rPr>
          <w:instrText>PAGE   \* MERGEFORMAT</w:instrText>
        </w:r>
        <w:r w:rsidRPr="00563B5A">
          <w:rPr>
            <w:rFonts w:ascii="Times New Roman" w:hAnsi="Times New Roman"/>
            <w:sz w:val="24"/>
            <w:szCs w:val="24"/>
          </w:rPr>
          <w:fldChar w:fldCharType="separate"/>
        </w:r>
        <w:r w:rsidR="00ED70E5">
          <w:rPr>
            <w:rFonts w:ascii="Times New Roman" w:hAnsi="Times New Roman"/>
            <w:noProof/>
            <w:sz w:val="24"/>
            <w:szCs w:val="24"/>
          </w:rPr>
          <w:t>1</w:t>
        </w:r>
        <w:r w:rsidRPr="00563B5A">
          <w:rPr>
            <w:rFonts w:ascii="Times New Roman" w:hAnsi="Times New Roman"/>
            <w:sz w:val="24"/>
            <w:szCs w:val="24"/>
          </w:rPr>
          <w:fldChar w:fldCharType="end"/>
        </w:r>
      </w:p>
    </w:sdtContent>
  </w:sdt>
  <w:p w:rsidR="00563B5A" w:rsidRDefault="00563B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B5A" w:rsidRDefault="00563B5A" w:rsidP="00563B5A">
      <w:pPr>
        <w:spacing w:after="0" w:line="240" w:lineRule="auto"/>
      </w:pPr>
      <w:r>
        <w:separator/>
      </w:r>
    </w:p>
  </w:footnote>
  <w:footnote w:type="continuationSeparator" w:id="0">
    <w:p w:rsidR="00563B5A" w:rsidRDefault="00563B5A" w:rsidP="00563B5A">
      <w:pPr>
        <w:spacing w:after="0" w:line="240" w:lineRule="auto"/>
      </w:pPr>
      <w:r>
        <w:continuationSeparator/>
      </w:r>
    </w:p>
  </w:footnote>
  <w:footnote w:id="1">
    <w:p w:rsidR="00B945CF" w:rsidRPr="00D822CD" w:rsidRDefault="00B945CF" w:rsidP="00B945CF">
      <w:pPr>
        <w:pStyle w:val="Textpoznpodarou"/>
        <w:rPr>
          <w:rFonts w:ascii="Times New Roman" w:hAnsi="Times New Roman"/>
        </w:rPr>
      </w:pPr>
      <w:r w:rsidRPr="00D822CD">
        <w:rPr>
          <w:rStyle w:val="Znakapoznpodarou"/>
          <w:rFonts w:ascii="Times New Roman" w:hAnsi="Times New Roman"/>
        </w:rPr>
        <w:footnoteRef/>
      </w:r>
      <w:r w:rsidRPr="00D822CD">
        <w:rPr>
          <w:rFonts w:ascii="Times New Roman" w:hAnsi="Times New Roman"/>
        </w:rPr>
        <w:t xml:space="preserve"> Sdělení Komise ze dne 25. dubna 2018, Umělá inteligence pro Evropu, COM(2018) 237 final.</w:t>
      </w:r>
    </w:p>
  </w:footnote>
  <w:footnote w:id="2">
    <w:p w:rsidR="00B945CF" w:rsidRPr="00D822CD" w:rsidRDefault="00B945CF" w:rsidP="00B945CF">
      <w:pPr>
        <w:pStyle w:val="Textpoznpodarou"/>
        <w:rPr>
          <w:rFonts w:ascii="Times New Roman" w:hAnsi="Times New Roman"/>
        </w:rPr>
      </w:pPr>
      <w:r w:rsidRPr="00D822CD">
        <w:rPr>
          <w:rStyle w:val="Znakapoznpodarou"/>
          <w:rFonts w:ascii="Times New Roman" w:hAnsi="Times New Roman"/>
        </w:rPr>
        <w:footnoteRef/>
      </w:r>
      <w:r w:rsidRPr="00D822CD">
        <w:rPr>
          <w:rFonts w:ascii="Times New Roman" w:hAnsi="Times New Roman"/>
        </w:rPr>
        <w:t xml:space="preserve"> Jedná se pouze o orientační překlad anglické jazykové verze návrhu čl. 3 odst. 1 aktu o umělé inteligenci.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8225F2"/>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61FA405E"/>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3208CFE2"/>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6BA8939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757C99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602C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3ACC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0E82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4BEA8"/>
    <w:lvl w:ilvl="0">
      <w:start w:val="1"/>
      <w:numFmt w:val="upperRoman"/>
      <w:pStyle w:val="slovanseznam"/>
      <w:lvlText w:val="%1."/>
      <w:lvlJc w:val="left"/>
      <w:pPr>
        <w:ind w:left="360" w:hanging="360"/>
      </w:pPr>
      <w:rPr>
        <w:rFonts w:hint="default"/>
      </w:rPr>
    </w:lvl>
  </w:abstractNum>
  <w:abstractNum w:abstractNumId="9" w15:restartNumberingAfterBreak="0">
    <w:nsid w:val="FFFFFF89"/>
    <w:multiLevelType w:val="singleLevel"/>
    <w:tmpl w:val="1F2AE5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14B8C"/>
    <w:multiLevelType w:val="hybridMultilevel"/>
    <w:tmpl w:val="146CBBA6"/>
    <w:lvl w:ilvl="0" w:tplc="A7DC4C58">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F658F2"/>
    <w:multiLevelType w:val="hybridMultilevel"/>
    <w:tmpl w:val="9D601508"/>
    <w:lvl w:ilvl="0" w:tplc="A7DC4C58">
      <w:start w:val="1"/>
      <w:numFmt w:val="upperRoman"/>
      <w:lvlText w:val="%1."/>
      <w:lvlJc w:val="left"/>
      <w:pPr>
        <w:ind w:left="717" w:hanging="360"/>
      </w:pPr>
      <w:rPr>
        <w:rFonts w:hint="default"/>
      </w:r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15:restartNumberingAfterBreak="0">
    <w:nsid w:val="316A5FF0"/>
    <w:multiLevelType w:val="hybridMultilevel"/>
    <w:tmpl w:val="A43ADBCA"/>
    <w:lvl w:ilvl="0" w:tplc="5A0CF2E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15:restartNumberingAfterBreak="0">
    <w:nsid w:val="322A3AC6"/>
    <w:multiLevelType w:val="hybridMultilevel"/>
    <w:tmpl w:val="A80084B4"/>
    <w:lvl w:ilvl="0" w:tplc="04050003">
      <w:start w:val="1"/>
      <w:numFmt w:val="bullet"/>
      <w:lvlText w:val="o"/>
      <w:lvlJc w:val="left"/>
      <w:pPr>
        <w:ind w:left="644" w:hanging="360"/>
      </w:pPr>
      <w:rPr>
        <w:rFonts w:ascii="Courier New" w:hAnsi="Courier New" w:cs="Courier New" w:hint="default"/>
      </w:rPr>
    </w:lvl>
    <w:lvl w:ilvl="1" w:tplc="04050005">
      <w:start w:val="1"/>
      <w:numFmt w:val="bullet"/>
      <w:lvlText w:val=""/>
      <w:lvlJc w:val="left"/>
      <w:pPr>
        <w:ind w:left="1070" w:hanging="360"/>
      </w:pPr>
      <w:rPr>
        <w:rFonts w:ascii="Wingdings" w:hAnsi="Wingdings"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14" w15:restartNumberingAfterBreak="0">
    <w:nsid w:val="3B4E6877"/>
    <w:multiLevelType w:val="hybridMultilevel"/>
    <w:tmpl w:val="7C74D018"/>
    <w:lvl w:ilvl="0" w:tplc="AAB6B2BC">
      <w:start w:val="1"/>
      <w:numFmt w:val="upperRoman"/>
      <w:pStyle w:val="PS-slovanseznam"/>
      <w:lvlText w:val="%1."/>
      <w:lvlJc w:val="left"/>
      <w:pPr>
        <w:ind w:left="4046" w:hanging="360"/>
      </w:pPr>
      <w:rPr>
        <w:rFonts w:hint="default"/>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15" w15:restartNumberingAfterBreak="0">
    <w:nsid w:val="452C60E0"/>
    <w:multiLevelType w:val="hybridMultilevel"/>
    <w:tmpl w:val="7688DAD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6" w15:restartNumberingAfterBreak="0">
    <w:nsid w:val="4AB431D6"/>
    <w:multiLevelType w:val="hybridMultilevel"/>
    <w:tmpl w:val="842A9E2A"/>
    <w:lvl w:ilvl="0" w:tplc="2032779C">
      <w:start w:val="1"/>
      <w:numFmt w:val="bullet"/>
      <w:pStyle w:val="Nadpis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4E3F04DD"/>
    <w:multiLevelType w:val="hybridMultilevel"/>
    <w:tmpl w:val="22B84C6A"/>
    <w:lvl w:ilvl="0" w:tplc="EFEE226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512E1CF6"/>
    <w:multiLevelType w:val="hybridMultilevel"/>
    <w:tmpl w:val="08CAAAEC"/>
    <w:lvl w:ilvl="0" w:tplc="DEAAD9C2">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EF03298"/>
    <w:multiLevelType w:val="hybridMultilevel"/>
    <w:tmpl w:val="70CA7AEA"/>
    <w:lvl w:ilvl="0" w:tplc="04050003">
      <w:start w:val="1"/>
      <w:numFmt w:val="bullet"/>
      <w:lvlText w:val="o"/>
      <w:lvlJc w:val="left"/>
      <w:pPr>
        <w:ind w:left="644" w:hanging="360"/>
      </w:pPr>
      <w:rPr>
        <w:rFonts w:ascii="Courier New" w:hAnsi="Courier New" w:cs="Courier New"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0" w15:restartNumberingAfterBreak="0">
    <w:nsid w:val="700376BA"/>
    <w:multiLevelType w:val="hybridMultilevel"/>
    <w:tmpl w:val="5DAA95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78C02409"/>
    <w:multiLevelType w:val="hybridMultilevel"/>
    <w:tmpl w:val="63A8AB0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7B9566FE"/>
    <w:multiLevelType w:val="hybridMultilevel"/>
    <w:tmpl w:val="07188B2E"/>
    <w:lvl w:ilvl="0" w:tplc="D7488604">
      <w:numFmt w:val="bullet"/>
      <w:lvlText w:val="-"/>
      <w:lvlJc w:val="left"/>
      <w:pPr>
        <w:ind w:left="644" w:hanging="360"/>
      </w:pPr>
      <w:rPr>
        <w:rFonts w:ascii="Calibri Light" w:eastAsia="Calibri" w:hAnsi="Calibri Light" w:cs="Times New Roman"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14"/>
  </w:num>
  <w:num w:numId="7">
    <w:abstractNumId w:val="11"/>
  </w:num>
  <w:num w:numId="8">
    <w:abstractNumId w:val="10"/>
  </w:num>
  <w:num w:numId="9">
    <w:abstractNumId w:val="4"/>
  </w:num>
  <w:num w:numId="10">
    <w:abstractNumId w:val="5"/>
  </w:num>
  <w:num w:numId="11">
    <w:abstractNumId w:val="6"/>
  </w:num>
  <w:num w:numId="12">
    <w:abstractNumId w:val="7"/>
  </w:num>
  <w:num w:numId="13">
    <w:abstractNumId w:val="9"/>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2"/>
  </w:num>
  <w:num w:numId="20">
    <w:abstractNumId w:val="20"/>
  </w:num>
  <w:num w:numId="21">
    <w:abstractNumId w:val="21"/>
  </w:num>
  <w:num w:numId="22">
    <w:abstractNumId w:val="19"/>
  </w:num>
  <w:num w:numId="23">
    <w:abstractNumId w:val="1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20"/>
    <w:rsid w:val="000476E4"/>
    <w:rsid w:val="00067407"/>
    <w:rsid w:val="000B08AC"/>
    <w:rsid w:val="000C5278"/>
    <w:rsid w:val="000E730C"/>
    <w:rsid w:val="00103C04"/>
    <w:rsid w:val="00106842"/>
    <w:rsid w:val="001079B9"/>
    <w:rsid w:val="00136646"/>
    <w:rsid w:val="001620D1"/>
    <w:rsid w:val="001B45F3"/>
    <w:rsid w:val="001E6E20"/>
    <w:rsid w:val="00230024"/>
    <w:rsid w:val="00254049"/>
    <w:rsid w:val="00272E1B"/>
    <w:rsid w:val="00297FFA"/>
    <w:rsid w:val="002A2F32"/>
    <w:rsid w:val="002B0FB6"/>
    <w:rsid w:val="002B60B3"/>
    <w:rsid w:val="002C6BED"/>
    <w:rsid w:val="002F5F4A"/>
    <w:rsid w:val="00356011"/>
    <w:rsid w:val="00377253"/>
    <w:rsid w:val="003A1DF9"/>
    <w:rsid w:val="003C3F5C"/>
    <w:rsid w:val="003D2033"/>
    <w:rsid w:val="005227BF"/>
    <w:rsid w:val="0053377B"/>
    <w:rsid w:val="00553E21"/>
    <w:rsid w:val="00563B5A"/>
    <w:rsid w:val="00566A4C"/>
    <w:rsid w:val="00597608"/>
    <w:rsid w:val="005C30D7"/>
    <w:rsid w:val="005E094C"/>
    <w:rsid w:val="005F6CAE"/>
    <w:rsid w:val="0061035F"/>
    <w:rsid w:val="00620764"/>
    <w:rsid w:val="00630AC0"/>
    <w:rsid w:val="006567F3"/>
    <w:rsid w:val="00656C37"/>
    <w:rsid w:val="006D00E8"/>
    <w:rsid w:val="006D769E"/>
    <w:rsid w:val="007C62DA"/>
    <w:rsid w:val="007D5EE1"/>
    <w:rsid w:val="007E1D0B"/>
    <w:rsid w:val="00812496"/>
    <w:rsid w:val="00830BFE"/>
    <w:rsid w:val="00893C29"/>
    <w:rsid w:val="00903269"/>
    <w:rsid w:val="009162C1"/>
    <w:rsid w:val="009819ED"/>
    <w:rsid w:val="00A46CDA"/>
    <w:rsid w:val="00A64D82"/>
    <w:rsid w:val="00A93982"/>
    <w:rsid w:val="00AA0D27"/>
    <w:rsid w:val="00B13892"/>
    <w:rsid w:val="00B4108A"/>
    <w:rsid w:val="00B436F6"/>
    <w:rsid w:val="00B53E8D"/>
    <w:rsid w:val="00B715B6"/>
    <w:rsid w:val="00B84308"/>
    <w:rsid w:val="00B945CF"/>
    <w:rsid w:val="00BA00F3"/>
    <w:rsid w:val="00BA0357"/>
    <w:rsid w:val="00C56014"/>
    <w:rsid w:val="00D066DF"/>
    <w:rsid w:val="00D46ACA"/>
    <w:rsid w:val="00D76FB3"/>
    <w:rsid w:val="00D822CD"/>
    <w:rsid w:val="00DC29E4"/>
    <w:rsid w:val="00E46EFB"/>
    <w:rsid w:val="00ED15A8"/>
    <w:rsid w:val="00ED70E5"/>
    <w:rsid w:val="00EF0C30"/>
    <w:rsid w:val="00EF3B15"/>
    <w:rsid w:val="00EF679B"/>
    <w:rsid w:val="00F52386"/>
    <w:rsid w:val="00FB7B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4095"/>
  <w15:docId w15:val="{511A4559-0D26-47E3-B608-0ECC4A7B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0FB6"/>
    <w:pPr>
      <w:spacing w:after="160" w:line="259" w:lineRule="auto"/>
    </w:pPr>
    <w:rPr>
      <w:sz w:val="22"/>
      <w:szCs w:val="22"/>
      <w:lang w:eastAsia="en-US"/>
    </w:rPr>
  </w:style>
  <w:style w:type="paragraph" w:styleId="Nadpis1">
    <w:name w:val="heading 1"/>
    <w:basedOn w:val="Normln"/>
    <w:next w:val="Normln"/>
    <w:link w:val="Nadpis1Char"/>
    <w:qFormat/>
    <w:rsid w:val="00B945CF"/>
    <w:pPr>
      <w:numPr>
        <w:numId w:val="18"/>
      </w:numPr>
      <w:spacing w:after="0" w:line="240" w:lineRule="auto"/>
      <w:ind w:left="0"/>
      <w:outlineLvl w:val="0"/>
    </w:pPr>
    <w:rPr>
      <w:rFonts w:asciiTheme="majorHAnsi" w:eastAsia="Times New Roman" w:hAnsiTheme="majorHAnsi"/>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hlavika1">
    <w:name w:val="PS-hlavička 1"/>
    <w:basedOn w:val="Normln"/>
    <w:next w:val="Bezmezer"/>
    <w:qFormat/>
    <w:rsid w:val="00377253"/>
    <w:pPr>
      <w:spacing w:after="0" w:line="240" w:lineRule="auto"/>
      <w:jc w:val="center"/>
    </w:pPr>
    <w:rPr>
      <w:rFonts w:ascii="Times New Roman" w:hAnsi="Times New Roman"/>
      <w:b/>
      <w:i/>
      <w:sz w:val="24"/>
    </w:rPr>
  </w:style>
  <w:style w:type="paragraph" w:customStyle="1" w:styleId="PS-hlavika2">
    <w:name w:val="PS-hlavička 2"/>
    <w:basedOn w:val="Normln"/>
    <w:next w:val="PS-hlavika1"/>
    <w:qFormat/>
    <w:rsid w:val="00103C04"/>
    <w:pPr>
      <w:spacing w:after="0" w:line="240" w:lineRule="auto"/>
      <w:jc w:val="center"/>
    </w:pPr>
    <w:rPr>
      <w:rFonts w:ascii="Times New Roman" w:hAnsi="Times New Roman"/>
      <w:b/>
      <w:i/>
      <w:caps/>
      <w:sz w:val="36"/>
    </w:rPr>
  </w:style>
  <w:style w:type="paragraph" w:customStyle="1" w:styleId="PS-slousnesen">
    <w:name w:val="PS-číslo usnesení"/>
    <w:basedOn w:val="Normln"/>
    <w:next w:val="Bezmezer"/>
    <w:qFormat/>
    <w:rsid w:val="000E730C"/>
    <w:pPr>
      <w:spacing w:before="360" w:after="360" w:line="240" w:lineRule="auto"/>
      <w:jc w:val="center"/>
    </w:pPr>
    <w:rPr>
      <w:rFonts w:ascii="Times New Roman" w:hAnsi="Times New Roman"/>
      <w:b/>
      <w:i/>
      <w:sz w:val="24"/>
    </w:rPr>
  </w:style>
  <w:style w:type="paragraph" w:customStyle="1" w:styleId="PS-hlavika3">
    <w:name w:val="PS-hlavička 3"/>
    <w:basedOn w:val="Normln"/>
    <w:next w:val="PS-hlavika1"/>
    <w:qFormat/>
    <w:rsid w:val="00103C04"/>
    <w:pPr>
      <w:spacing w:after="0" w:line="240" w:lineRule="auto"/>
      <w:jc w:val="center"/>
    </w:pPr>
    <w:rPr>
      <w:rFonts w:ascii="Times New Roman" w:hAnsi="Times New Roman"/>
      <w:b/>
      <w:i/>
      <w:caps/>
      <w:sz w:val="32"/>
    </w:rPr>
  </w:style>
  <w:style w:type="paragraph" w:styleId="Bezmezer">
    <w:name w:val="No Spacing"/>
    <w:uiPriority w:val="1"/>
    <w:qFormat/>
    <w:rsid w:val="000E730C"/>
    <w:rPr>
      <w:sz w:val="22"/>
      <w:szCs w:val="22"/>
      <w:lang w:eastAsia="en-US"/>
    </w:rPr>
  </w:style>
  <w:style w:type="paragraph" w:customStyle="1" w:styleId="PS-pedmtusnesen">
    <w:name w:val="PS-předmět usnesení"/>
    <w:basedOn w:val="Normln"/>
    <w:next w:val="PS-uvodnodstavec"/>
    <w:qFormat/>
    <w:rsid w:val="000476E4"/>
    <w:pPr>
      <w:pBdr>
        <w:bottom w:val="single" w:sz="4" w:space="12" w:color="auto"/>
      </w:pBdr>
      <w:spacing w:before="240" w:after="400" w:line="240" w:lineRule="auto"/>
      <w:jc w:val="center"/>
    </w:pPr>
    <w:rPr>
      <w:rFonts w:ascii="Times New Roman" w:hAnsi="Times New Roman"/>
      <w:sz w:val="24"/>
    </w:rPr>
  </w:style>
  <w:style w:type="paragraph" w:styleId="Normlnweb">
    <w:name w:val="Normal (Web)"/>
    <w:basedOn w:val="Normln"/>
    <w:uiPriority w:val="99"/>
    <w:unhideWhenUsed/>
    <w:rsid w:val="00D76FB3"/>
    <w:pPr>
      <w:spacing w:before="100" w:beforeAutospacing="1" w:after="119" w:line="240" w:lineRule="auto"/>
    </w:pPr>
    <w:rPr>
      <w:rFonts w:ascii="Times New Roman" w:eastAsia="Times New Roman" w:hAnsi="Times New Roman"/>
      <w:sz w:val="24"/>
      <w:szCs w:val="24"/>
      <w:lang w:eastAsia="cs-CZ"/>
    </w:rPr>
  </w:style>
  <w:style w:type="paragraph" w:customStyle="1" w:styleId="PS-rovkd">
    <w:name w:val="PS-čárový kód"/>
    <w:basedOn w:val="Normlnweb"/>
    <w:qFormat/>
    <w:rsid w:val="007C62DA"/>
    <w:pPr>
      <w:spacing w:before="120" w:beforeAutospacing="0" w:after="400"/>
      <w:jc w:val="right"/>
    </w:pPr>
  </w:style>
  <w:style w:type="paragraph" w:customStyle="1" w:styleId="PS-uvodnodstavec">
    <w:name w:val="PS-uvodní odstavec"/>
    <w:basedOn w:val="Normln"/>
    <w:next w:val="Normln"/>
    <w:qFormat/>
    <w:rsid w:val="005E094C"/>
    <w:pPr>
      <w:spacing w:after="360"/>
      <w:ind w:firstLine="709"/>
      <w:jc w:val="both"/>
    </w:pPr>
    <w:rPr>
      <w:rFonts w:ascii="Times New Roman" w:hAnsi="Times New Roman"/>
      <w:sz w:val="24"/>
    </w:rPr>
  </w:style>
  <w:style w:type="paragraph" w:styleId="slovanseznam2">
    <w:name w:val="List Number 2"/>
    <w:basedOn w:val="Normln"/>
    <w:uiPriority w:val="99"/>
    <w:unhideWhenUsed/>
    <w:rsid w:val="00A46CDA"/>
    <w:pPr>
      <w:numPr>
        <w:numId w:val="2"/>
      </w:numPr>
      <w:contextualSpacing/>
    </w:pPr>
  </w:style>
  <w:style w:type="paragraph" w:styleId="slovanseznam3">
    <w:name w:val="List Number 3"/>
    <w:basedOn w:val="Normln"/>
    <w:uiPriority w:val="99"/>
    <w:unhideWhenUsed/>
    <w:rsid w:val="00A46CDA"/>
    <w:pPr>
      <w:numPr>
        <w:numId w:val="3"/>
      </w:numPr>
      <w:contextualSpacing/>
    </w:pPr>
  </w:style>
  <w:style w:type="paragraph" w:styleId="slovanseznam4">
    <w:name w:val="List Number 4"/>
    <w:basedOn w:val="Normln"/>
    <w:uiPriority w:val="99"/>
    <w:unhideWhenUsed/>
    <w:rsid w:val="00A46CDA"/>
    <w:pPr>
      <w:numPr>
        <w:numId w:val="4"/>
      </w:numPr>
      <w:contextualSpacing/>
    </w:pPr>
  </w:style>
  <w:style w:type="paragraph" w:styleId="slovanseznam5">
    <w:name w:val="List Number 5"/>
    <w:basedOn w:val="Normln"/>
    <w:uiPriority w:val="99"/>
    <w:unhideWhenUsed/>
    <w:rsid w:val="00A46CDA"/>
    <w:pPr>
      <w:numPr>
        <w:numId w:val="5"/>
      </w:numPr>
      <w:contextualSpacing/>
    </w:pPr>
  </w:style>
  <w:style w:type="paragraph" w:styleId="slovanseznam">
    <w:name w:val="List Number"/>
    <w:basedOn w:val="Normln"/>
    <w:uiPriority w:val="99"/>
    <w:unhideWhenUsed/>
    <w:rsid w:val="002B60B3"/>
    <w:pPr>
      <w:numPr>
        <w:numId w:val="1"/>
      </w:numPr>
      <w:spacing w:after="400"/>
      <w:ind w:left="357" w:hanging="357"/>
    </w:pPr>
    <w:rPr>
      <w:rFonts w:ascii="Times New Roman" w:hAnsi="Times New Roman"/>
      <w:sz w:val="24"/>
    </w:rPr>
  </w:style>
  <w:style w:type="paragraph" w:customStyle="1" w:styleId="PS-slovanseznam">
    <w:name w:val="PS-číslovaný seznam"/>
    <w:basedOn w:val="Normln"/>
    <w:link w:val="PS-slovanseznamChar"/>
    <w:qFormat/>
    <w:rsid w:val="005F6CAE"/>
    <w:pPr>
      <w:numPr>
        <w:numId w:val="6"/>
      </w:numPr>
      <w:tabs>
        <w:tab w:val="left" w:pos="0"/>
      </w:tabs>
      <w:spacing w:after="400"/>
      <w:ind w:left="357" w:hanging="357"/>
      <w:jc w:val="both"/>
    </w:pPr>
    <w:rPr>
      <w:rFonts w:ascii="Times New Roman" w:hAnsi="Times New Roman"/>
      <w:sz w:val="24"/>
    </w:rPr>
  </w:style>
  <w:style w:type="character" w:customStyle="1" w:styleId="PS-slovanseznamChar">
    <w:name w:val="PS-číslovaný seznam Char"/>
    <w:link w:val="PS-slovanseznam"/>
    <w:rsid w:val="005F6CAE"/>
    <w:rPr>
      <w:rFonts w:ascii="Times New Roman" w:hAnsi="Times New Roman"/>
      <w:sz w:val="24"/>
      <w:szCs w:val="22"/>
      <w:lang w:eastAsia="en-US"/>
    </w:rPr>
  </w:style>
  <w:style w:type="paragraph" w:customStyle="1" w:styleId="StylA-PS-slovanseznamTunrozeno1b">
    <w:name w:val="Styl A-PS-číslovaný seznam + Tučné rozšířené o  1 b."/>
    <w:basedOn w:val="PS-slovanseznam"/>
    <w:rsid w:val="007D5EE1"/>
    <w:rPr>
      <w:b/>
      <w:bCs/>
      <w:spacing w:val="20"/>
    </w:rPr>
  </w:style>
  <w:style w:type="paragraph" w:customStyle="1" w:styleId="StylPS-slovanseznamrozeno1b">
    <w:name w:val="Styl PS-číslovaný seznam + rozšířené o  1 b."/>
    <w:basedOn w:val="PS-slovanseznam"/>
    <w:rsid w:val="005F6CAE"/>
    <w:rPr>
      <w:spacing w:val="40"/>
    </w:rPr>
  </w:style>
  <w:style w:type="paragraph" w:customStyle="1" w:styleId="StylPS-slovanseznamrozeno1b1">
    <w:name w:val="Styl PS-číslovaný seznam + rozšířené o  1 b.1"/>
    <w:basedOn w:val="PS-slovanseznam"/>
    <w:rsid w:val="00B715B6"/>
    <w:rPr>
      <w:spacing w:val="20"/>
    </w:rPr>
  </w:style>
  <w:style w:type="paragraph" w:customStyle="1" w:styleId="proloen">
    <w:name w:val="proložení"/>
    <w:basedOn w:val="Normln"/>
    <w:link w:val="proloenChar"/>
    <w:qFormat/>
    <w:rsid w:val="00ED15A8"/>
    <w:pPr>
      <w:tabs>
        <w:tab w:val="center" w:pos="1701"/>
        <w:tab w:val="center" w:pos="4536"/>
        <w:tab w:val="center" w:pos="7371"/>
      </w:tabs>
      <w:spacing w:after="0" w:line="240" w:lineRule="auto"/>
    </w:pPr>
    <w:rPr>
      <w:rFonts w:ascii="Times New Roman" w:hAnsi="Times New Roman"/>
      <w:spacing w:val="60"/>
      <w:sz w:val="24"/>
    </w:rPr>
  </w:style>
  <w:style w:type="character" w:customStyle="1" w:styleId="proloenChar">
    <w:name w:val="proložení Char"/>
    <w:link w:val="proloen"/>
    <w:rsid w:val="00ED15A8"/>
    <w:rPr>
      <w:rFonts w:ascii="Times New Roman" w:hAnsi="Times New Roman"/>
      <w:spacing w:val="60"/>
      <w:sz w:val="24"/>
      <w:szCs w:val="22"/>
      <w:lang w:eastAsia="en-US"/>
    </w:rPr>
  </w:style>
  <w:style w:type="character" w:styleId="Zdraznn">
    <w:name w:val="Emphasis"/>
    <w:uiPriority w:val="20"/>
    <w:qFormat/>
    <w:rsid w:val="00B4108A"/>
    <w:rPr>
      <w:rFonts w:ascii="Times New Roman" w:hAnsi="Times New Roman" w:cs="Times New Roman" w:hint="default"/>
      <w:i/>
      <w:iCs/>
    </w:rPr>
  </w:style>
  <w:style w:type="paragraph" w:customStyle="1" w:styleId="rmeek">
    <w:name w:val="rámeček"/>
    <w:basedOn w:val="Normln"/>
    <w:qFormat/>
    <w:rsid w:val="00B4108A"/>
    <w:pPr>
      <w:pBdr>
        <w:top w:val="single" w:sz="4" w:space="1" w:color="auto"/>
        <w:left w:val="single" w:sz="4" w:space="4" w:color="auto"/>
        <w:bottom w:val="single" w:sz="4" w:space="1" w:color="auto"/>
        <w:right w:val="single" w:sz="4" w:space="4" w:color="auto"/>
      </w:pBdr>
      <w:spacing w:after="0" w:line="240" w:lineRule="auto"/>
      <w:ind w:left="709"/>
      <w:jc w:val="both"/>
    </w:pPr>
    <w:rPr>
      <w:rFonts w:ascii="Times New Roman" w:hAnsi="Times New Roman"/>
      <w:sz w:val="24"/>
    </w:rPr>
  </w:style>
  <w:style w:type="character" w:customStyle="1" w:styleId="rozen">
    <w:name w:val="rozšířené"/>
    <w:uiPriority w:val="1"/>
    <w:qFormat/>
    <w:rsid w:val="00B4108A"/>
    <w:rPr>
      <w:b/>
      <w:bCs w:val="0"/>
      <w:spacing w:val="60"/>
    </w:rPr>
  </w:style>
  <w:style w:type="paragraph" w:styleId="Odstavecseseznamem">
    <w:name w:val="List Paragraph"/>
    <w:basedOn w:val="Normln"/>
    <w:uiPriority w:val="34"/>
    <w:qFormat/>
    <w:rsid w:val="006D769E"/>
    <w:pPr>
      <w:spacing w:line="256" w:lineRule="auto"/>
      <w:ind w:left="720"/>
      <w:contextualSpacing/>
    </w:pPr>
  </w:style>
  <w:style w:type="paragraph" w:styleId="Zhlav">
    <w:name w:val="header"/>
    <w:basedOn w:val="Normln"/>
    <w:link w:val="ZhlavChar"/>
    <w:uiPriority w:val="99"/>
    <w:unhideWhenUsed/>
    <w:rsid w:val="00563B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3B5A"/>
    <w:rPr>
      <w:sz w:val="22"/>
      <w:szCs w:val="22"/>
      <w:lang w:eastAsia="en-US"/>
    </w:rPr>
  </w:style>
  <w:style w:type="paragraph" w:styleId="Zpat">
    <w:name w:val="footer"/>
    <w:basedOn w:val="Normln"/>
    <w:link w:val="ZpatChar"/>
    <w:uiPriority w:val="99"/>
    <w:unhideWhenUsed/>
    <w:rsid w:val="0056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563B5A"/>
    <w:rPr>
      <w:sz w:val="22"/>
      <w:szCs w:val="22"/>
      <w:lang w:eastAsia="en-US"/>
    </w:rPr>
  </w:style>
  <w:style w:type="paragraph" w:customStyle="1" w:styleId="DefaultText">
    <w:name w:val="Default Text"/>
    <w:qFormat/>
    <w:rsid w:val="001079B9"/>
    <w:pPr>
      <w:suppressAutoHyphens/>
    </w:pPr>
    <w:rPr>
      <w:rFonts w:ascii="Times New Roman" w:eastAsia="Times New Roman" w:hAnsi="Times New Roman"/>
      <w:sz w:val="24"/>
      <w:lang w:eastAsia="zh-CN" w:bidi="hi-IN"/>
    </w:rPr>
  </w:style>
  <w:style w:type="character" w:customStyle="1" w:styleId="Nadpis1Char">
    <w:name w:val="Nadpis 1 Char"/>
    <w:basedOn w:val="Standardnpsmoodstavce"/>
    <w:link w:val="Nadpis1"/>
    <w:rsid w:val="00B945CF"/>
    <w:rPr>
      <w:rFonts w:asciiTheme="majorHAnsi" w:eastAsia="Times New Roman" w:hAnsiTheme="majorHAnsi"/>
      <w:b/>
      <w:sz w:val="24"/>
    </w:rPr>
  </w:style>
  <w:style w:type="character" w:styleId="Hypertextovodkaz">
    <w:name w:val="Hyperlink"/>
    <w:uiPriority w:val="99"/>
    <w:semiHidden/>
    <w:unhideWhenUsed/>
    <w:rsid w:val="00B945CF"/>
    <w:rPr>
      <w:color w:val="0000FF"/>
      <w:u w:val="single"/>
    </w:rPr>
  </w:style>
  <w:style w:type="paragraph" w:styleId="Textpoznpodarou">
    <w:name w:val="footnote text"/>
    <w:basedOn w:val="Normln"/>
    <w:link w:val="TextpoznpodarouChar"/>
    <w:uiPriority w:val="99"/>
    <w:semiHidden/>
    <w:unhideWhenUsed/>
    <w:rsid w:val="00B945CF"/>
    <w:pPr>
      <w:spacing w:after="0" w:line="240" w:lineRule="auto"/>
    </w:pPr>
    <w:rPr>
      <w:rFonts w:asciiTheme="majorHAnsi" w:eastAsia="Times New Roman" w:hAnsiTheme="majorHAnsi"/>
      <w:sz w:val="20"/>
      <w:szCs w:val="20"/>
      <w:lang w:eastAsia="cs-CZ"/>
    </w:rPr>
  </w:style>
  <w:style w:type="character" w:customStyle="1" w:styleId="TextpoznpodarouChar">
    <w:name w:val="Text pozn. pod čarou Char"/>
    <w:basedOn w:val="Standardnpsmoodstavce"/>
    <w:link w:val="Textpoznpodarou"/>
    <w:uiPriority w:val="99"/>
    <w:semiHidden/>
    <w:rsid w:val="00B945CF"/>
    <w:rPr>
      <w:rFonts w:asciiTheme="majorHAnsi" w:eastAsia="Times New Roman" w:hAnsiTheme="majorHAnsi"/>
    </w:rPr>
  </w:style>
  <w:style w:type="paragraph" w:customStyle="1" w:styleId="PODNZEVPRCE">
    <w:name w:val="PODNÁZEV PRÁCE"/>
    <w:basedOn w:val="Normln"/>
    <w:qFormat/>
    <w:rsid w:val="00B945CF"/>
    <w:pPr>
      <w:spacing w:after="0" w:line="240" w:lineRule="auto"/>
    </w:pPr>
    <w:rPr>
      <w:rFonts w:asciiTheme="majorHAnsi" w:hAnsiTheme="majorHAnsi"/>
      <w:color w:val="1F4E79" w:themeColor="accent1" w:themeShade="80"/>
      <w:sz w:val="28"/>
      <w:szCs w:val="28"/>
    </w:rPr>
  </w:style>
  <w:style w:type="paragraph" w:customStyle="1" w:styleId="ZHLAVTITULKY">
    <w:name w:val="ZÁHLAVÍ TITULKY"/>
    <w:basedOn w:val="Normln"/>
    <w:qFormat/>
    <w:rsid w:val="00B945CF"/>
    <w:pPr>
      <w:spacing w:after="0" w:line="240" w:lineRule="auto"/>
    </w:pPr>
    <w:rPr>
      <w:rFonts w:eastAsia="Times New Roman" w:cs="Arial"/>
      <w:b/>
      <w:color w:val="1F4E79" w:themeColor="accent1" w:themeShade="80"/>
      <w:sz w:val="28"/>
      <w:szCs w:val="28"/>
      <w:lang w:eastAsia="cs-CZ"/>
    </w:rPr>
  </w:style>
  <w:style w:type="character" w:styleId="Znakapoznpodarou">
    <w:name w:val="footnote reference"/>
    <w:uiPriority w:val="99"/>
    <w:semiHidden/>
    <w:unhideWhenUsed/>
    <w:rsid w:val="00B945CF"/>
    <w:rPr>
      <w:vertAlign w:val="superscript"/>
    </w:rPr>
  </w:style>
  <w:style w:type="table" w:styleId="Mkatabulky">
    <w:name w:val="Table Grid"/>
    <w:basedOn w:val="Normlntabulka"/>
    <w:uiPriority w:val="39"/>
    <w:rsid w:val="00B945C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B945CF"/>
    <w:rPr>
      <w:b/>
      <w:bCs/>
    </w:rPr>
  </w:style>
  <w:style w:type="paragraph" w:styleId="Textbubliny">
    <w:name w:val="Balloon Text"/>
    <w:basedOn w:val="Normln"/>
    <w:link w:val="TextbublinyChar"/>
    <w:uiPriority w:val="99"/>
    <w:semiHidden/>
    <w:unhideWhenUsed/>
    <w:rsid w:val="00ED70E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70E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35060">
      <w:bodyDiv w:val="1"/>
      <w:marLeft w:val="0"/>
      <w:marRight w:val="0"/>
      <w:marTop w:val="0"/>
      <w:marBottom w:val="0"/>
      <w:divBdr>
        <w:top w:val="none" w:sz="0" w:space="0" w:color="auto"/>
        <w:left w:val="none" w:sz="0" w:space="0" w:color="auto"/>
        <w:bottom w:val="none" w:sz="0" w:space="0" w:color="auto"/>
        <w:right w:val="none" w:sz="0" w:space="0" w:color="auto"/>
      </w:divBdr>
    </w:div>
    <w:div w:id="332146422">
      <w:bodyDiv w:val="1"/>
      <w:marLeft w:val="0"/>
      <w:marRight w:val="0"/>
      <w:marTop w:val="0"/>
      <w:marBottom w:val="0"/>
      <w:divBdr>
        <w:top w:val="none" w:sz="0" w:space="0" w:color="auto"/>
        <w:left w:val="none" w:sz="0" w:space="0" w:color="auto"/>
        <w:bottom w:val="none" w:sz="0" w:space="0" w:color="auto"/>
        <w:right w:val="none" w:sz="0" w:space="0" w:color="auto"/>
      </w:divBdr>
    </w:div>
    <w:div w:id="464851758">
      <w:bodyDiv w:val="1"/>
      <w:marLeft w:val="0"/>
      <w:marRight w:val="0"/>
      <w:marTop w:val="0"/>
      <w:marBottom w:val="0"/>
      <w:divBdr>
        <w:top w:val="none" w:sz="0" w:space="0" w:color="auto"/>
        <w:left w:val="none" w:sz="0" w:space="0" w:color="auto"/>
        <w:bottom w:val="none" w:sz="0" w:space="0" w:color="auto"/>
        <w:right w:val="none" w:sz="0" w:space="0" w:color="auto"/>
      </w:divBdr>
    </w:div>
    <w:div w:id="1010528839">
      <w:bodyDiv w:val="1"/>
      <w:marLeft w:val="0"/>
      <w:marRight w:val="0"/>
      <w:marTop w:val="0"/>
      <w:marBottom w:val="0"/>
      <w:divBdr>
        <w:top w:val="none" w:sz="0" w:space="0" w:color="auto"/>
        <w:left w:val="none" w:sz="0" w:space="0" w:color="auto"/>
        <w:bottom w:val="none" w:sz="0" w:space="0" w:color="auto"/>
        <w:right w:val="none" w:sz="0" w:space="0" w:color="auto"/>
      </w:divBdr>
    </w:div>
    <w:div w:id="1238711342">
      <w:bodyDiv w:val="1"/>
      <w:marLeft w:val="0"/>
      <w:marRight w:val="0"/>
      <w:marTop w:val="0"/>
      <w:marBottom w:val="0"/>
      <w:divBdr>
        <w:top w:val="none" w:sz="0" w:space="0" w:color="auto"/>
        <w:left w:val="none" w:sz="0" w:space="0" w:color="auto"/>
        <w:bottom w:val="none" w:sz="0" w:space="0" w:color="auto"/>
        <w:right w:val="none" w:sz="0" w:space="0" w:color="auto"/>
      </w:divBdr>
    </w:div>
    <w:div w:id="1467434451">
      <w:bodyDiv w:val="1"/>
      <w:marLeft w:val="0"/>
      <w:marRight w:val="0"/>
      <w:marTop w:val="0"/>
      <w:marBottom w:val="0"/>
      <w:divBdr>
        <w:top w:val="none" w:sz="0" w:space="0" w:color="auto"/>
        <w:left w:val="none" w:sz="0" w:space="0" w:color="auto"/>
        <w:bottom w:val="none" w:sz="0" w:space="0" w:color="auto"/>
        <w:right w:val="none" w:sz="0" w:space="0" w:color="auto"/>
      </w:divBdr>
    </w:div>
    <w:div w:id="1843397270">
      <w:bodyDiv w:val="1"/>
      <w:marLeft w:val="0"/>
      <w:marRight w:val="0"/>
      <w:marTop w:val="0"/>
      <w:marBottom w:val="0"/>
      <w:divBdr>
        <w:top w:val="none" w:sz="0" w:space="0" w:color="auto"/>
        <w:left w:val="none" w:sz="0" w:space="0" w:color="auto"/>
        <w:bottom w:val="none" w:sz="0" w:space="0" w:color="auto"/>
        <w:right w:val="none" w:sz="0" w:space="0" w:color="auto"/>
      </w:divBdr>
    </w:div>
    <w:div w:id="197737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uroparl.europa.eu/doceo/document/TA-8-2017-0051_CS.html" TargetMode="External"/><Relationship Id="rId18" Type="http://schemas.openxmlformats.org/officeDocument/2006/relationships/hyperlink" Target="https://ec.europa.eu/newsroom/dae/document.cfm?doc_id=68342" TargetMode="External"/><Relationship Id="rId26" Type="http://schemas.openxmlformats.org/officeDocument/2006/relationships/hyperlink" Target="https://www.psp.cz/sqw/text/tiskt.sqw?o=8&amp;v=VEZ&amp;ct=202&amp;ct1=0" TargetMode="External"/><Relationship Id="rId39" Type="http://schemas.openxmlformats.org/officeDocument/2006/relationships/hyperlink" Target="https://edps.europa.eu/_en" TargetMode="External"/><Relationship Id="rId3" Type="http://schemas.openxmlformats.org/officeDocument/2006/relationships/settings" Target="settings.xml"/><Relationship Id="rId21" Type="http://schemas.openxmlformats.org/officeDocument/2006/relationships/hyperlink" Target="https://digital-strategy.ec.europa.eu/en/white-paper-artificial-intelligence-public-consultation-towards-european-approach-excellence-and" TargetMode="External"/><Relationship Id="rId34" Type="http://schemas.openxmlformats.org/officeDocument/2006/relationships/hyperlink" Target="https://eur-lex.europa.eu/legal-content/CS/TXT/?qid=1593073685620&amp;uri=CELEX%3A52020DC0066" TargetMode="External"/><Relationship Id="rId42" Type="http://schemas.openxmlformats.org/officeDocument/2006/relationships/hyperlink" Target="https://eur-lex.europa.eu/legal-content/CS/TXT/?uri=CELEX%3A32008R0765&amp;qid=1622754494105" TargetMode="External"/><Relationship Id="rId47" Type="http://schemas.openxmlformats.org/officeDocument/2006/relationships/hyperlink" Target="https://www.consilium.europa.eu/en/meetings/mpo/2021/5/nformal-vtc-of-the-members-of-the-wp-on-technical-harmonisation-(304405)/" TargetMode="External"/><Relationship Id="rId7" Type="http://schemas.openxmlformats.org/officeDocument/2006/relationships/footer" Target="footer1.xml"/><Relationship Id="rId12" Type="http://schemas.openxmlformats.org/officeDocument/2006/relationships/hyperlink" Target="https://eur-lex.europa.eu/legal-content/CS/TXT/?uri=CELEX%3A52021PC0202&amp;qid=1622729444349" TargetMode="External"/><Relationship Id="rId17" Type="http://schemas.openxmlformats.org/officeDocument/2006/relationships/hyperlink" Target="https://ec.europa.eu/newsroom/dae/document.cfm?doc_id=60421" TargetMode="External"/><Relationship Id="rId25" Type="http://schemas.openxmlformats.org/officeDocument/2006/relationships/hyperlink" Target="https://www.psp.cz/sqw/text/tiskt.sqw?o=8&amp;v=VEZ&amp;ct=118&amp;ct1=0" TargetMode="External"/><Relationship Id="rId33" Type="http://schemas.openxmlformats.org/officeDocument/2006/relationships/hyperlink" Target="https://eur-lex.europa.eu/legal-content/CS/TXT/?uri=CELEX%3A52021DC0118" TargetMode="External"/><Relationship Id="rId38" Type="http://schemas.openxmlformats.org/officeDocument/2006/relationships/hyperlink" Target="https://eur-lex.europa.eu/resource.html?uri=cellar:01ff45fa-a375-11eb-9585-01aa75ed71a1.0001.02/DOC_2&amp;format=PDF" TargetMode="External"/><Relationship Id="rId46" Type="http://schemas.openxmlformats.org/officeDocument/2006/relationships/hyperlink" Target="https://data.consilium.europa.eu/doc/document/CM-3434-2021-INIT/en/pdf" TargetMode="External"/><Relationship Id="rId2" Type="http://schemas.openxmlformats.org/officeDocument/2006/relationships/styles" Target="styles.xml"/><Relationship Id="rId16" Type="http://schemas.openxmlformats.org/officeDocument/2006/relationships/hyperlink" Target="https://eur-lex.europa.eu/legal-content/CS/TXT/?uri=CELEX%3A52018DC0795&amp;qid=1622638446829" TargetMode="External"/><Relationship Id="rId20" Type="http://schemas.openxmlformats.org/officeDocument/2006/relationships/hyperlink" Target="https://eur-lex.europa.eu/legal-content/CS/TXT/?WT.mc_id=Twitter&amp;uri=CELEX%3A52020DC0065" TargetMode="External"/><Relationship Id="rId29" Type="http://schemas.openxmlformats.org/officeDocument/2006/relationships/hyperlink" Target="https://www.psp.cz/sqw/text/tiskt.sqw?o=8&amp;v=VEZ&amp;ct=310&amp;ct1=0" TargetMode="External"/><Relationship Id="rId41" Type="http://schemas.openxmlformats.org/officeDocument/2006/relationships/hyperlink" Target="https://eur-lex.europa.eu/legal-content/CS/TXT/?uri=CELEX%3A32019R1020&amp;qid=162272497235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CS/TXT/?uri=CELEX%3A52021PC0206&amp;qid=1622729416704" TargetMode="External"/><Relationship Id="rId24" Type="http://schemas.openxmlformats.org/officeDocument/2006/relationships/hyperlink" Target="https://eur-lex.europa.eu/legal-content/CS/TXT/?uri=CELEX%3A52018DC0795&amp;qid=1622638446829" TargetMode="External"/><Relationship Id="rId32" Type="http://schemas.openxmlformats.org/officeDocument/2006/relationships/hyperlink" Target="https://eur-lex.europa.eu/legal-content/CS/TXT/?qid=1622760674126&amp;uri=CELEX%3A32021R0241" TargetMode="External"/><Relationship Id="rId37" Type="http://schemas.openxmlformats.org/officeDocument/2006/relationships/hyperlink" Target="https://eur-lex.europa.eu/legal-content/CS/TXT/?uri=CELEX%3A52018DC0795&amp;qid=1622762492670" TargetMode="External"/><Relationship Id="rId40" Type="http://schemas.openxmlformats.org/officeDocument/2006/relationships/hyperlink" Target="https://eur-lex.europa.eu/LexUriServ/LexUriServ.do?uri=OJ:L:2003:124:0036:0041:en:PDF" TargetMode="External"/><Relationship Id="rId45" Type="http://schemas.openxmlformats.org/officeDocument/2006/relationships/hyperlink" Target="https://oeil.secure.europarl.europa.eu/oeil/popups/thematicnote.do?id=2066000&amp;l=en" TargetMode="External"/><Relationship Id="rId5" Type="http://schemas.openxmlformats.org/officeDocument/2006/relationships/footnotes" Target="footnotes.xml"/><Relationship Id="rId15" Type="http://schemas.openxmlformats.org/officeDocument/2006/relationships/hyperlink" Target="https://eur-lex.europa.eu/legal-content/CS/TXT/?uri=COM%3A2018%3A237%3AFIN" TargetMode="External"/><Relationship Id="rId23" Type="http://schemas.openxmlformats.org/officeDocument/2006/relationships/hyperlink" Target="https://eur-lex.europa.eu/legal-content/CS/TXT/?uri=COM%3A2018%3A237%3AFIN" TargetMode="External"/><Relationship Id="rId28" Type="http://schemas.openxmlformats.org/officeDocument/2006/relationships/hyperlink" Target="https://www.psp.cz/sqw/text/tiskt.sqw?o=8&amp;v=VEZ&amp;ct=251&amp;ct1=0" TargetMode="External"/><Relationship Id="rId36" Type="http://schemas.openxmlformats.org/officeDocument/2006/relationships/hyperlink" Target="https://eur-lex.europa.eu/legal-content/CS/TXT/?uri=CELEX%3A52020DC0605" TargetMode="External"/><Relationship Id="rId49" Type="http://schemas.openxmlformats.org/officeDocument/2006/relationships/theme" Target="theme/theme1.xml"/><Relationship Id="rId10" Type="http://schemas.openxmlformats.org/officeDocument/2006/relationships/hyperlink" Target="https://eur-lex.europa.eu/legal-content/CS/TXT/?uri=CELEX%3A52021DC0205&amp;qid=1622729388359" TargetMode="External"/><Relationship Id="rId19" Type="http://schemas.openxmlformats.org/officeDocument/2006/relationships/hyperlink" Target="https://futurium.ec.europa.eu/en/european-ai-alliance?language=cs" TargetMode="External"/><Relationship Id="rId31" Type="http://schemas.openxmlformats.org/officeDocument/2006/relationships/hyperlink" Target="https://ec.europa.eu/info/research-and-innovation/funding/funding-opportunities/funding-programmes-and-open-calls/horizon-europe_cs" TargetMode="External"/><Relationship Id="rId44" Type="http://schemas.openxmlformats.org/officeDocument/2006/relationships/hyperlink" Target="https://www.unmz.cz/statni-zkusebnictvi/informacni-portal-unmz/pravni-predpisy/novy-legislativni-ramec/" TargetMode="External"/><Relationship Id="rId4" Type="http://schemas.openxmlformats.org/officeDocument/2006/relationships/webSettings" Target="webSettings.xml"/><Relationship Id="rId9" Type="http://schemas.openxmlformats.org/officeDocument/2006/relationships/hyperlink" Target="https://digital-strategy.ec.europa.eu/en/white-paper-artificial-intelligence-public-consultation-towards-european-approach-excellence-and" TargetMode="External"/><Relationship Id="rId14" Type="http://schemas.openxmlformats.org/officeDocument/2006/relationships/hyperlink" Target="https://data.consilium.europa.eu/doc/document/ST-14-2017-INIT/cs/pdf" TargetMode="External"/><Relationship Id="rId22" Type="http://schemas.openxmlformats.org/officeDocument/2006/relationships/hyperlink" Target="https://eur-lex.europa.eu/legal-content/CS/TXT/?uri=CELEX%3A32006L0042&amp;qid=1622726698466" TargetMode="External"/><Relationship Id="rId27" Type="http://schemas.openxmlformats.org/officeDocument/2006/relationships/hyperlink" Target="https://eur-lex.europa.eu/legal-content/CS/TXT/?uri=CELEX%3A52019DC0168" TargetMode="External"/><Relationship Id="rId30" Type="http://schemas.openxmlformats.org/officeDocument/2006/relationships/hyperlink" Target="https://digital-strategy.ec.europa.eu/en/activities/digital-programme" TargetMode="External"/><Relationship Id="rId35" Type="http://schemas.openxmlformats.org/officeDocument/2006/relationships/hyperlink" Target="https://eur-lex.europa.eu/legal-content/CS/TXT/?uri=COM%3A2019%3A640%3AFIN" TargetMode="External"/><Relationship Id="rId43" Type="http://schemas.openxmlformats.org/officeDocument/2006/relationships/hyperlink" Target="https://eur-lex.europa.eu/legal-content/CS/TXT/?uri=CELEX%3A32019R1020&amp;qid=1622757598454" TargetMode="External"/><Relationship Id="rId48" Type="http://schemas.openxmlformats.org/officeDocument/2006/relationships/fontTable" Target="fontTable.xml"/><Relationship Id="rId8" Type="http://schemas.openxmlformats.org/officeDocument/2006/relationships/hyperlink" Target="https://eur-lex.europa.eu/legal-content/CS/TXT/?WT.mc_id=Twitter&amp;uri=CELEX%3A52020DC00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V&#253;bor\VEZ\SEKRETARIAT\&#353;ablony\usnesen&#237;.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usnesení.dotx</Template>
  <TotalTime>59</TotalTime>
  <Pages>15</Pages>
  <Words>7202</Words>
  <Characters>42498</Characters>
  <Application>Microsoft Office Word</Application>
  <DocSecurity>0</DocSecurity>
  <Lines>354</Lines>
  <Paragraphs>99</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49601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Koubova Blanka</dc:creator>
  <cp:keywords/>
  <dc:description/>
  <cp:lastModifiedBy>Koubova Blanka</cp:lastModifiedBy>
  <cp:revision>36</cp:revision>
  <cp:lastPrinted>2021-06-08T14:31:00Z</cp:lastPrinted>
  <dcterms:created xsi:type="dcterms:W3CDTF">2015-09-22T08:40:00Z</dcterms:created>
  <dcterms:modified xsi:type="dcterms:W3CDTF">2021-06-08T14:40:00Z</dcterms:modified>
</cp:coreProperties>
</file>