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373" w:rsidRDefault="00E474D1" w:rsidP="00E474D1">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CBD39B9-39D5-406A-8EE8-4C031FEC34B6" style="width:450.6pt;height:496.8pt">
            <v:imagedata r:id="rId11" o:title=""/>
          </v:shape>
        </w:pict>
      </w:r>
    </w:p>
    <w:bookmarkEnd w:id="0"/>
    <w:p w:rsidR="00176373" w:rsidRDefault="00176373">
      <w:pPr>
        <w:rPr>
          <w:noProof/>
        </w:rPr>
        <w:sectPr w:rsidR="00176373" w:rsidSect="00E474D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176373" w:rsidRDefault="00176373">
      <w:pPr>
        <w:rPr>
          <w:noProof/>
        </w:rPr>
      </w:pPr>
      <w:bookmarkStart w:id="1" w:name="_GoBack"/>
      <w:bookmarkEnd w:id="1"/>
    </w:p>
    <w:sdt>
      <w:sdtPr>
        <w:rPr>
          <w:rFonts w:ascii="Times New Roman" w:eastAsiaTheme="minorHAnsi" w:hAnsi="Times New Roman" w:cs="Times New Roman"/>
          <w:b/>
          <w:noProof/>
          <w:color w:val="000000" w:themeColor="text1"/>
          <w:sz w:val="22"/>
          <w:szCs w:val="22"/>
          <w:lang w:val="en-GB"/>
        </w:rPr>
        <w:id w:val="521294037"/>
        <w:docPartObj>
          <w:docPartGallery w:val="Table of Contents"/>
          <w:docPartUnique/>
        </w:docPartObj>
      </w:sdtPr>
      <w:sdtEndPr>
        <w:rPr>
          <w:bCs/>
          <w:color w:val="auto"/>
        </w:rPr>
      </w:sdtEndPr>
      <w:sdtContent>
        <w:p w:rsidR="00176373" w:rsidRDefault="00E474D1">
          <w:pPr>
            <w:pStyle w:val="TOCHeading"/>
            <w:tabs>
              <w:tab w:val="left" w:pos="2771"/>
            </w:tabs>
            <w:rPr>
              <w:rFonts w:ascii="Times New Roman" w:hAnsi="Times New Roman" w:cs="Times New Roman"/>
              <w:b/>
              <w:noProof/>
              <w:color w:val="000000" w:themeColor="text1"/>
              <w:lang w:val="en-GB"/>
            </w:rPr>
          </w:pPr>
          <w:r>
            <w:rPr>
              <w:rFonts w:ascii="Times New Roman" w:hAnsi="Times New Roman" w:cs="Times New Roman"/>
              <w:b/>
              <w:noProof/>
              <w:color w:val="000000" w:themeColor="text1"/>
              <w:lang w:val="en-GB"/>
            </w:rPr>
            <w:t>Table of contents</w:t>
          </w:r>
          <w:r>
            <w:rPr>
              <w:noProof/>
            </w:rPr>
            <w:tab/>
          </w:r>
        </w:p>
        <w:p w:rsidR="00176373" w:rsidRDefault="00E474D1">
          <w:pPr>
            <w:pStyle w:val="TOC1"/>
            <w:rPr>
              <w:rFonts w:eastAsiaTheme="minorEastAsia"/>
              <w:noProof/>
              <w:lang w:eastAsia="en-GB"/>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74305313" w:history="1">
            <w:r>
              <w:rPr>
                <w:rStyle w:val="Hyperlink"/>
                <w:noProof/>
              </w:rPr>
              <w:t>1.</w:t>
            </w:r>
            <w:r>
              <w:rPr>
                <w:rFonts w:eastAsiaTheme="minorEastAsia"/>
                <w:noProof/>
                <w:lang w:eastAsia="en-GB"/>
              </w:rPr>
              <w:tab/>
            </w:r>
            <w:r>
              <w:rPr>
                <w:rStyle w:val="Hyperlink"/>
                <w:noProof/>
                <w:lang w:val="en-IE"/>
              </w:rPr>
              <w:t>Executive summary</w:t>
            </w:r>
            <w:r>
              <w:rPr>
                <w:noProof/>
                <w:webHidden/>
              </w:rPr>
              <w:tab/>
            </w:r>
            <w:r>
              <w:rPr>
                <w:noProof/>
                <w:webHidden/>
              </w:rPr>
              <w:fldChar w:fldCharType="begin"/>
            </w:r>
            <w:r>
              <w:rPr>
                <w:noProof/>
                <w:webHidden/>
              </w:rPr>
              <w:instrText xml:space="preserve"> PAGEREF _Toc74305313 \h </w:instrText>
            </w:r>
            <w:r>
              <w:rPr>
                <w:noProof/>
                <w:webHidden/>
              </w:rPr>
            </w:r>
            <w:r>
              <w:rPr>
                <w:noProof/>
                <w:webHidden/>
              </w:rPr>
              <w:fldChar w:fldCharType="separate"/>
            </w:r>
            <w:r>
              <w:rPr>
                <w:noProof/>
                <w:webHidden/>
              </w:rPr>
              <w:t>2</w:t>
            </w:r>
            <w:r>
              <w:rPr>
                <w:noProof/>
                <w:webHidden/>
              </w:rPr>
              <w:fldChar w:fldCharType="end"/>
            </w:r>
          </w:hyperlink>
        </w:p>
        <w:p w:rsidR="00176373" w:rsidRDefault="00E474D1">
          <w:pPr>
            <w:pStyle w:val="TOC1"/>
            <w:rPr>
              <w:rFonts w:eastAsiaTheme="minorEastAsia"/>
              <w:noProof/>
              <w:lang w:eastAsia="en-GB"/>
            </w:rPr>
          </w:pPr>
          <w:hyperlink w:anchor="_Toc74305314" w:history="1">
            <w:r>
              <w:rPr>
                <w:rStyle w:val="Hyperlink"/>
                <w:noProof/>
              </w:rPr>
              <w:t>2.</w:t>
            </w:r>
            <w:r>
              <w:rPr>
                <w:rFonts w:eastAsiaTheme="minorEastAsia"/>
                <w:noProof/>
                <w:lang w:eastAsia="en-GB"/>
              </w:rPr>
              <w:tab/>
            </w:r>
            <w:r>
              <w:rPr>
                <w:rStyle w:val="Hyperlink"/>
                <w:noProof/>
              </w:rPr>
              <w:t>Recovery and resilience challenges: scene-setter</w:t>
            </w:r>
            <w:r>
              <w:rPr>
                <w:noProof/>
                <w:webHidden/>
              </w:rPr>
              <w:tab/>
            </w:r>
            <w:r>
              <w:rPr>
                <w:noProof/>
                <w:webHidden/>
              </w:rPr>
              <w:fldChar w:fldCharType="begin"/>
            </w:r>
            <w:r>
              <w:rPr>
                <w:noProof/>
                <w:webHidden/>
              </w:rPr>
              <w:instrText xml:space="preserve"> PAGEREF _Toc74305314 \h </w:instrText>
            </w:r>
            <w:r>
              <w:rPr>
                <w:noProof/>
                <w:webHidden/>
              </w:rPr>
            </w:r>
            <w:r>
              <w:rPr>
                <w:noProof/>
                <w:webHidden/>
              </w:rPr>
              <w:fldChar w:fldCharType="separate"/>
            </w:r>
            <w:r>
              <w:rPr>
                <w:noProof/>
                <w:webHidden/>
              </w:rPr>
              <w:t>8</w:t>
            </w:r>
            <w:r>
              <w:rPr>
                <w:noProof/>
                <w:webHidden/>
              </w:rPr>
              <w:fldChar w:fldCharType="end"/>
            </w:r>
          </w:hyperlink>
        </w:p>
        <w:p w:rsidR="00176373" w:rsidRDefault="00E474D1">
          <w:pPr>
            <w:pStyle w:val="TOC2"/>
            <w:rPr>
              <w:rFonts w:eastAsiaTheme="minorEastAsia"/>
              <w:noProof/>
              <w:lang w:eastAsia="en-GB"/>
            </w:rPr>
          </w:pPr>
          <w:hyperlink w:anchor="_Toc74305315" w:history="1">
            <w:r>
              <w:rPr>
                <w:rStyle w:val="Hyperlink"/>
                <w:noProof/>
              </w:rPr>
              <w:t>2.1.</w:t>
            </w:r>
            <w:r>
              <w:rPr>
                <w:rFonts w:eastAsiaTheme="minorEastAsia"/>
                <w:noProof/>
                <w:lang w:eastAsia="en-GB"/>
              </w:rPr>
              <w:tab/>
            </w:r>
            <w:r>
              <w:rPr>
                <w:rStyle w:val="Hyperlink"/>
                <w:noProof/>
              </w:rPr>
              <w:t>Macroeconomic outlook and developments since the 2020 country report</w:t>
            </w:r>
            <w:r>
              <w:rPr>
                <w:noProof/>
                <w:webHidden/>
              </w:rPr>
              <w:tab/>
            </w:r>
            <w:r>
              <w:rPr>
                <w:noProof/>
                <w:webHidden/>
              </w:rPr>
              <w:fldChar w:fldCharType="begin"/>
            </w:r>
            <w:r>
              <w:rPr>
                <w:noProof/>
                <w:webHidden/>
              </w:rPr>
              <w:instrText xml:space="preserve"> PAGEREF _Toc74305315 \h </w:instrText>
            </w:r>
            <w:r>
              <w:rPr>
                <w:noProof/>
                <w:webHidden/>
              </w:rPr>
            </w:r>
            <w:r>
              <w:rPr>
                <w:noProof/>
                <w:webHidden/>
              </w:rPr>
              <w:fldChar w:fldCharType="separate"/>
            </w:r>
            <w:r>
              <w:rPr>
                <w:noProof/>
                <w:webHidden/>
              </w:rPr>
              <w:t>8</w:t>
            </w:r>
            <w:r>
              <w:rPr>
                <w:noProof/>
                <w:webHidden/>
              </w:rPr>
              <w:fldChar w:fldCharType="end"/>
            </w:r>
          </w:hyperlink>
        </w:p>
        <w:p w:rsidR="00176373" w:rsidRDefault="00E474D1">
          <w:pPr>
            <w:pStyle w:val="TOC2"/>
            <w:rPr>
              <w:rFonts w:eastAsiaTheme="minorEastAsia"/>
              <w:noProof/>
              <w:lang w:eastAsia="en-GB"/>
            </w:rPr>
          </w:pPr>
          <w:hyperlink w:anchor="_Toc74305316" w:history="1">
            <w:r>
              <w:rPr>
                <w:rStyle w:val="Hyperlink"/>
                <w:noProof/>
              </w:rPr>
              <w:t>2.2.</w:t>
            </w:r>
            <w:r>
              <w:rPr>
                <w:rFonts w:eastAsiaTheme="minorEastAsia"/>
                <w:noProof/>
                <w:lang w:eastAsia="en-GB"/>
              </w:rPr>
              <w:tab/>
            </w:r>
            <w:r>
              <w:rPr>
                <w:rStyle w:val="Hyperlink"/>
                <w:noProof/>
              </w:rPr>
              <w:t>Challenges related to</w:t>
            </w:r>
            <w:r>
              <w:rPr>
                <w:rStyle w:val="Hyperlink"/>
                <w:noProof/>
              </w:rPr>
              <w:t xml:space="preserve"> sustainable growth, cohesion, resilience and policies for the next generation</w:t>
            </w:r>
            <w:r>
              <w:rPr>
                <w:noProof/>
                <w:webHidden/>
              </w:rPr>
              <w:tab/>
            </w:r>
            <w:r>
              <w:rPr>
                <w:noProof/>
                <w:webHidden/>
              </w:rPr>
              <w:fldChar w:fldCharType="begin"/>
            </w:r>
            <w:r>
              <w:rPr>
                <w:noProof/>
                <w:webHidden/>
              </w:rPr>
              <w:instrText xml:space="preserve"> PAGEREF _Toc74305316 \h </w:instrText>
            </w:r>
            <w:r>
              <w:rPr>
                <w:noProof/>
                <w:webHidden/>
              </w:rPr>
            </w:r>
            <w:r>
              <w:rPr>
                <w:noProof/>
                <w:webHidden/>
              </w:rPr>
              <w:fldChar w:fldCharType="separate"/>
            </w:r>
            <w:r>
              <w:rPr>
                <w:noProof/>
                <w:webHidden/>
              </w:rPr>
              <w:t>10</w:t>
            </w:r>
            <w:r>
              <w:rPr>
                <w:noProof/>
                <w:webHidden/>
              </w:rPr>
              <w:fldChar w:fldCharType="end"/>
            </w:r>
          </w:hyperlink>
        </w:p>
        <w:p w:rsidR="00176373" w:rsidRDefault="00E474D1">
          <w:pPr>
            <w:pStyle w:val="TOC2"/>
            <w:rPr>
              <w:rFonts w:eastAsiaTheme="minorEastAsia"/>
              <w:noProof/>
              <w:lang w:eastAsia="en-GB"/>
            </w:rPr>
          </w:pPr>
          <w:hyperlink w:anchor="_Toc74305317" w:history="1">
            <w:r>
              <w:rPr>
                <w:rStyle w:val="Hyperlink"/>
                <w:noProof/>
              </w:rPr>
              <w:t>2.3.</w:t>
            </w:r>
            <w:r>
              <w:rPr>
                <w:rFonts w:eastAsiaTheme="minorEastAsia"/>
                <w:noProof/>
                <w:lang w:eastAsia="en-GB"/>
              </w:rPr>
              <w:tab/>
            </w:r>
            <w:r>
              <w:rPr>
                <w:rStyle w:val="Hyperlink"/>
                <w:noProof/>
              </w:rPr>
              <w:t>Challenges related to the green and digital t</w:t>
            </w:r>
            <w:r>
              <w:rPr>
                <w:rStyle w:val="Hyperlink"/>
                <w:noProof/>
              </w:rPr>
              <w:t>ransition</w:t>
            </w:r>
            <w:r>
              <w:rPr>
                <w:noProof/>
                <w:webHidden/>
              </w:rPr>
              <w:tab/>
            </w:r>
            <w:r>
              <w:rPr>
                <w:noProof/>
                <w:webHidden/>
              </w:rPr>
              <w:fldChar w:fldCharType="begin"/>
            </w:r>
            <w:r>
              <w:rPr>
                <w:noProof/>
                <w:webHidden/>
              </w:rPr>
              <w:instrText xml:space="preserve"> PAGEREF _Toc74305317 \h </w:instrText>
            </w:r>
            <w:r>
              <w:rPr>
                <w:noProof/>
                <w:webHidden/>
              </w:rPr>
            </w:r>
            <w:r>
              <w:rPr>
                <w:noProof/>
                <w:webHidden/>
              </w:rPr>
              <w:fldChar w:fldCharType="separate"/>
            </w:r>
            <w:r>
              <w:rPr>
                <w:noProof/>
                <w:webHidden/>
              </w:rPr>
              <w:t>14</w:t>
            </w:r>
            <w:r>
              <w:rPr>
                <w:noProof/>
                <w:webHidden/>
              </w:rPr>
              <w:fldChar w:fldCharType="end"/>
            </w:r>
          </w:hyperlink>
        </w:p>
        <w:p w:rsidR="00176373" w:rsidRDefault="00E474D1">
          <w:pPr>
            <w:pStyle w:val="TOC3"/>
            <w:tabs>
              <w:tab w:val="right" w:leader="dot" w:pos="9350"/>
            </w:tabs>
            <w:rPr>
              <w:rFonts w:eastAsiaTheme="minorEastAsia"/>
              <w:noProof/>
              <w:lang w:eastAsia="en-GB"/>
            </w:rPr>
          </w:pPr>
          <w:hyperlink w:anchor="_Toc74305318" w:history="1">
            <w:r>
              <w:rPr>
                <w:rStyle w:val="Hyperlink"/>
                <w:noProof/>
              </w:rPr>
              <w:t>Green dimension</w:t>
            </w:r>
            <w:r>
              <w:rPr>
                <w:noProof/>
                <w:webHidden/>
              </w:rPr>
              <w:tab/>
            </w:r>
            <w:r>
              <w:rPr>
                <w:noProof/>
                <w:webHidden/>
              </w:rPr>
              <w:fldChar w:fldCharType="begin"/>
            </w:r>
            <w:r>
              <w:rPr>
                <w:noProof/>
                <w:webHidden/>
              </w:rPr>
              <w:instrText xml:space="preserve"> PAGEREF _Toc74305318 \h </w:instrText>
            </w:r>
            <w:r>
              <w:rPr>
                <w:noProof/>
                <w:webHidden/>
              </w:rPr>
            </w:r>
            <w:r>
              <w:rPr>
                <w:noProof/>
                <w:webHidden/>
              </w:rPr>
              <w:fldChar w:fldCharType="separate"/>
            </w:r>
            <w:r>
              <w:rPr>
                <w:noProof/>
                <w:webHidden/>
              </w:rPr>
              <w:t>14</w:t>
            </w:r>
            <w:r>
              <w:rPr>
                <w:noProof/>
                <w:webHidden/>
              </w:rPr>
              <w:fldChar w:fldCharType="end"/>
            </w:r>
          </w:hyperlink>
        </w:p>
        <w:p w:rsidR="00176373" w:rsidRDefault="00E474D1">
          <w:pPr>
            <w:pStyle w:val="TOC3"/>
            <w:tabs>
              <w:tab w:val="right" w:leader="dot" w:pos="9350"/>
            </w:tabs>
            <w:rPr>
              <w:rFonts w:eastAsiaTheme="minorEastAsia"/>
              <w:noProof/>
              <w:lang w:eastAsia="en-GB"/>
            </w:rPr>
          </w:pPr>
          <w:hyperlink w:anchor="_Toc74305319" w:history="1">
            <w:r>
              <w:rPr>
                <w:rStyle w:val="Hyperlink"/>
                <w:iCs/>
                <w:noProof/>
              </w:rPr>
              <w:t>Digital dimension</w:t>
            </w:r>
            <w:r>
              <w:rPr>
                <w:noProof/>
                <w:webHidden/>
              </w:rPr>
              <w:tab/>
            </w:r>
            <w:r>
              <w:rPr>
                <w:noProof/>
                <w:webHidden/>
              </w:rPr>
              <w:fldChar w:fldCharType="begin"/>
            </w:r>
            <w:r>
              <w:rPr>
                <w:noProof/>
                <w:webHidden/>
              </w:rPr>
              <w:instrText xml:space="preserve"> PAGEREF _Toc74305319 \h </w:instrText>
            </w:r>
            <w:r>
              <w:rPr>
                <w:noProof/>
                <w:webHidden/>
              </w:rPr>
            </w:r>
            <w:r>
              <w:rPr>
                <w:noProof/>
                <w:webHidden/>
              </w:rPr>
              <w:fldChar w:fldCharType="separate"/>
            </w:r>
            <w:r>
              <w:rPr>
                <w:noProof/>
                <w:webHidden/>
              </w:rPr>
              <w:t>18</w:t>
            </w:r>
            <w:r>
              <w:rPr>
                <w:noProof/>
                <w:webHidden/>
              </w:rPr>
              <w:fldChar w:fldCharType="end"/>
            </w:r>
          </w:hyperlink>
        </w:p>
        <w:p w:rsidR="00176373" w:rsidRDefault="00E474D1">
          <w:pPr>
            <w:pStyle w:val="TOC1"/>
            <w:rPr>
              <w:rFonts w:eastAsiaTheme="minorEastAsia"/>
              <w:noProof/>
              <w:lang w:eastAsia="en-GB"/>
            </w:rPr>
          </w:pPr>
          <w:hyperlink w:anchor="_Toc74305320" w:history="1">
            <w:r>
              <w:rPr>
                <w:rStyle w:val="Hyperlink"/>
                <w:noProof/>
              </w:rPr>
              <w:t>3.</w:t>
            </w:r>
            <w:r>
              <w:rPr>
                <w:rFonts w:eastAsiaTheme="minorEastAsia"/>
                <w:noProof/>
                <w:lang w:eastAsia="en-GB"/>
              </w:rPr>
              <w:tab/>
            </w:r>
            <w:r>
              <w:rPr>
                <w:rStyle w:val="Hyperlink"/>
                <w:noProof/>
              </w:rPr>
              <w:t>Objectives, structure and governance of the plan</w:t>
            </w:r>
            <w:r>
              <w:rPr>
                <w:noProof/>
                <w:webHidden/>
              </w:rPr>
              <w:tab/>
            </w:r>
            <w:r>
              <w:rPr>
                <w:noProof/>
                <w:webHidden/>
              </w:rPr>
              <w:fldChar w:fldCharType="begin"/>
            </w:r>
            <w:r>
              <w:rPr>
                <w:noProof/>
                <w:webHidden/>
              </w:rPr>
              <w:instrText xml:space="preserve"> PAGEREF _Toc74305320 \h </w:instrText>
            </w:r>
            <w:r>
              <w:rPr>
                <w:noProof/>
                <w:webHidden/>
              </w:rPr>
            </w:r>
            <w:r>
              <w:rPr>
                <w:noProof/>
                <w:webHidden/>
              </w:rPr>
              <w:fldChar w:fldCharType="separate"/>
            </w:r>
            <w:r>
              <w:rPr>
                <w:noProof/>
                <w:webHidden/>
              </w:rPr>
              <w:t>23</w:t>
            </w:r>
            <w:r>
              <w:rPr>
                <w:noProof/>
                <w:webHidden/>
              </w:rPr>
              <w:fldChar w:fldCharType="end"/>
            </w:r>
          </w:hyperlink>
        </w:p>
        <w:p w:rsidR="00176373" w:rsidRDefault="00E474D1">
          <w:pPr>
            <w:pStyle w:val="TOC2"/>
            <w:rPr>
              <w:rFonts w:eastAsiaTheme="minorEastAsia"/>
              <w:noProof/>
              <w:lang w:eastAsia="en-GB"/>
            </w:rPr>
          </w:pPr>
          <w:hyperlink w:anchor="_Toc74305321" w:history="1">
            <w:r>
              <w:rPr>
                <w:rStyle w:val="Hyperlink"/>
                <w:noProof/>
              </w:rPr>
              <w:t>3.1.</w:t>
            </w:r>
            <w:r>
              <w:rPr>
                <w:rFonts w:eastAsiaTheme="minorEastAsia"/>
                <w:noProof/>
                <w:lang w:eastAsia="en-GB"/>
              </w:rPr>
              <w:tab/>
            </w:r>
            <w:r>
              <w:rPr>
                <w:rStyle w:val="Hyperlink"/>
                <w:noProof/>
              </w:rPr>
              <w:t>Overall strategy of the plan</w:t>
            </w:r>
            <w:r>
              <w:rPr>
                <w:noProof/>
                <w:webHidden/>
              </w:rPr>
              <w:tab/>
            </w:r>
            <w:r>
              <w:rPr>
                <w:noProof/>
                <w:webHidden/>
              </w:rPr>
              <w:fldChar w:fldCharType="begin"/>
            </w:r>
            <w:r>
              <w:rPr>
                <w:noProof/>
                <w:webHidden/>
              </w:rPr>
              <w:instrText xml:space="preserve"> PAGEREF _Toc74305321 \h </w:instrText>
            </w:r>
            <w:r>
              <w:rPr>
                <w:noProof/>
                <w:webHidden/>
              </w:rPr>
            </w:r>
            <w:r>
              <w:rPr>
                <w:noProof/>
                <w:webHidden/>
              </w:rPr>
              <w:fldChar w:fldCharType="separate"/>
            </w:r>
            <w:r>
              <w:rPr>
                <w:noProof/>
                <w:webHidden/>
              </w:rPr>
              <w:t>23</w:t>
            </w:r>
            <w:r>
              <w:rPr>
                <w:noProof/>
                <w:webHidden/>
              </w:rPr>
              <w:fldChar w:fldCharType="end"/>
            </w:r>
          </w:hyperlink>
        </w:p>
        <w:p w:rsidR="00176373" w:rsidRDefault="00E474D1">
          <w:pPr>
            <w:pStyle w:val="TOC2"/>
            <w:rPr>
              <w:rFonts w:eastAsiaTheme="minorEastAsia"/>
              <w:noProof/>
              <w:lang w:eastAsia="en-GB"/>
            </w:rPr>
          </w:pPr>
          <w:hyperlink w:anchor="_Toc74305322" w:history="1">
            <w:r>
              <w:rPr>
                <w:rStyle w:val="Hyperlink"/>
                <w:noProof/>
              </w:rPr>
              <w:t>3.2.</w:t>
            </w:r>
            <w:r>
              <w:rPr>
                <w:rFonts w:eastAsiaTheme="minorEastAsia"/>
                <w:noProof/>
                <w:lang w:eastAsia="en-GB"/>
              </w:rPr>
              <w:tab/>
            </w:r>
            <w:r>
              <w:rPr>
                <w:rStyle w:val="Hyperlink"/>
                <w:noProof/>
              </w:rPr>
              <w:t>Implementation aspects of the plan</w:t>
            </w:r>
            <w:r>
              <w:rPr>
                <w:noProof/>
                <w:webHidden/>
              </w:rPr>
              <w:tab/>
            </w:r>
            <w:r>
              <w:rPr>
                <w:noProof/>
                <w:webHidden/>
              </w:rPr>
              <w:fldChar w:fldCharType="begin"/>
            </w:r>
            <w:r>
              <w:rPr>
                <w:noProof/>
                <w:webHidden/>
              </w:rPr>
              <w:instrText xml:space="preserve"> PAGEREF _Toc74305322 \h </w:instrText>
            </w:r>
            <w:r>
              <w:rPr>
                <w:noProof/>
                <w:webHidden/>
              </w:rPr>
            </w:r>
            <w:r>
              <w:rPr>
                <w:noProof/>
                <w:webHidden/>
              </w:rPr>
              <w:fldChar w:fldCharType="separate"/>
            </w:r>
            <w:r>
              <w:rPr>
                <w:noProof/>
                <w:webHidden/>
              </w:rPr>
              <w:t>27</w:t>
            </w:r>
            <w:r>
              <w:rPr>
                <w:noProof/>
                <w:webHidden/>
              </w:rPr>
              <w:fldChar w:fldCharType="end"/>
            </w:r>
          </w:hyperlink>
        </w:p>
        <w:p w:rsidR="00176373" w:rsidRDefault="00E474D1">
          <w:pPr>
            <w:pStyle w:val="TOC1"/>
            <w:rPr>
              <w:rFonts w:eastAsiaTheme="minorEastAsia"/>
              <w:noProof/>
              <w:lang w:eastAsia="en-GB"/>
            </w:rPr>
          </w:pPr>
          <w:hyperlink w:anchor="_Toc74305323" w:history="1">
            <w:r>
              <w:rPr>
                <w:rStyle w:val="Hyperlink"/>
                <w:noProof/>
              </w:rPr>
              <w:t>4.</w:t>
            </w:r>
            <w:r>
              <w:rPr>
                <w:rFonts w:eastAsiaTheme="minorEastAsia"/>
                <w:noProof/>
                <w:lang w:eastAsia="en-GB"/>
              </w:rPr>
              <w:tab/>
            </w:r>
            <w:r>
              <w:rPr>
                <w:rStyle w:val="Hyperlink"/>
                <w:noProof/>
              </w:rPr>
              <w:t>Summary of the assessment of the plan</w:t>
            </w:r>
            <w:r>
              <w:rPr>
                <w:noProof/>
                <w:webHidden/>
              </w:rPr>
              <w:tab/>
            </w:r>
            <w:r>
              <w:rPr>
                <w:noProof/>
                <w:webHidden/>
              </w:rPr>
              <w:fldChar w:fldCharType="begin"/>
            </w:r>
            <w:r>
              <w:rPr>
                <w:noProof/>
                <w:webHidden/>
              </w:rPr>
              <w:instrText xml:space="preserve"> PAGEREF _Toc74305323 \h </w:instrText>
            </w:r>
            <w:r>
              <w:rPr>
                <w:noProof/>
                <w:webHidden/>
              </w:rPr>
            </w:r>
            <w:r>
              <w:rPr>
                <w:noProof/>
                <w:webHidden/>
              </w:rPr>
              <w:fldChar w:fldCharType="separate"/>
            </w:r>
            <w:r>
              <w:rPr>
                <w:noProof/>
                <w:webHidden/>
              </w:rPr>
              <w:t>33</w:t>
            </w:r>
            <w:r>
              <w:rPr>
                <w:noProof/>
                <w:webHidden/>
              </w:rPr>
              <w:fldChar w:fldCharType="end"/>
            </w:r>
          </w:hyperlink>
        </w:p>
        <w:p w:rsidR="00176373" w:rsidRDefault="00E474D1">
          <w:pPr>
            <w:pStyle w:val="TOC2"/>
            <w:rPr>
              <w:rFonts w:eastAsiaTheme="minorEastAsia"/>
              <w:noProof/>
              <w:lang w:eastAsia="en-GB"/>
            </w:rPr>
          </w:pPr>
          <w:hyperlink w:anchor="_Toc74305324" w:history="1">
            <w:r>
              <w:rPr>
                <w:rStyle w:val="Hyperlink"/>
                <w:noProof/>
              </w:rPr>
              <w:t>4.1.</w:t>
            </w:r>
            <w:r>
              <w:rPr>
                <w:rFonts w:eastAsiaTheme="minorEastAsia"/>
                <w:noProof/>
                <w:lang w:eastAsia="en-GB"/>
              </w:rPr>
              <w:tab/>
            </w:r>
            <w:r>
              <w:rPr>
                <w:rStyle w:val="Hyperlink"/>
                <w:noProof/>
              </w:rPr>
              <w:t>Comprehensive and adequately balanced response to the economic and social situation</w:t>
            </w:r>
            <w:r>
              <w:rPr>
                <w:noProof/>
                <w:webHidden/>
              </w:rPr>
              <w:tab/>
            </w:r>
            <w:r>
              <w:rPr>
                <w:noProof/>
                <w:webHidden/>
              </w:rPr>
              <w:fldChar w:fldCharType="begin"/>
            </w:r>
            <w:r>
              <w:rPr>
                <w:noProof/>
                <w:webHidden/>
              </w:rPr>
              <w:instrText xml:space="preserve"> PAGEREF _Toc74305324 \h </w:instrText>
            </w:r>
            <w:r>
              <w:rPr>
                <w:noProof/>
                <w:webHidden/>
              </w:rPr>
            </w:r>
            <w:r>
              <w:rPr>
                <w:noProof/>
                <w:webHidden/>
              </w:rPr>
              <w:fldChar w:fldCharType="separate"/>
            </w:r>
            <w:r>
              <w:rPr>
                <w:noProof/>
                <w:webHidden/>
              </w:rPr>
              <w:t>33</w:t>
            </w:r>
            <w:r>
              <w:rPr>
                <w:noProof/>
                <w:webHidden/>
              </w:rPr>
              <w:fldChar w:fldCharType="end"/>
            </w:r>
          </w:hyperlink>
        </w:p>
        <w:p w:rsidR="00176373" w:rsidRDefault="00E474D1">
          <w:pPr>
            <w:pStyle w:val="TOC2"/>
            <w:rPr>
              <w:rFonts w:eastAsiaTheme="minorEastAsia"/>
              <w:noProof/>
              <w:lang w:eastAsia="en-GB"/>
            </w:rPr>
          </w:pPr>
          <w:hyperlink w:anchor="_Toc74305325" w:history="1">
            <w:r>
              <w:rPr>
                <w:rStyle w:val="Hyperlink"/>
                <w:noProof/>
              </w:rPr>
              <w:t>4.2.</w:t>
            </w:r>
            <w:r>
              <w:rPr>
                <w:rFonts w:eastAsiaTheme="minorEastAsia"/>
                <w:noProof/>
                <w:lang w:eastAsia="en-GB"/>
              </w:rPr>
              <w:tab/>
            </w:r>
            <w:r>
              <w:rPr>
                <w:rStyle w:val="Hyperlink"/>
                <w:noProof/>
              </w:rPr>
              <w:t>Link with country-specific recommendations and the European Semester</w:t>
            </w:r>
            <w:r>
              <w:rPr>
                <w:noProof/>
                <w:webHidden/>
              </w:rPr>
              <w:tab/>
            </w:r>
            <w:r>
              <w:rPr>
                <w:noProof/>
                <w:webHidden/>
              </w:rPr>
              <w:fldChar w:fldCharType="begin"/>
            </w:r>
            <w:r>
              <w:rPr>
                <w:noProof/>
                <w:webHidden/>
              </w:rPr>
              <w:instrText xml:space="preserve"> PAGEREF _Toc74305325 \h </w:instrText>
            </w:r>
            <w:r>
              <w:rPr>
                <w:noProof/>
                <w:webHidden/>
              </w:rPr>
            </w:r>
            <w:r>
              <w:rPr>
                <w:noProof/>
                <w:webHidden/>
              </w:rPr>
              <w:fldChar w:fldCharType="separate"/>
            </w:r>
            <w:r>
              <w:rPr>
                <w:noProof/>
                <w:webHidden/>
              </w:rPr>
              <w:t>41</w:t>
            </w:r>
            <w:r>
              <w:rPr>
                <w:noProof/>
                <w:webHidden/>
              </w:rPr>
              <w:fldChar w:fldCharType="end"/>
            </w:r>
          </w:hyperlink>
        </w:p>
        <w:p w:rsidR="00176373" w:rsidRDefault="00E474D1">
          <w:pPr>
            <w:pStyle w:val="TOC2"/>
            <w:rPr>
              <w:rFonts w:eastAsiaTheme="minorEastAsia"/>
              <w:noProof/>
              <w:lang w:eastAsia="en-GB"/>
            </w:rPr>
          </w:pPr>
          <w:hyperlink w:anchor="_Toc74305326" w:history="1">
            <w:r>
              <w:rPr>
                <w:rStyle w:val="Hyperlink"/>
                <w:noProof/>
              </w:rPr>
              <w:t>4.3.</w:t>
            </w:r>
            <w:r>
              <w:rPr>
                <w:rFonts w:eastAsiaTheme="minorEastAsia"/>
                <w:noProof/>
                <w:lang w:eastAsia="en-GB"/>
              </w:rPr>
              <w:tab/>
            </w:r>
            <w:r>
              <w:rPr>
                <w:rStyle w:val="Hyperlink"/>
                <w:noProof/>
              </w:rPr>
              <w:t>Growth potential, job creation, economic, institutional and social resilience, European Pillar of Social Rights, mitigating the impact of the crisis, and s</w:t>
            </w:r>
            <w:r>
              <w:rPr>
                <w:rStyle w:val="Hyperlink"/>
                <w:noProof/>
              </w:rPr>
              <w:t>ocial territorial cohesion and convergence</w:t>
            </w:r>
            <w:r>
              <w:rPr>
                <w:noProof/>
                <w:webHidden/>
              </w:rPr>
              <w:tab/>
            </w:r>
            <w:r>
              <w:rPr>
                <w:noProof/>
                <w:webHidden/>
              </w:rPr>
              <w:fldChar w:fldCharType="begin"/>
            </w:r>
            <w:r>
              <w:rPr>
                <w:noProof/>
                <w:webHidden/>
              </w:rPr>
              <w:instrText xml:space="preserve"> PAGEREF _Toc74305326 \h </w:instrText>
            </w:r>
            <w:r>
              <w:rPr>
                <w:noProof/>
                <w:webHidden/>
              </w:rPr>
            </w:r>
            <w:r>
              <w:rPr>
                <w:noProof/>
                <w:webHidden/>
              </w:rPr>
              <w:fldChar w:fldCharType="separate"/>
            </w:r>
            <w:r>
              <w:rPr>
                <w:noProof/>
                <w:webHidden/>
              </w:rPr>
              <w:t>52</w:t>
            </w:r>
            <w:r>
              <w:rPr>
                <w:noProof/>
                <w:webHidden/>
              </w:rPr>
              <w:fldChar w:fldCharType="end"/>
            </w:r>
          </w:hyperlink>
        </w:p>
        <w:p w:rsidR="00176373" w:rsidRDefault="00E474D1">
          <w:pPr>
            <w:pStyle w:val="TOC2"/>
            <w:rPr>
              <w:rFonts w:eastAsiaTheme="minorEastAsia"/>
              <w:noProof/>
              <w:lang w:eastAsia="en-GB"/>
            </w:rPr>
          </w:pPr>
          <w:hyperlink w:anchor="_Toc74305327" w:history="1">
            <w:r>
              <w:rPr>
                <w:rStyle w:val="Hyperlink"/>
                <w:noProof/>
              </w:rPr>
              <w:t>4.4.</w:t>
            </w:r>
            <w:r>
              <w:rPr>
                <w:rFonts w:eastAsiaTheme="minorEastAsia"/>
                <w:noProof/>
                <w:lang w:eastAsia="en-GB"/>
              </w:rPr>
              <w:tab/>
            </w:r>
            <w:r>
              <w:rPr>
                <w:rStyle w:val="Hyperlink"/>
                <w:noProof/>
              </w:rPr>
              <w:t>The principle of ‘do no significant harm’</w:t>
            </w:r>
            <w:r>
              <w:rPr>
                <w:noProof/>
                <w:webHidden/>
              </w:rPr>
              <w:tab/>
            </w:r>
            <w:r>
              <w:rPr>
                <w:noProof/>
                <w:webHidden/>
              </w:rPr>
              <w:fldChar w:fldCharType="begin"/>
            </w:r>
            <w:r>
              <w:rPr>
                <w:noProof/>
                <w:webHidden/>
              </w:rPr>
              <w:instrText xml:space="preserve"> PAGEREF _Toc74305327 \h </w:instrText>
            </w:r>
            <w:r>
              <w:rPr>
                <w:noProof/>
                <w:webHidden/>
              </w:rPr>
            </w:r>
            <w:r>
              <w:rPr>
                <w:noProof/>
                <w:webHidden/>
              </w:rPr>
              <w:fldChar w:fldCharType="separate"/>
            </w:r>
            <w:r>
              <w:rPr>
                <w:noProof/>
                <w:webHidden/>
              </w:rPr>
              <w:t>62</w:t>
            </w:r>
            <w:r>
              <w:rPr>
                <w:noProof/>
                <w:webHidden/>
              </w:rPr>
              <w:fldChar w:fldCharType="end"/>
            </w:r>
          </w:hyperlink>
        </w:p>
        <w:p w:rsidR="00176373" w:rsidRDefault="00E474D1">
          <w:pPr>
            <w:pStyle w:val="TOC2"/>
            <w:rPr>
              <w:rFonts w:eastAsiaTheme="minorEastAsia"/>
              <w:noProof/>
              <w:lang w:eastAsia="en-GB"/>
            </w:rPr>
          </w:pPr>
          <w:hyperlink w:anchor="_Toc74305328" w:history="1">
            <w:r>
              <w:rPr>
                <w:rStyle w:val="Hyperlink"/>
                <w:caps/>
                <w:noProof/>
              </w:rPr>
              <w:t>4.5.</w:t>
            </w:r>
            <w:r>
              <w:rPr>
                <w:rFonts w:eastAsiaTheme="minorEastAsia"/>
                <w:noProof/>
                <w:lang w:eastAsia="en-GB"/>
              </w:rPr>
              <w:tab/>
            </w:r>
            <w:r>
              <w:rPr>
                <w:rStyle w:val="Hyperlink"/>
                <w:noProof/>
              </w:rPr>
              <w:t>Green transition</w:t>
            </w:r>
            <w:r>
              <w:rPr>
                <w:noProof/>
                <w:webHidden/>
              </w:rPr>
              <w:tab/>
            </w:r>
            <w:r>
              <w:rPr>
                <w:noProof/>
                <w:webHidden/>
              </w:rPr>
              <w:fldChar w:fldCharType="begin"/>
            </w:r>
            <w:r>
              <w:rPr>
                <w:noProof/>
                <w:webHidden/>
              </w:rPr>
              <w:instrText xml:space="preserve"> PAGEREF _Toc74305328 \h </w:instrText>
            </w:r>
            <w:r>
              <w:rPr>
                <w:noProof/>
                <w:webHidden/>
              </w:rPr>
            </w:r>
            <w:r>
              <w:rPr>
                <w:noProof/>
                <w:webHidden/>
              </w:rPr>
              <w:fldChar w:fldCharType="separate"/>
            </w:r>
            <w:r>
              <w:rPr>
                <w:noProof/>
                <w:webHidden/>
              </w:rPr>
              <w:t>64</w:t>
            </w:r>
            <w:r>
              <w:rPr>
                <w:noProof/>
                <w:webHidden/>
              </w:rPr>
              <w:fldChar w:fldCharType="end"/>
            </w:r>
          </w:hyperlink>
        </w:p>
        <w:p w:rsidR="00176373" w:rsidRDefault="00E474D1">
          <w:pPr>
            <w:pStyle w:val="TOC2"/>
            <w:rPr>
              <w:rFonts w:eastAsiaTheme="minorEastAsia"/>
              <w:noProof/>
              <w:lang w:eastAsia="en-GB"/>
            </w:rPr>
          </w:pPr>
          <w:hyperlink w:anchor="_Toc74305329" w:history="1">
            <w:r>
              <w:rPr>
                <w:rStyle w:val="Hyperlink"/>
                <w:noProof/>
              </w:rPr>
              <w:t>4.6.</w:t>
            </w:r>
            <w:r>
              <w:rPr>
                <w:rFonts w:eastAsiaTheme="minorEastAsia"/>
                <w:noProof/>
                <w:lang w:eastAsia="en-GB"/>
              </w:rPr>
              <w:tab/>
            </w:r>
            <w:r>
              <w:rPr>
                <w:rStyle w:val="Hyperlink"/>
                <w:noProof/>
              </w:rPr>
              <w:t>Digital transit</w:t>
            </w:r>
            <w:r>
              <w:rPr>
                <w:rStyle w:val="Hyperlink"/>
                <w:noProof/>
              </w:rPr>
              <w:t>ion</w:t>
            </w:r>
            <w:r>
              <w:rPr>
                <w:noProof/>
                <w:webHidden/>
              </w:rPr>
              <w:tab/>
            </w:r>
            <w:r>
              <w:rPr>
                <w:noProof/>
                <w:webHidden/>
              </w:rPr>
              <w:fldChar w:fldCharType="begin"/>
            </w:r>
            <w:r>
              <w:rPr>
                <w:noProof/>
                <w:webHidden/>
              </w:rPr>
              <w:instrText xml:space="preserve"> PAGEREF _Toc74305329 \h </w:instrText>
            </w:r>
            <w:r>
              <w:rPr>
                <w:noProof/>
                <w:webHidden/>
              </w:rPr>
            </w:r>
            <w:r>
              <w:rPr>
                <w:noProof/>
                <w:webHidden/>
              </w:rPr>
              <w:fldChar w:fldCharType="separate"/>
            </w:r>
            <w:r>
              <w:rPr>
                <w:noProof/>
                <w:webHidden/>
              </w:rPr>
              <w:t>69</w:t>
            </w:r>
            <w:r>
              <w:rPr>
                <w:noProof/>
                <w:webHidden/>
              </w:rPr>
              <w:fldChar w:fldCharType="end"/>
            </w:r>
          </w:hyperlink>
        </w:p>
        <w:p w:rsidR="00176373" w:rsidRDefault="00E474D1">
          <w:pPr>
            <w:pStyle w:val="TOC2"/>
            <w:rPr>
              <w:rFonts w:eastAsiaTheme="minorEastAsia"/>
              <w:noProof/>
              <w:lang w:eastAsia="en-GB"/>
            </w:rPr>
          </w:pPr>
          <w:hyperlink w:anchor="_Toc74305330" w:history="1">
            <w:r>
              <w:rPr>
                <w:rStyle w:val="Hyperlink"/>
                <w:noProof/>
              </w:rPr>
              <w:t>4.7.</w:t>
            </w:r>
            <w:r>
              <w:rPr>
                <w:rFonts w:eastAsiaTheme="minorEastAsia"/>
                <w:noProof/>
                <w:lang w:eastAsia="en-GB"/>
              </w:rPr>
              <w:tab/>
            </w:r>
            <w:r>
              <w:rPr>
                <w:rStyle w:val="Hyperlink"/>
                <w:noProof/>
              </w:rPr>
              <w:t>Lasting impact of the plan</w:t>
            </w:r>
            <w:r>
              <w:rPr>
                <w:noProof/>
                <w:webHidden/>
              </w:rPr>
              <w:tab/>
            </w:r>
            <w:r>
              <w:rPr>
                <w:noProof/>
                <w:webHidden/>
              </w:rPr>
              <w:fldChar w:fldCharType="begin"/>
            </w:r>
            <w:r>
              <w:rPr>
                <w:noProof/>
                <w:webHidden/>
              </w:rPr>
              <w:instrText xml:space="preserve"> PAGEREF _Toc74305330 \h </w:instrText>
            </w:r>
            <w:r>
              <w:rPr>
                <w:noProof/>
                <w:webHidden/>
              </w:rPr>
            </w:r>
            <w:r>
              <w:rPr>
                <w:noProof/>
                <w:webHidden/>
              </w:rPr>
              <w:fldChar w:fldCharType="separate"/>
            </w:r>
            <w:r>
              <w:rPr>
                <w:noProof/>
                <w:webHidden/>
              </w:rPr>
              <w:t>75</w:t>
            </w:r>
            <w:r>
              <w:rPr>
                <w:noProof/>
                <w:webHidden/>
              </w:rPr>
              <w:fldChar w:fldCharType="end"/>
            </w:r>
          </w:hyperlink>
        </w:p>
        <w:p w:rsidR="00176373" w:rsidRDefault="00E474D1">
          <w:pPr>
            <w:pStyle w:val="TOC2"/>
            <w:rPr>
              <w:rFonts w:eastAsiaTheme="minorEastAsia"/>
              <w:noProof/>
              <w:lang w:eastAsia="en-GB"/>
            </w:rPr>
          </w:pPr>
          <w:hyperlink w:anchor="_Toc74305331" w:history="1">
            <w:r>
              <w:rPr>
                <w:rStyle w:val="Hyperlink"/>
                <w:noProof/>
              </w:rPr>
              <w:t>4.8.</w:t>
            </w:r>
            <w:r>
              <w:rPr>
                <w:rFonts w:eastAsiaTheme="minorEastAsia"/>
                <w:noProof/>
                <w:lang w:eastAsia="en-GB"/>
              </w:rPr>
              <w:tab/>
            </w:r>
            <w:r>
              <w:rPr>
                <w:rStyle w:val="Hyperlink"/>
                <w:noProof/>
              </w:rPr>
              <w:t>Milestones, targets, monitoring and implementation</w:t>
            </w:r>
            <w:r>
              <w:rPr>
                <w:noProof/>
                <w:webHidden/>
              </w:rPr>
              <w:tab/>
            </w:r>
            <w:r>
              <w:rPr>
                <w:noProof/>
                <w:webHidden/>
              </w:rPr>
              <w:fldChar w:fldCharType="begin"/>
            </w:r>
            <w:r>
              <w:rPr>
                <w:noProof/>
                <w:webHidden/>
              </w:rPr>
              <w:instrText xml:space="preserve"> PAGEREF _Toc74305331 \h </w:instrText>
            </w:r>
            <w:r>
              <w:rPr>
                <w:noProof/>
                <w:webHidden/>
              </w:rPr>
            </w:r>
            <w:r>
              <w:rPr>
                <w:noProof/>
                <w:webHidden/>
              </w:rPr>
              <w:fldChar w:fldCharType="separate"/>
            </w:r>
            <w:r>
              <w:rPr>
                <w:noProof/>
                <w:webHidden/>
              </w:rPr>
              <w:t>79</w:t>
            </w:r>
            <w:r>
              <w:rPr>
                <w:noProof/>
                <w:webHidden/>
              </w:rPr>
              <w:fldChar w:fldCharType="end"/>
            </w:r>
          </w:hyperlink>
        </w:p>
        <w:p w:rsidR="00176373" w:rsidRDefault="00E474D1">
          <w:pPr>
            <w:pStyle w:val="TOC2"/>
            <w:rPr>
              <w:rFonts w:eastAsiaTheme="minorEastAsia"/>
              <w:noProof/>
              <w:lang w:eastAsia="en-GB"/>
            </w:rPr>
          </w:pPr>
          <w:hyperlink w:anchor="_Toc74305332" w:history="1">
            <w:r>
              <w:rPr>
                <w:rStyle w:val="Hyperlink"/>
                <w:caps/>
                <w:noProof/>
              </w:rPr>
              <w:t>4.9.</w:t>
            </w:r>
            <w:r>
              <w:rPr>
                <w:rFonts w:eastAsiaTheme="minorEastAsia"/>
                <w:noProof/>
                <w:lang w:eastAsia="en-GB"/>
              </w:rPr>
              <w:tab/>
            </w:r>
            <w:r>
              <w:rPr>
                <w:rStyle w:val="Hyperlink"/>
                <w:noProof/>
              </w:rPr>
              <w:t>Costing</w:t>
            </w:r>
            <w:r>
              <w:rPr>
                <w:noProof/>
                <w:webHidden/>
              </w:rPr>
              <w:tab/>
            </w:r>
            <w:r>
              <w:rPr>
                <w:noProof/>
                <w:webHidden/>
              </w:rPr>
              <w:fldChar w:fldCharType="begin"/>
            </w:r>
            <w:r>
              <w:rPr>
                <w:noProof/>
                <w:webHidden/>
              </w:rPr>
              <w:instrText xml:space="preserve"> PAGEREF _Toc74305332 \h </w:instrText>
            </w:r>
            <w:r>
              <w:rPr>
                <w:noProof/>
                <w:webHidden/>
              </w:rPr>
            </w:r>
            <w:r>
              <w:rPr>
                <w:noProof/>
                <w:webHidden/>
              </w:rPr>
              <w:fldChar w:fldCharType="separate"/>
            </w:r>
            <w:r>
              <w:rPr>
                <w:noProof/>
                <w:webHidden/>
              </w:rPr>
              <w:t>82</w:t>
            </w:r>
            <w:r>
              <w:rPr>
                <w:noProof/>
                <w:webHidden/>
              </w:rPr>
              <w:fldChar w:fldCharType="end"/>
            </w:r>
          </w:hyperlink>
        </w:p>
        <w:p w:rsidR="00176373" w:rsidRDefault="00E474D1">
          <w:pPr>
            <w:pStyle w:val="TOC2"/>
            <w:rPr>
              <w:rFonts w:eastAsiaTheme="minorEastAsia"/>
              <w:noProof/>
              <w:lang w:eastAsia="en-GB"/>
            </w:rPr>
          </w:pPr>
          <w:hyperlink w:anchor="_Toc74305333" w:history="1">
            <w:r>
              <w:rPr>
                <w:rStyle w:val="Hyperlink"/>
                <w:noProof/>
              </w:rPr>
              <w:t>4.10.</w:t>
            </w:r>
            <w:r>
              <w:rPr>
                <w:rFonts w:eastAsiaTheme="minorEastAsia"/>
                <w:noProof/>
                <w:lang w:eastAsia="en-GB"/>
              </w:rPr>
              <w:tab/>
            </w:r>
            <w:r>
              <w:rPr>
                <w:rStyle w:val="Hyperlink"/>
                <w:noProof/>
              </w:rPr>
              <w:t>Controls and audit</w:t>
            </w:r>
            <w:r>
              <w:rPr>
                <w:noProof/>
                <w:webHidden/>
              </w:rPr>
              <w:tab/>
            </w:r>
            <w:r>
              <w:rPr>
                <w:noProof/>
                <w:webHidden/>
              </w:rPr>
              <w:fldChar w:fldCharType="begin"/>
            </w:r>
            <w:r>
              <w:rPr>
                <w:noProof/>
                <w:webHidden/>
              </w:rPr>
              <w:instrText xml:space="preserve"> PAGEREF _Toc74305333 \h </w:instrText>
            </w:r>
            <w:r>
              <w:rPr>
                <w:noProof/>
                <w:webHidden/>
              </w:rPr>
            </w:r>
            <w:r>
              <w:rPr>
                <w:noProof/>
                <w:webHidden/>
              </w:rPr>
              <w:fldChar w:fldCharType="separate"/>
            </w:r>
            <w:r>
              <w:rPr>
                <w:noProof/>
                <w:webHidden/>
              </w:rPr>
              <w:t>85</w:t>
            </w:r>
            <w:r>
              <w:rPr>
                <w:noProof/>
                <w:webHidden/>
              </w:rPr>
              <w:fldChar w:fldCharType="end"/>
            </w:r>
          </w:hyperlink>
        </w:p>
        <w:p w:rsidR="00176373" w:rsidRDefault="00E474D1">
          <w:pPr>
            <w:pStyle w:val="TOC2"/>
            <w:rPr>
              <w:rFonts w:eastAsiaTheme="minorEastAsia"/>
              <w:noProof/>
              <w:lang w:eastAsia="en-GB"/>
            </w:rPr>
          </w:pPr>
          <w:hyperlink w:anchor="_Toc74305334" w:history="1">
            <w:r>
              <w:rPr>
                <w:rStyle w:val="Hyperlink"/>
                <w:noProof/>
              </w:rPr>
              <w:t>4.11.</w:t>
            </w:r>
            <w:r>
              <w:rPr>
                <w:rFonts w:eastAsiaTheme="minorEastAsia"/>
                <w:noProof/>
                <w:lang w:eastAsia="en-GB"/>
              </w:rPr>
              <w:tab/>
            </w:r>
            <w:r>
              <w:rPr>
                <w:rStyle w:val="Hyperlink"/>
                <w:noProof/>
              </w:rPr>
              <w:t>Coherence</w:t>
            </w:r>
            <w:r>
              <w:rPr>
                <w:noProof/>
                <w:webHidden/>
              </w:rPr>
              <w:tab/>
            </w:r>
            <w:r>
              <w:rPr>
                <w:noProof/>
                <w:webHidden/>
              </w:rPr>
              <w:fldChar w:fldCharType="begin"/>
            </w:r>
            <w:r>
              <w:rPr>
                <w:noProof/>
                <w:webHidden/>
              </w:rPr>
              <w:instrText xml:space="preserve"> PAGEREF _Toc74305334 \h </w:instrText>
            </w:r>
            <w:r>
              <w:rPr>
                <w:noProof/>
                <w:webHidden/>
              </w:rPr>
            </w:r>
            <w:r>
              <w:rPr>
                <w:noProof/>
                <w:webHidden/>
              </w:rPr>
              <w:fldChar w:fldCharType="separate"/>
            </w:r>
            <w:r>
              <w:rPr>
                <w:noProof/>
                <w:webHidden/>
              </w:rPr>
              <w:t>88</w:t>
            </w:r>
            <w:r>
              <w:rPr>
                <w:noProof/>
                <w:webHidden/>
              </w:rPr>
              <w:fldChar w:fldCharType="end"/>
            </w:r>
          </w:hyperlink>
        </w:p>
        <w:p w:rsidR="00176373" w:rsidRDefault="00E474D1">
          <w:pPr>
            <w:pStyle w:val="TOC1"/>
            <w:rPr>
              <w:rFonts w:eastAsiaTheme="minorEastAsia"/>
              <w:noProof/>
              <w:lang w:eastAsia="en-GB"/>
            </w:rPr>
          </w:pPr>
          <w:hyperlink w:anchor="_Toc74305335" w:history="1">
            <w:r>
              <w:rPr>
                <w:rStyle w:val="Hyperlink"/>
                <w:noProof/>
              </w:rPr>
              <w:t>5.</w:t>
            </w:r>
            <w:r>
              <w:rPr>
                <w:rFonts w:eastAsiaTheme="minorEastAsia"/>
                <w:noProof/>
                <w:lang w:eastAsia="en-GB"/>
              </w:rPr>
              <w:tab/>
            </w:r>
            <w:r>
              <w:rPr>
                <w:rStyle w:val="Hyperlink"/>
                <w:noProof/>
              </w:rPr>
              <w:t>Annex</w:t>
            </w:r>
            <w:r>
              <w:rPr>
                <w:noProof/>
                <w:webHidden/>
              </w:rPr>
              <w:tab/>
            </w:r>
            <w:r>
              <w:rPr>
                <w:noProof/>
                <w:webHidden/>
              </w:rPr>
              <w:fldChar w:fldCharType="begin"/>
            </w:r>
            <w:r>
              <w:rPr>
                <w:noProof/>
                <w:webHidden/>
              </w:rPr>
              <w:instrText xml:space="preserve"> PAGEREF _Toc74305335 \h </w:instrText>
            </w:r>
            <w:r>
              <w:rPr>
                <w:noProof/>
                <w:webHidden/>
              </w:rPr>
            </w:r>
            <w:r>
              <w:rPr>
                <w:noProof/>
                <w:webHidden/>
              </w:rPr>
              <w:fldChar w:fldCharType="separate"/>
            </w:r>
            <w:r>
              <w:rPr>
                <w:noProof/>
                <w:webHidden/>
              </w:rPr>
              <w:t>91</w:t>
            </w:r>
            <w:r>
              <w:rPr>
                <w:noProof/>
                <w:webHidden/>
              </w:rPr>
              <w:fldChar w:fldCharType="end"/>
            </w:r>
          </w:hyperlink>
        </w:p>
        <w:p w:rsidR="00176373" w:rsidRDefault="00E474D1">
          <w:pPr>
            <w:rPr>
              <w:rFonts w:ascii="Times New Roman" w:hAnsi="Times New Roman" w:cs="Times New Roman"/>
              <w:noProof/>
            </w:rPr>
          </w:pPr>
          <w:r>
            <w:rPr>
              <w:rFonts w:ascii="Times New Roman" w:hAnsi="Times New Roman" w:cs="Times New Roman"/>
              <w:b/>
              <w:bCs/>
              <w:noProof/>
            </w:rPr>
            <w:fldChar w:fldCharType="end"/>
          </w:r>
        </w:p>
      </w:sdtContent>
    </w:sdt>
    <w:p w:rsidR="00176373" w:rsidRDefault="00E474D1">
      <w:pPr>
        <w:rPr>
          <w:rFonts w:ascii="Times New Roman" w:eastAsia="Times New Roman" w:hAnsi="Times New Roman" w:cs="Times New Roman"/>
          <w:b/>
          <w:bCs/>
          <w:noProof/>
          <w:sz w:val="32"/>
          <w:szCs w:val="24"/>
        </w:rPr>
      </w:pPr>
      <w:r>
        <w:rPr>
          <w:rFonts w:ascii="Times New Roman" w:eastAsia="Times New Roman" w:hAnsi="Times New Roman" w:cs="Times New Roman"/>
          <w:b/>
          <w:bCs/>
          <w:noProof/>
          <w:sz w:val="32"/>
          <w:szCs w:val="24"/>
        </w:rPr>
        <w:br w:type="page"/>
      </w:r>
    </w:p>
    <w:p w:rsidR="00176373" w:rsidRDefault="00176373">
      <w:pPr>
        <w:rPr>
          <w:rFonts w:ascii="Times New Roman" w:eastAsia="Times New Roman" w:hAnsi="Times New Roman" w:cs="Times New Roman"/>
          <w:b/>
          <w:bCs/>
          <w:noProof/>
          <w:sz w:val="32"/>
          <w:szCs w:val="24"/>
        </w:rPr>
      </w:pPr>
    </w:p>
    <w:p w:rsidR="00176373" w:rsidRDefault="00E474D1">
      <w:pPr>
        <w:pStyle w:val="Heading1"/>
        <w:numPr>
          <w:ilvl w:val="0"/>
          <w:numId w:val="11"/>
        </w:numPr>
        <w:rPr>
          <w:noProof/>
        </w:rPr>
      </w:pPr>
      <w:bookmarkStart w:id="2" w:name="_Toc74305313"/>
      <w:bookmarkStart w:id="3" w:name="_Toc62455191"/>
      <w:bookmarkStart w:id="4" w:name="_Toc62818206"/>
      <w:bookmarkStart w:id="5" w:name="_Toc62818753"/>
      <w:bookmarkStart w:id="6" w:name="_Toc63417208"/>
      <w:bookmarkStart w:id="7" w:name="_Toc63418898"/>
      <w:bookmarkStart w:id="8" w:name="_Toc63418923"/>
      <w:bookmarkStart w:id="9" w:name="_Toc64281609"/>
      <w:bookmarkStart w:id="10" w:name="_Toc72326479"/>
      <w:bookmarkStart w:id="11" w:name="_Toc72326510"/>
      <w:bookmarkStart w:id="12" w:name="_Toc71665319"/>
      <w:bookmarkStart w:id="13" w:name="_Toc71740448"/>
      <w:bookmarkStart w:id="14" w:name="_Toc71792443"/>
      <w:bookmarkStart w:id="15" w:name="_Toc71737013"/>
      <w:bookmarkStart w:id="16" w:name="_Toc72183440"/>
      <w:bookmarkStart w:id="17" w:name="_Toc72187254"/>
      <w:r>
        <w:rPr>
          <w:noProof/>
          <w:lang w:val="en-IE"/>
        </w:rPr>
        <w:t>Executive summary</w:t>
      </w:r>
      <w:bookmarkEnd w:id="2"/>
      <w:r>
        <w:rPr>
          <w:noProof/>
          <w:lang w:val="en-IE"/>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76373" w:rsidRDefault="00E474D1">
      <w:pPr>
        <w:spacing w:line="257" w:lineRule="auto"/>
        <w:jc w:val="both"/>
        <w:rPr>
          <w:rFonts w:ascii="Times New Roman" w:eastAsia="Times New Roman" w:hAnsi="Times New Roman" w:cs="Times New Roman"/>
          <w:noProof/>
          <w:sz w:val="24"/>
          <w:szCs w:val="24"/>
        </w:rPr>
      </w:pPr>
      <w:bookmarkStart w:id="18" w:name="_Toc62455192"/>
      <w:bookmarkStart w:id="19" w:name="_Toc62818207"/>
      <w:bookmarkStart w:id="20" w:name="_Toc62818754"/>
      <w:bookmarkStart w:id="21" w:name="_Toc63417209"/>
      <w:bookmarkStart w:id="22" w:name="_Toc63418899"/>
      <w:bookmarkStart w:id="23" w:name="_Toc63418924"/>
      <w:bookmarkStart w:id="24" w:name="_Toc64281610"/>
      <w:bookmarkStart w:id="25" w:name="_Toc71665320"/>
      <w:bookmarkStart w:id="26" w:name="_Toc71740449"/>
      <w:bookmarkStart w:id="27" w:name="_Toc71792444"/>
      <w:bookmarkStart w:id="28" w:name="_Toc72158495"/>
      <w:bookmarkStart w:id="29" w:name="_Toc72170698"/>
      <w:bookmarkStart w:id="30" w:name="_Toc72176826"/>
      <w:bookmarkStart w:id="31" w:name="_Toc72179397"/>
      <w:bookmarkStart w:id="32" w:name="_Toc72176035"/>
      <w:bookmarkStart w:id="33" w:name="_Toc72181708"/>
      <w:bookmarkStart w:id="34" w:name="_Toc72178557"/>
      <w:bookmarkStart w:id="35" w:name="_Toc72182444"/>
      <w:r>
        <w:rPr>
          <w:rFonts w:ascii="Times New Roman" w:eastAsia="Times New Roman" w:hAnsi="Times New Roman" w:cs="Times New Roman"/>
          <w:b/>
          <w:bCs/>
          <w:noProof/>
          <w:sz w:val="24"/>
          <w:szCs w:val="24"/>
        </w:rPr>
        <w:t>Greece has been severely affected by the coronavirus pandemic, as the structure of its economy with a large share of tourism and transport services sector, and the high share of micro enterprises have made it particularly vulnerable to the shocks triggered</w:t>
      </w:r>
      <w:r>
        <w:rPr>
          <w:rFonts w:ascii="Times New Roman" w:eastAsia="Times New Roman" w:hAnsi="Times New Roman" w:cs="Times New Roman"/>
          <w:b/>
          <w:bCs/>
          <w:noProof/>
          <w:sz w:val="24"/>
          <w:szCs w:val="24"/>
        </w:rPr>
        <w:t xml:space="preserve"> by travel restrictions and social distancing measures. </w:t>
      </w:r>
      <w:r>
        <w:rPr>
          <w:rFonts w:ascii="Times New Roman" w:eastAsia="Times New Roman" w:hAnsi="Times New Roman" w:cs="Times New Roman"/>
          <w:noProof/>
          <w:sz w:val="24"/>
          <w:szCs w:val="24"/>
        </w:rPr>
        <w:t>At the end of 2019, Greece’s recovery from the decade-long financial crisis was taking hold, with business and consumer confidence at pre-2010 levels, and disposable income, investment and consumption</w:t>
      </w:r>
      <w:r>
        <w:rPr>
          <w:rFonts w:ascii="Times New Roman" w:eastAsia="Times New Roman" w:hAnsi="Times New Roman" w:cs="Times New Roman"/>
          <w:noProof/>
          <w:sz w:val="24"/>
          <w:szCs w:val="24"/>
        </w:rPr>
        <w:t xml:space="preserve"> steadily increasing. The positive trends that had started to materialise as a result of the reforms implemented under the macroeconomic adjustment programmes and its aftermath were largely interrupted by the outbreak of the pandemic, which put the challen</w:t>
      </w:r>
      <w:r>
        <w:rPr>
          <w:rFonts w:ascii="Times New Roman" w:eastAsia="Times New Roman" w:hAnsi="Times New Roman" w:cs="Times New Roman"/>
          <w:noProof/>
          <w:sz w:val="24"/>
          <w:szCs w:val="24"/>
        </w:rPr>
        <w:t>ges related to Greece’s high public debt, incomplete external rebalancing and high ratio of non-performing loans to the spotlight again. It also highlighted the importance of addressing the large investment gap, social and economic inequality and high unem</w:t>
      </w:r>
      <w:r>
        <w:rPr>
          <w:rFonts w:ascii="Times New Roman" w:eastAsia="Times New Roman" w:hAnsi="Times New Roman" w:cs="Times New Roman"/>
          <w:noProof/>
          <w:sz w:val="24"/>
          <w:szCs w:val="24"/>
        </w:rPr>
        <w:t xml:space="preserve">ployment, especially of women and young people.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Greece submitted its Recovery and Resilience Plan, named “Greece 2.0”, on 27 April 2021. </w:t>
      </w:r>
      <w:r>
        <w:rPr>
          <w:rFonts w:ascii="Times New Roman" w:eastAsia="Times New Roman" w:hAnsi="Times New Roman" w:cs="Times New Roman"/>
          <w:noProof/>
          <w:sz w:val="24"/>
          <w:szCs w:val="24"/>
        </w:rPr>
        <w:t>The cost of all projects in the plan amounts to EUR 31.164 billion, of which EUR 17.770 billion is foreseen to be fina</w:t>
      </w:r>
      <w:r>
        <w:rPr>
          <w:rFonts w:ascii="Times New Roman" w:eastAsia="Times New Roman" w:hAnsi="Times New Roman" w:cs="Times New Roman"/>
          <w:noProof/>
          <w:sz w:val="24"/>
          <w:szCs w:val="24"/>
        </w:rPr>
        <w:t xml:space="preserve">nced from non-repayable financial support and EUR 12.728 billion from loans up to 2026. </w:t>
      </w:r>
    </w:p>
    <w:p w:rsidR="00176373" w:rsidRDefault="00E474D1">
      <w:pPr>
        <w:spacing w:line="257"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Structured around four pillars and encompassing a well-balanced mix of reforms and investments, the plan aims at addressing the key structural challenges Greece faces </w:t>
      </w:r>
      <w:r>
        <w:rPr>
          <w:rFonts w:ascii="Times New Roman" w:hAnsi="Times New Roman" w:cs="Times New Roman"/>
          <w:b/>
          <w:bCs/>
          <w:noProof/>
          <w:sz w:val="24"/>
          <w:szCs w:val="24"/>
        </w:rPr>
        <w:t>and pursues the objective of the Recovery and Resilience Facility (RRF) Regulation to promote the Union’s economic, social and territorial cohesion.</w:t>
      </w:r>
      <w:r>
        <w:rPr>
          <w:rFonts w:ascii="Times New Roman" w:hAnsi="Times New Roman" w:cs="Times New Roman"/>
          <w:noProof/>
          <w:sz w:val="24"/>
          <w:szCs w:val="24"/>
        </w:rPr>
        <w:t xml:space="preserve"> The plan also contributes to effectively addressing all or a significant subset of the country-specific rec</w:t>
      </w:r>
      <w:r>
        <w:rPr>
          <w:rFonts w:ascii="Times New Roman" w:hAnsi="Times New Roman" w:cs="Times New Roman"/>
          <w:noProof/>
          <w:sz w:val="24"/>
          <w:szCs w:val="24"/>
        </w:rPr>
        <w:t>ommendations that were addressed to Greece by the Council in 2019 and 2020, and provides a good balance across the six policy pillars referred to in Article 3 of the RRF Regulation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The plan is also consistent with the challenges and priorities identified</w:t>
      </w:r>
      <w:r>
        <w:rPr>
          <w:rFonts w:ascii="Times New Roman" w:hAnsi="Times New Roman" w:cs="Times New Roman"/>
          <w:noProof/>
          <w:sz w:val="24"/>
          <w:szCs w:val="24"/>
        </w:rPr>
        <w:t xml:space="preserve"> in the most recent euro area recommendation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The four pillars of the plan are (i) green transition (EUR 6.2 billion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(ii) digital transition (EUR 2.2 billion); (iii) employment, skills and social cohesion (EUR 5.2 billion); and (iv) private investment </w:t>
      </w:r>
      <w:r>
        <w:rPr>
          <w:rFonts w:ascii="Times New Roman" w:hAnsi="Times New Roman" w:cs="Times New Roman"/>
          <w:noProof/>
          <w:sz w:val="24"/>
          <w:szCs w:val="24"/>
        </w:rPr>
        <w:t>and economic and institutional transformation (EUR 4.9 billion), comprising in total 174 measures, of which 68 reforms and 106 investments. These include key investments in energy networks and energy efficiency of buildings, environmental protection and su</w:t>
      </w:r>
      <w:r>
        <w:rPr>
          <w:rFonts w:ascii="Times New Roman" w:hAnsi="Times New Roman" w:cs="Times New Roman"/>
          <w:noProof/>
          <w:sz w:val="24"/>
          <w:szCs w:val="24"/>
        </w:rPr>
        <w:t>stainable transport, investments in very high capacity networks and connectivity, the digitalisation of the public and the private sectors, education, reskilling and upskilling, active and passive labour market policies, social services, and health care. T</w:t>
      </w:r>
      <w:r>
        <w:rPr>
          <w:rFonts w:ascii="Times New Roman" w:hAnsi="Times New Roman" w:cs="Times New Roman"/>
          <w:noProof/>
          <w:sz w:val="24"/>
          <w:szCs w:val="24"/>
        </w:rPr>
        <w:t>he plan also promotes private-sector investments through the RRF Loan Facility (EUR 12.7 billion). Investments are flanked by ambitious reforms of the business environment, labour market, education and training, and public administration, including tax adm</w:t>
      </w:r>
      <w:r>
        <w:rPr>
          <w:rFonts w:ascii="Times New Roman" w:hAnsi="Times New Roman" w:cs="Times New Roman"/>
          <w:noProof/>
          <w:sz w:val="24"/>
          <w:szCs w:val="24"/>
        </w:rPr>
        <w:t xml:space="preserve">inistration, public procurement, and justice. </w:t>
      </w:r>
    </w:p>
    <w:p w:rsidR="00176373" w:rsidRDefault="00E474D1">
      <w:pPr>
        <w:jc w:val="both"/>
        <w:rPr>
          <w:rFonts w:ascii="Times New Roman" w:eastAsia="Times New Roman" w:hAnsi="Times New Roman"/>
          <w:b/>
          <w:noProof/>
          <w:sz w:val="24"/>
          <w:szCs w:val="24"/>
        </w:rPr>
      </w:pPr>
      <w:r>
        <w:rPr>
          <w:rFonts w:ascii="Times New Roman" w:eastAsia="Times New Roman" w:hAnsi="Times New Roman" w:cs="Times New Roman"/>
          <w:b/>
          <w:bCs/>
          <w:noProof/>
          <w:sz w:val="24"/>
          <w:szCs w:val="24"/>
        </w:rPr>
        <w:t>The wide set of investments and reforms is expected to contribute to economic growth and thereby support the correction of the identified macroeconomic imbalances, while promoting a more inclusive and sustaina</w:t>
      </w:r>
      <w:r>
        <w:rPr>
          <w:rFonts w:ascii="Times New Roman" w:eastAsia="Times New Roman" w:hAnsi="Times New Roman" w:cs="Times New Roman"/>
          <w:b/>
          <w:bCs/>
          <w:noProof/>
          <w:sz w:val="24"/>
          <w:szCs w:val="24"/>
        </w:rPr>
        <w:t>ble growth model.</w:t>
      </w:r>
      <w:r>
        <w:rPr>
          <w:rFonts w:ascii="Times New Roman" w:eastAsia="Times New Roman" w:hAnsi="Times New Roman" w:cs="Times New Roman"/>
          <w:noProof/>
          <w:sz w:val="24"/>
          <w:szCs w:val="24"/>
        </w:rPr>
        <w:t xml:space="preserve"> The plan is consistent with the Development Plan for the Greek Economy prepared under the steer of the Nobel laureate Professor Pissarides in 2020.</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The measures presented in the recovery and resilience plan are especially targeted at addr</w:t>
      </w:r>
      <w:r>
        <w:rPr>
          <w:rFonts w:ascii="Times New Roman" w:eastAsia="Times New Roman" w:hAnsi="Times New Roman" w:cs="Times New Roman"/>
          <w:noProof/>
          <w:sz w:val="24"/>
          <w:szCs w:val="24"/>
        </w:rPr>
        <w:t xml:space="preserve">essing </w:t>
      </w:r>
      <w:r>
        <w:rPr>
          <w:rFonts w:ascii="Times New Roman" w:hAnsi="Times New Roman" w:cs="Times New Roman"/>
          <w:noProof/>
          <w:sz w:val="24"/>
          <w:szCs w:val="24"/>
        </w:rPr>
        <w:t xml:space="preserve">the large investment gap that has held back growth in Greece in the past decade, while also facilitating the green and digital transitions and the modernisation of the economy, with a view of promoting export-led growth.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projects a rebound</w:t>
      </w:r>
      <w:r>
        <w:rPr>
          <w:rFonts w:ascii="Times New Roman" w:eastAsia="Times New Roman" w:hAnsi="Times New Roman" w:cs="Times New Roman"/>
          <w:b/>
          <w:bCs/>
          <w:noProof/>
          <w:sz w:val="24"/>
          <w:szCs w:val="24"/>
        </w:rPr>
        <w:t xml:space="preserve"> of economic growth (+3.6%) in 2021, following the severe downturn in 2020 (-8.2%).</w:t>
      </w:r>
      <w:r>
        <w:rPr>
          <w:rFonts w:ascii="Times New Roman" w:eastAsia="Times New Roman" w:hAnsi="Times New Roman" w:cs="Times New Roman"/>
          <w:noProof/>
          <w:sz w:val="24"/>
          <w:szCs w:val="24"/>
        </w:rPr>
        <w:t xml:space="preserve"> Driven by both domestic and foreign demand as well as the supportive stimulus from the Recovery and Resilience Facility, GDP growth is expected to peak at 6.2% in 2022 befo</w:t>
      </w:r>
      <w:r>
        <w:rPr>
          <w:rFonts w:ascii="Times New Roman" w:eastAsia="Times New Roman" w:hAnsi="Times New Roman" w:cs="Times New Roman"/>
          <w:noProof/>
          <w:sz w:val="24"/>
          <w:szCs w:val="24"/>
        </w:rPr>
        <w:t>re decreasing to 4.1% in 2023 and 4.4% in 2024. Unemployment should remain unchanged at 16.3% in 2021, then decline progressively to reach 11.9% in 2024. The budget deficit (9.7% of GDP in 2020) is expected to remain broadly unchanged in 2021, mainly due t</w:t>
      </w:r>
      <w:r>
        <w:rPr>
          <w:rFonts w:ascii="Times New Roman" w:eastAsia="Times New Roman" w:hAnsi="Times New Roman" w:cs="Times New Roman"/>
          <w:noProof/>
          <w:sz w:val="24"/>
          <w:szCs w:val="24"/>
        </w:rPr>
        <w:t>o the prolongation of the measures meant to address the consequences of the pandemic, and to start improving from 2022.</w:t>
      </w:r>
    </w:p>
    <w:p w:rsidR="00176373" w:rsidRDefault="00E474D1">
      <w:pPr>
        <w:tabs>
          <w:tab w:val="left" w:pos="720"/>
        </w:tabs>
        <w:jc w:val="both"/>
        <w:rPr>
          <w:rFonts w:ascii="Times New Roman" w:eastAsia="Times New Roman" w:hAnsi="Times New Roman" w:cs="Times New Roman"/>
          <w:b/>
          <w:noProof/>
          <w:sz w:val="24"/>
          <w:szCs w:val="24"/>
        </w:rPr>
      </w:pPr>
      <w:r>
        <w:rPr>
          <w:rFonts w:ascii="Times New Roman" w:eastAsia="Times New Roman" w:hAnsi="Times New Roman"/>
          <w:b/>
          <w:bCs/>
          <w:noProof/>
          <w:sz w:val="24"/>
          <w:szCs w:val="24"/>
        </w:rPr>
        <w:t>The plan ensures that the policies monitored under enhanced surveillance</w:t>
      </w:r>
      <w:r>
        <w:rPr>
          <w:rStyle w:val="FootnoteReference"/>
          <w:rFonts w:ascii="Times New Roman" w:hAnsi="Times New Roman" w:cs="Times New Roman"/>
          <w:noProof/>
          <w:sz w:val="24"/>
          <w:szCs w:val="24"/>
        </w:rPr>
        <w:footnoteReference w:id="5"/>
      </w:r>
      <w:r>
        <w:rPr>
          <w:rFonts w:ascii="Times New Roman" w:eastAsia="Times New Roman" w:hAnsi="Times New Roman"/>
          <w:b/>
          <w:bCs/>
          <w:noProof/>
          <w:sz w:val="24"/>
          <w:szCs w:val="24"/>
        </w:rPr>
        <w:t xml:space="preserve"> continue to be pursued and are substantially reinforced through the support of necessary investments under the recovery and resilience plan. </w:t>
      </w:r>
      <w:r>
        <w:rPr>
          <w:rFonts w:ascii="Times New Roman" w:eastAsia="Times New Roman" w:hAnsi="Times New Roman"/>
          <w:noProof/>
          <w:sz w:val="24"/>
          <w:szCs w:val="24"/>
        </w:rPr>
        <w:t>This applies in particular to key areas, such as fiscal structural including the tax administration and public pro</w:t>
      </w:r>
      <w:r>
        <w:rPr>
          <w:rFonts w:ascii="Times New Roman" w:eastAsia="Times New Roman" w:hAnsi="Times New Roman"/>
          <w:noProof/>
          <w:sz w:val="24"/>
          <w:szCs w:val="24"/>
        </w:rPr>
        <w:t>curement; labour market, social benefits and health care; the financial sector and business environment; and modernisation of the public administration, justice and fight against corruption. Reforms in these areas were essential to the emerging economic re</w:t>
      </w:r>
      <w:r>
        <w:rPr>
          <w:rFonts w:ascii="Times New Roman" w:eastAsia="Times New Roman" w:hAnsi="Times New Roman"/>
          <w:noProof/>
          <w:sz w:val="24"/>
          <w:szCs w:val="24"/>
        </w:rPr>
        <w:t>covery in Greece prior to the outbreak of the pandemic and to improvements in underlying fiscal conditions, both of which were helping to improve the confidence of investors and financial markets. Specific commitments given in the Eurogroup in June 2018 wi</w:t>
      </w:r>
      <w:r>
        <w:rPr>
          <w:rFonts w:ascii="Times New Roman" w:eastAsia="Times New Roman" w:hAnsi="Times New Roman"/>
          <w:noProof/>
          <w:sz w:val="24"/>
          <w:szCs w:val="24"/>
        </w:rPr>
        <w:t>ll continue to be monitored under enhanced surveillance and provide a basis for the release of additional debt support measures up to mid-2022.</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first, green pillar of the plan contributes significantly to the decarbonisation of the Greek energy sector </w:t>
      </w:r>
      <w:r>
        <w:rPr>
          <w:rFonts w:ascii="Times New Roman" w:eastAsia="Times New Roman" w:hAnsi="Times New Roman" w:cs="Times New Roman"/>
          <w:b/>
          <w:bCs/>
          <w:noProof/>
          <w:sz w:val="24"/>
          <w:szCs w:val="24"/>
        </w:rPr>
        <w:t>and of the economy overall, and is consistent with the National Energy and Climate plan.</w:t>
      </w:r>
      <w:r>
        <w:rPr>
          <w:rFonts w:ascii="Times New Roman" w:eastAsia="Times New Roman" w:hAnsi="Times New Roman" w:cs="Times New Roman"/>
          <w:noProof/>
          <w:sz w:val="24"/>
          <w:szCs w:val="24"/>
        </w:rPr>
        <w:t xml:space="preserve"> Underpinned by the commitment to completely phase out lignite-based electricity production by 2028, with all existing power plants to be closed by 2023, the plan suppo</w:t>
      </w:r>
      <w:r>
        <w:rPr>
          <w:rFonts w:ascii="Times New Roman" w:eastAsia="Times New Roman" w:hAnsi="Times New Roman" w:cs="Times New Roman"/>
          <w:noProof/>
          <w:sz w:val="24"/>
          <w:szCs w:val="24"/>
        </w:rPr>
        <w:t>rts investment in energy networks and includes measures to promote energy efficiency and the energy renovation of buildings, reforms of the electricity market, of the licensing process and of the financing of renewable energy. It also includes the revision</w:t>
      </w:r>
      <w:r>
        <w:rPr>
          <w:rFonts w:ascii="Times New Roman" w:eastAsia="Times New Roman" w:hAnsi="Times New Roman" w:cs="Times New Roman"/>
          <w:noProof/>
          <w:sz w:val="24"/>
          <w:szCs w:val="24"/>
        </w:rPr>
        <w:t xml:space="preserve"> of urban policy and of spatial and maritime planning, and supports infrastructure for electric vehicles as well as the rehabilitation of land currently used for lignite mining. Finally, the plan covers environmental protection issues, such as waste and wa</w:t>
      </w:r>
      <w:r>
        <w:rPr>
          <w:rFonts w:ascii="Times New Roman" w:eastAsia="Times New Roman" w:hAnsi="Times New Roman" w:cs="Times New Roman"/>
          <w:noProof/>
          <w:sz w:val="24"/>
          <w:szCs w:val="24"/>
        </w:rPr>
        <w:t>stewater management, which have long been an issue for Greece, and includes an ambitious plan for reforestation, also supporting biodiversity. Together, the measures supporting the climate change objectives account for 37.5% of the Greek plan’s total alloc</w:t>
      </w:r>
      <w:r>
        <w:rPr>
          <w:rFonts w:ascii="Times New Roman" w:eastAsia="Times New Roman" w:hAnsi="Times New Roman" w:cs="Times New Roman"/>
          <w:noProof/>
          <w:sz w:val="24"/>
          <w:szCs w:val="24"/>
        </w:rPr>
        <w:t xml:space="preserve">ation (non-repayable financial support and loans).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digital transition is supported through measures included in the second pillar, </w:t>
      </w:r>
      <w:r>
        <w:rPr>
          <w:rFonts w:ascii="Times New Roman" w:hAnsi="Times New Roman" w:cs="Times New Roman"/>
          <w:b/>
          <w:bCs/>
          <w:noProof/>
          <w:sz w:val="24"/>
          <w:szCs w:val="24"/>
          <w:lang w:eastAsia="en-GB"/>
        </w:rPr>
        <w:t>aiming at enhancing connectivity, improving the digitalisation of public administration and businesses, and contributing</w:t>
      </w:r>
      <w:r>
        <w:rPr>
          <w:rFonts w:ascii="Times New Roman" w:hAnsi="Times New Roman" w:cs="Times New Roman"/>
          <w:b/>
          <w:bCs/>
          <w:noProof/>
          <w:sz w:val="24"/>
          <w:szCs w:val="24"/>
          <w:lang w:eastAsia="en-GB"/>
        </w:rPr>
        <w:t xml:space="preserve"> to</w:t>
      </w:r>
      <w:r>
        <w:rPr>
          <w:b/>
          <w:bCs/>
          <w:noProof/>
        </w:rPr>
        <w:t xml:space="preserve"> </w:t>
      </w:r>
      <w:r>
        <w:rPr>
          <w:rFonts w:ascii="Times New Roman" w:hAnsi="Times New Roman" w:cs="Times New Roman"/>
          <w:b/>
          <w:bCs/>
          <w:noProof/>
          <w:sz w:val="24"/>
          <w:szCs w:val="24"/>
          <w:lang w:eastAsia="en-GB"/>
        </w:rPr>
        <w:t>the digital transformation of public services and of economic sectors and industrial activities</w:t>
      </w:r>
      <w:r>
        <w:rPr>
          <w:rFonts w:ascii="Times New Roman" w:eastAsia="Times New Roman" w:hAnsi="Times New Roman" w:cs="Times New Roman"/>
          <w:noProof/>
          <w:sz w:val="24"/>
          <w:szCs w:val="24"/>
        </w:rPr>
        <w:t>. The plan promotes investment in fibre optic infrastructure in buildings, submarine cables and 5G networks, and promotes the adoption of digital technologie</w:t>
      </w:r>
      <w:r>
        <w:rPr>
          <w:rFonts w:ascii="Times New Roman" w:eastAsia="Times New Roman" w:hAnsi="Times New Roman" w:cs="Times New Roman"/>
          <w:noProof/>
          <w:sz w:val="24"/>
          <w:szCs w:val="24"/>
        </w:rPr>
        <w:t>s by the SMEs. It also includes important investments in the digitalisation of archives and digitalisation of public services, including the upgrading of the digital infrastructure of the Greek public administration, alongside reforms to simplify and impro</w:t>
      </w:r>
      <w:r>
        <w:rPr>
          <w:rFonts w:ascii="Times New Roman" w:eastAsia="Times New Roman" w:hAnsi="Times New Roman" w:cs="Times New Roman"/>
          <w:noProof/>
          <w:sz w:val="24"/>
          <w:szCs w:val="24"/>
        </w:rPr>
        <w:t xml:space="preserve">ve public administration processes. Together, the measures supporting the digital transition objectives account for 23.3% of the Greek plan’s total allocation (non-repayable financial support and loans).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 comprehensive set of measures presented under the</w:t>
      </w:r>
      <w:r>
        <w:rPr>
          <w:rFonts w:ascii="Times New Roman" w:eastAsia="Times New Roman" w:hAnsi="Times New Roman" w:cs="Times New Roman"/>
          <w:b/>
          <w:bCs/>
          <w:noProof/>
          <w:sz w:val="24"/>
          <w:szCs w:val="24"/>
        </w:rPr>
        <w:t xml:space="preserve"> third pillar aims at addressing labour market deficiencies, delivering a structural increase in employment, upgrading the education and training system, improving social cohesion and increasing the resilience and efficiency of the healthcare sector. </w:t>
      </w:r>
      <w:r>
        <w:rPr>
          <w:rFonts w:ascii="Times New Roman" w:eastAsia="Times New Roman" w:hAnsi="Times New Roman" w:cs="Times New Roman"/>
          <w:noProof/>
          <w:sz w:val="24"/>
          <w:szCs w:val="24"/>
        </w:rPr>
        <w:t>Accor</w:t>
      </w:r>
      <w:r>
        <w:rPr>
          <w:rFonts w:ascii="Times New Roman" w:eastAsia="Times New Roman" w:hAnsi="Times New Roman" w:cs="Times New Roman"/>
          <w:noProof/>
          <w:sz w:val="24"/>
          <w:szCs w:val="24"/>
        </w:rPr>
        <w:t>ding to the estimations included in the plan, the implementation of all the measures could lead to 180 000 – 200 000 new permanent jobs, i.e. an increase of around 5% compared to pre-COVID employment levels. Measures aim at modernising the labour market, f</w:t>
      </w:r>
      <w:r>
        <w:rPr>
          <w:rFonts w:ascii="Times New Roman" w:eastAsia="Times New Roman" w:hAnsi="Times New Roman" w:cs="Times New Roman"/>
          <w:noProof/>
          <w:sz w:val="24"/>
          <w:szCs w:val="24"/>
        </w:rPr>
        <w:t>ostering employment, including for women, and reducing long-term unemployment through hiring incentives, reskilling, and upskilling. Investment in upgrading vocational education and training as well as university education further contribute to human capit</w:t>
      </w:r>
      <w:r>
        <w:rPr>
          <w:rFonts w:ascii="Times New Roman" w:eastAsia="Times New Roman" w:hAnsi="Times New Roman" w:cs="Times New Roman"/>
          <w:noProof/>
          <w:sz w:val="24"/>
          <w:szCs w:val="24"/>
        </w:rPr>
        <w:t>al building. Social cohesion will be enhanced by improving access to healthcare and social services, and fostering active inclusion, also addressing the challenges identified by the Social Scoreboard, such as expanding access to early childhood education a</w:t>
      </w:r>
      <w:r>
        <w:rPr>
          <w:rFonts w:ascii="Times New Roman" w:eastAsia="Times New Roman" w:hAnsi="Times New Roman" w:cs="Times New Roman"/>
          <w:noProof/>
          <w:sz w:val="24"/>
          <w:szCs w:val="24"/>
        </w:rPr>
        <w:t xml:space="preserve">nd care for children less than 3 years old. The plan contains a number of measures to promote deinstitutionalization of care for vulnerable children and adolescents, integration of refugees, persons with disabilities and other vulnerable groups, including </w:t>
      </w:r>
      <w:r>
        <w:rPr>
          <w:rFonts w:ascii="Times New Roman" w:eastAsia="Times New Roman" w:hAnsi="Times New Roman" w:cs="Times New Roman"/>
          <w:noProof/>
          <w:sz w:val="24"/>
          <w:szCs w:val="24"/>
        </w:rPr>
        <w:t xml:space="preserve">the Roma, in the labour market. Access to social policies is planned to be improved through the digital transformation of the social security system and increased support for persons with disabilities. </w:t>
      </w:r>
      <w:r>
        <w:rPr>
          <w:rFonts w:ascii="Times New Roman" w:eastAsia="Times New Roman" w:hAnsi="Times New Roman" w:cs="Times New Roman"/>
          <w:iCs/>
          <w:noProof/>
          <w:sz w:val="24"/>
          <w:szCs w:val="24"/>
        </w:rPr>
        <w:t>T</w:t>
      </w:r>
      <w:r>
        <w:rPr>
          <w:rFonts w:ascii="Times New Roman" w:eastAsia="Times New Roman" w:hAnsi="Times New Roman" w:cs="Times New Roman"/>
          <w:bCs/>
          <w:iCs/>
          <w:noProof/>
          <w:sz w:val="24"/>
          <w:szCs w:val="24"/>
        </w:rPr>
        <w:t>he plan envisages significant reforms and investments</w:t>
      </w:r>
      <w:r>
        <w:rPr>
          <w:rFonts w:ascii="Times New Roman" w:eastAsia="Times New Roman" w:hAnsi="Times New Roman" w:cs="Times New Roman"/>
          <w:bCs/>
          <w:iCs/>
          <w:noProof/>
          <w:sz w:val="24"/>
          <w:szCs w:val="24"/>
        </w:rPr>
        <w:t xml:space="preserve"> in the healthcare sector, upgrading the infrastructure of the hospital system and improving several of its operational aspects, while promoting access, efficiency and resilience of the healthcare sector more broadly.</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fourth pillar of the plan combines</w:t>
      </w:r>
      <w:r>
        <w:rPr>
          <w:rFonts w:ascii="Times New Roman" w:eastAsia="Times New Roman" w:hAnsi="Times New Roman" w:cs="Times New Roman"/>
          <w:b/>
          <w:bCs/>
          <w:noProof/>
          <w:sz w:val="24"/>
          <w:szCs w:val="24"/>
        </w:rPr>
        <w:t xml:space="preserve"> measures to strengthen public administration, including tax administration and justice, improve the financial system, promote research and innovation, and enhance competitiveness in key sectors, also facilitating private investment.</w:t>
      </w:r>
      <w:r>
        <w:rPr>
          <w:rFonts w:ascii="Times New Roman" w:eastAsia="Times New Roman" w:hAnsi="Times New Roman" w:cs="Times New Roman"/>
          <w:noProof/>
          <w:sz w:val="24"/>
          <w:szCs w:val="24"/>
        </w:rPr>
        <w:t xml:space="preserve"> For </w:t>
      </w:r>
      <w:r>
        <w:rPr>
          <w:rFonts w:ascii="Times New Roman" w:eastAsia="Times New Roman" w:hAnsi="Times New Roman" w:cs="Times New Roman"/>
          <w:noProof/>
          <w:sz w:val="24"/>
          <w:szCs w:val="24"/>
          <w:u w:val="single"/>
        </w:rPr>
        <w:t>public administrat</w:t>
      </w:r>
      <w:r>
        <w:rPr>
          <w:rFonts w:ascii="Times New Roman" w:eastAsia="Times New Roman" w:hAnsi="Times New Roman" w:cs="Times New Roman"/>
          <w:noProof/>
          <w:sz w:val="24"/>
          <w:szCs w:val="24"/>
          <w:u w:val="single"/>
        </w:rPr>
        <w:t>ion</w:t>
      </w:r>
      <w:r>
        <w:rPr>
          <w:rFonts w:ascii="Times New Roman" w:eastAsia="Times New Roman" w:hAnsi="Times New Roman" w:cs="Times New Roman"/>
          <w:noProof/>
          <w:sz w:val="24"/>
          <w:szCs w:val="24"/>
        </w:rPr>
        <w:t>, measures are geared towards the improvement of administrative capacity, the enhancement of coordination, a better public procurement framework, and the continued modernisation of the public financial management framework. The measures to codify tax le</w:t>
      </w:r>
      <w:r>
        <w:rPr>
          <w:rFonts w:ascii="Times New Roman" w:eastAsia="Times New Roman" w:hAnsi="Times New Roman" w:cs="Times New Roman"/>
          <w:noProof/>
          <w:sz w:val="24"/>
          <w:szCs w:val="24"/>
        </w:rPr>
        <w:t xml:space="preserve">gislation and to improve the functioning of the </w:t>
      </w:r>
      <w:r>
        <w:rPr>
          <w:rFonts w:ascii="Times New Roman" w:eastAsia="Times New Roman" w:hAnsi="Times New Roman" w:cs="Times New Roman"/>
          <w:noProof/>
          <w:sz w:val="24"/>
          <w:szCs w:val="24"/>
          <w:u w:val="single"/>
        </w:rPr>
        <w:t>tax administration</w:t>
      </w:r>
      <w:r>
        <w:rPr>
          <w:rFonts w:ascii="Times New Roman" w:eastAsia="Times New Roman" w:hAnsi="Times New Roman" w:cs="Times New Roman"/>
          <w:noProof/>
          <w:sz w:val="24"/>
          <w:szCs w:val="24"/>
        </w:rPr>
        <w:t xml:space="preserve">, also through its digitalisation, will support fiscal sustainability through more effective tax collection. The quality and the efficiency of the </w:t>
      </w:r>
      <w:r>
        <w:rPr>
          <w:rFonts w:ascii="Times New Roman" w:eastAsia="Times New Roman" w:hAnsi="Times New Roman" w:cs="Times New Roman"/>
          <w:noProof/>
          <w:sz w:val="24"/>
          <w:szCs w:val="24"/>
          <w:u w:val="single"/>
        </w:rPr>
        <w:t>justice system</w:t>
      </w:r>
      <w:r>
        <w:rPr>
          <w:rFonts w:ascii="Times New Roman" w:eastAsia="Times New Roman" w:hAnsi="Times New Roman" w:cs="Times New Roman"/>
          <w:noProof/>
          <w:sz w:val="24"/>
          <w:szCs w:val="24"/>
        </w:rPr>
        <w:t xml:space="preserve"> will be increased by acceler</w:t>
      </w:r>
      <w:r>
        <w:rPr>
          <w:rFonts w:ascii="Times New Roman" w:eastAsia="Times New Roman" w:hAnsi="Times New Roman" w:cs="Times New Roman"/>
          <w:noProof/>
          <w:sz w:val="24"/>
          <w:szCs w:val="24"/>
        </w:rPr>
        <w:t xml:space="preserve">ating and digitalising judicial processes, while upgrading relevant infrastructures. Important measures are also included to strengthen transparency and fight against corruption and illicit trade. A set of </w:t>
      </w:r>
      <w:r>
        <w:rPr>
          <w:rFonts w:ascii="Times New Roman" w:eastAsia="Times New Roman" w:hAnsi="Times New Roman" w:cs="Times New Roman"/>
          <w:noProof/>
          <w:sz w:val="24"/>
          <w:szCs w:val="24"/>
          <w:u w:val="single"/>
        </w:rPr>
        <w:t>financial sector reforms</w:t>
      </w:r>
      <w:r>
        <w:rPr>
          <w:rFonts w:ascii="Times New Roman" w:eastAsia="Times New Roman" w:hAnsi="Times New Roman" w:cs="Times New Roman"/>
          <w:noProof/>
          <w:sz w:val="24"/>
          <w:szCs w:val="24"/>
        </w:rPr>
        <w:t xml:space="preserve"> will address private inde</w:t>
      </w:r>
      <w:r>
        <w:rPr>
          <w:rFonts w:ascii="Times New Roman" w:eastAsia="Times New Roman" w:hAnsi="Times New Roman" w:cs="Times New Roman"/>
          <w:noProof/>
          <w:sz w:val="24"/>
          <w:szCs w:val="24"/>
        </w:rPr>
        <w:t xml:space="preserve">btedness and strengthen capital markets. On </w:t>
      </w:r>
      <w:r>
        <w:rPr>
          <w:rFonts w:ascii="Times New Roman" w:eastAsia="Times New Roman" w:hAnsi="Times New Roman" w:cs="Times New Roman"/>
          <w:noProof/>
          <w:sz w:val="24"/>
          <w:szCs w:val="24"/>
          <w:u w:val="single"/>
        </w:rPr>
        <w:t>business environment</w:t>
      </w:r>
      <w:r>
        <w:rPr>
          <w:rFonts w:ascii="Times New Roman" w:eastAsia="Times New Roman" w:hAnsi="Times New Roman" w:cs="Times New Roman"/>
          <w:noProof/>
          <w:sz w:val="24"/>
          <w:szCs w:val="24"/>
        </w:rPr>
        <w:t>, measures include tax incentives for private investment targeting the green economy, energy and digitalization of businesses, the promotion of economies of scale and extroversion of enterpris</w:t>
      </w:r>
      <w:r>
        <w:rPr>
          <w:rFonts w:ascii="Times New Roman" w:eastAsia="Times New Roman" w:hAnsi="Times New Roman" w:cs="Times New Roman"/>
          <w:noProof/>
          <w:sz w:val="24"/>
          <w:szCs w:val="24"/>
        </w:rPr>
        <w:t>es, and the simplification of key administrative processes and improvements in the quality of regulation, particularly in areas such as manufacturing and logistics. The pillar also includes important investments in the sustainable development of key sector</w:t>
      </w:r>
      <w:r>
        <w:rPr>
          <w:rFonts w:ascii="Times New Roman" w:eastAsia="Times New Roman" w:hAnsi="Times New Roman" w:cs="Times New Roman"/>
          <w:noProof/>
          <w:sz w:val="24"/>
          <w:szCs w:val="24"/>
        </w:rPr>
        <w:t xml:space="preserve">s, such as tourism, culture, transport and agriculture. Finally, the </w:t>
      </w:r>
      <w:r>
        <w:rPr>
          <w:rFonts w:ascii="Times New Roman" w:eastAsia="Times New Roman" w:hAnsi="Times New Roman" w:cs="Times New Roman"/>
          <w:noProof/>
          <w:sz w:val="24"/>
          <w:szCs w:val="24"/>
          <w:u w:val="single"/>
        </w:rPr>
        <w:t>RRF Loan Facility</w:t>
      </w:r>
      <w:r>
        <w:rPr>
          <w:rFonts w:ascii="Times New Roman" w:eastAsia="Times New Roman" w:hAnsi="Times New Roman" w:cs="Times New Roman"/>
          <w:noProof/>
          <w:sz w:val="24"/>
          <w:szCs w:val="24"/>
        </w:rPr>
        <w:t xml:space="preserve"> aims at </w:t>
      </w:r>
      <w:r>
        <w:rPr>
          <w:rFonts w:ascii="Times New Roman" w:eastAsia="Times New Roman" w:hAnsi="Times New Roman"/>
          <w:noProof/>
          <w:sz w:val="24"/>
          <w:szCs w:val="24"/>
        </w:rPr>
        <w:t>addressing the lack of affordable financing for companies, with loans passed on to the private sector through international financial institutions and commercial</w:t>
      </w:r>
      <w:r>
        <w:rPr>
          <w:rFonts w:ascii="Times New Roman" w:eastAsia="Times New Roman" w:hAnsi="Times New Roman"/>
          <w:noProof/>
          <w:sz w:val="24"/>
          <w:szCs w:val="24"/>
        </w:rPr>
        <w:t xml:space="preserve"> banks. This could help overcome the significant constraints in providing credit through the Greek banking sector, which suffers from the still high volume of non-performing loans and low profitability.</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All measures included in the plan have passed the </w:t>
      </w:r>
      <w:r>
        <w:rPr>
          <w:rFonts w:ascii="Times New Roman" w:eastAsia="Times New Roman" w:hAnsi="Times New Roman" w:cs="Times New Roman"/>
          <w:b/>
          <w:bCs/>
          <w:noProof/>
          <w:sz w:val="24"/>
          <w:szCs w:val="24"/>
        </w:rPr>
        <w:t>ex-ante assessment of the “do no significant harm” principle</w:t>
      </w:r>
      <w:r>
        <w:rPr>
          <w:rFonts w:ascii="Times New Roman" w:eastAsia="Times New Roman" w:hAnsi="Times New Roman" w:cs="Times New Roman"/>
          <w:noProof/>
          <w:sz w:val="24"/>
          <w:szCs w:val="24"/>
        </w:rPr>
        <w:t>. Greece has conducted an assessment for each measure indicating that the principle is followed. Based on the information provided by the Greek authorities, no measure included in the plan is expe</w:t>
      </w:r>
      <w:r>
        <w:rPr>
          <w:rFonts w:ascii="Times New Roman" w:eastAsia="Times New Roman" w:hAnsi="Times New Roman" w:cs="Times New Roman"/>
          <w:noProof/>
          <w:sz w:val="24"/>
          <w:szCs w:val="24"/>
        </w:rPr>
        <w:t xml:space="preserve">cted to do significant harm to environmental objectives within the meaning of Article 17 of Regulation (EU) 2020/852. </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implementation of the plan is expected to bring about a lasting significant impact to Greece.</w:t>
      </w:r>
      <w:r>
        <w:rPr>
          <w:rFonts w:ascii="Times New Roman" w:eastAsia="Times New Roman" w:hAnsi="Times New Roman" w:cs="Times New Roman"/>
          <w:noProof/>
          <w:sz w:val="24"/>
          <w:szCs w:val="24"/>
        </w:rPr>
        <w:t xml:space="preserve"> It is set to provide a significant cont</w:t>
      </w:r>
      <w:r>
        <w:rPr>
          <w:rFonts w:ascii="Times New Roman" w:eastAsia="Times New Roman" w:hAnsi="Times New Roman" w:cs="Times New Roman"/>
          <w:noProof/>
          <w:sz w:val="24"/>
          <w:szCs w:val="24"/>
        </w:rPr>
        <w:t>ribution to the green transition of the Greek economy and strongly supports the decarbonisation of the energy sector. The quality and the efficiency of the public administration at large, including the justice system and tax administration, will benefit fr</w:t>
      </w:r>
      <w:r>
        <w:rPr>
          <w:rFonts w:ascii="Times New Roman" w:eastAsia="Times New Roman" w:hAnsi="Times New Roman" w:cs="Times New Roman"/>
          <w:noProof/>
          <w:sz w:val="24"/>
          <w:szCs w:val="24"/>
        </w:rPr>
        <w:t>om investments and reforms that introduce structural changes. Enhancing and upgrading the digital tools and services is another essential element, coupled with strengthening the administrative capacity and improving the skills of employees. In addition, th</w:t>
      </w:r>
      <w:r>
        <w:rPr>
          <w:rFonts w:ascii="Times New Roman" w:eastAsia="Times New Roman" w:hAnsi="Times New Roman" w:cs="Times New Roman"/>
          <w:noProof/>
          <w:sz w:val="24"/>
          <w:szCs w:val="24"/>
        </w:rPr>
        <w:t>e strategic investments in very high capacity networks, emerging technologies and the multi-country projects could help achieving scale, networking, interoperability and cooperation with similar activities in other Member States. Measures to strengthen the</w:t>
      </w:r>
      <w:r>
        <w:rPr>
          <w:rFonts w:ascii="Times New Roman" w:eastAsia="Times New Roman" w:hAnsi="Times New Roman" w:cs="Times New Roman"/>
          <w:noProof/>
          <w:sz w:val="24"/>
          <w:szCs w:val="24"/>
        </w:rPr>
        <w:t xml:space="preserve"> functioning of healthcare, education and employment services are expected to improve labour market performance and reduce inequalities, poverty and the risk of social exclusion. Finally, strengthening the national frameworks for the fight against corrupti</w:t>
      </w:r>
      <w:r>
        <w:rPr>
          <w:rFonts w:ascii="Times New Roman" w:eastAsia="Times New Roman" w:hAnsi="Times New Roman" w:cs="Times New Roman"/>
          <w:noProof/>
          <w:sz w:val="24"/>
          <w:szCs w:val="24"/>
        </w:rPr>
        <w:t xml:space="preserve">on, money laundering and terrorism will also be relevant steps positively affecting all sectors of the economy and the society at large. </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defines milestones and targets for each investment and reform</w:t>
      </w:r>
      <w:r>
        <w:rPr>
          <w:rFonts w:ascii="Times New Roman" w:eastAsia="Times New Roman" w:hAnsi="Times New Roman" w:cs="Times New Roman"/>
          <w:noProof/>
          <w:sz w:val="24"/>
          <w:szCs w:val="24"/>
        </w:rPr>
        <w:t>. Greece has designated 10 “top investments” and</w:t>
      </w:r>
      <w:r>
        <w:rPr>
          <w:rFonts w:ascii="Times New Roman" w:eastAsia="Times New Roman" w:hAnsi="Times New Roman" w:cs="Times New Roman"/>
          <w:noProof/>
          <w:sz w:val="24"/>
          <w:szCs w:val="24"/>
        </w:rPr>
        <w:t xml:space="preserve"> 8 “key reforms” based on value, impact and maturity criteria, while the remaining measures were categorised in 28 groups based on their area of focus and the allocation of responsibilities across ministries. The milestones and targets are sufficiently cle</w:t>
      </w:r>
      <w:r>
        <w:rPr>
          <w:rFonts w:ascii="Times New Roman" w:eastAsia="Times New Roman" w:hAnsi="Times New Roman" w:cs="Times New Roman"/>
          <w:noProof/>
          <w:sz w:val="24"/>
          <w:szCs w:val="24"/>
        </w:rPr>
        <w:t xml:space="preserve">ar, ambitious and realistic. Their indicators are relevant, as they provide a suitable measure of the actual implementation; acceptable, as they are sufficiently ambitious and their scope reflects the overall objective of the measures; and robust, as they </w:t>
      </w:r>
      <w:r>
        <w:rPr>
          <w:rFonts w:ascii="Times New Roman" w:eastAsia="Times New Roman" w:hAnsi="Times New Roman" w:cs="Times New Roman"/>
          <w:noProof/>
          <w:sz w:val="24"/>
          <w:szCs w:val="24"/>
        </w:rPr>
        <w:t>are specific and trackable, facilitating effective verification. The authorities have designed a clear governance structure responsible for the coordination and the monitoring of the plan’s implementation. The structure consists of a central RRF Coordinati</w:t>
      </w:r>
      <w:r>
        <w:rPr>
          <w:rFonts w:ascii="Times New Roman" w:eastAsia="Times New Roman" w:hAnsi="Times New Roman" w:cs="Times New Roman"/>
          <w:noProof/>
          <w:sz w:val="24"/>
          <w:szCs w:val="24"/>
        </w:rPr>
        <w:t>on Agency, designated ministries responsible for the oversight of specific measures, implementation bodies and the Financial Audit Committee whose mission is to safeguard the observance of the principles of sound financial management for programmes co-fina</w:t>
      </w:r>
      <w:r>
        <w:rPr>
          <w:rFonts w:ascii="Times New Roman" w:eastAsia="Times New Roman" w:hAnsi="Times New Roman" w:cs="Times New Roman"/>
          <w:noProof/>
          <w:sz w:val="24"/>
          <w:szCs w:val="24"/>
        </w:rPr>
        <w:t>nced with the EU. The structure is expected to be fully set up in time for the first payment request.</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Technical Support Instrument (TSI) provides expertise in building capacities to implement the plan in a number of areas</w:t>
      </w:r>
      <w:r>
        <w:rPr>
          <w:rFonts w:ascii="Times New Roman" w:eastAsia="Times New Roman" w:hAnsi="Times New Roman" w:cs="Times New Roman"/>
          <w:noProof/>
          <w:sz w:val="24"/>
          <w:szCs w:val="24"/>
        </w:rPr>
        <w:t>. These areas are clean energy,</w:t>
      </w:r>
      <w:r>
        <w:rPr>
          <w:rFonts w:ascii="Times New Roman" w:eastAsia="Times New Roman" w:hAnsi="Times New Roman" w:cs="Times New Roman"/>
          <w:noProof/>
          <w:sz w:val="24"/>
          <w:szCs w:val="24"/>
        </w:rPr>
        <w:t xml:space="preserve"> digital transformation, state aid, health system reform, non-formal education, customs, financial literacy, as well as for the overall implementation of the plan.</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authorities have presented detailed cost assessments for all investment projects a</w:t>
      </w:r>
      <w:r>
        <w:rPr>
          <w:rFonts w:ascii="Times New Roman" w:eastAsia="Times New Roman" w:hAnsi="Times New Roman" w:cs="Times New Roman"/>
          <w:b/>
          <w:bCs/>
          <w:noProof/>
          <w:sz w:val="24"/>
          <w:szCs w:val="24"/>
        </w:rPr>
        <w:t xml:space="preserve">nd reforms where costs occur. </w:t>
      </w:r>
      <w:r>
        <w:rPr>
          <w:rFonts w:ascii="Times New Roman" w:eastAsia="Times New Roman" w:hAnsi="Times New Roman" w:cs="Times New Roman"/>
          <w:noProof/>
          <w:sz w:val="24"/>
          <w:szCs w:val="24"/>
        </w:rPr>
        <w:t xml:space="preserve">The cost descriptions and methodologies vary across the plan, also depending on the nature of the projects. A cost analysis was produced for each project, including a brief description of the main characteristics, an overview </w:t>
      </w:r>
      <w:r>
        <w:rPr>
          <w:rFonts w:ascii="Times New Roman" w:eastAsia="Times New Roman" w:hAnsi="Times New Roman" w:cs="Times New Roman"/>
          <w:noProof/>
          <w:sz w:val="24"/>
          <w:szCs w:val="24"/>
        </w:rPr>
        <w:t xml:space="preserve">of the timeline, and a breakdown of the project budget. Greece provided an appropriate level of information, based on which it is possible for the European Commission to assess positively reasonability, plausibility, additionality with EU funding, and how </w:t>
      </w:r>
      <w:r>
        <w:rPr>
          <w:rFonts w:ascii="Times New Roman" w:eastAsia="Times New Roman" w:hAnsi="Times New Roman" w:cs="Times New Roman"/>
          <w:noProof/>
          <w:sz w:val="24"/>
          <w:szCs w:val="24"/>
        </w:rPr>
        <w:t>commensurate with expected national economic and social impact the costs are for a large majority of the measures. Cost assessments were also validated by the independent National Productivity Board.</w:t>
      </w:r>
    </w:p>
    <w:p w:rsidR="00176373" w:rsidRDefault="00E474D1">
      <w:pPr>
        <w:tabs>
          <w:tab w:val="left" w:pos="720"/>
        </w:tabs>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control and audit system developed by the Greek auth</w:t>
      </w:r>
      <w:r>
        <w:rPr>
          <w:rFonts w:ascii="Times New Roman" w:eastAsia="Times New Roman" w:hAnsi="Times New Roman" w:cs="Times New Roman"/>
          <w:b/>
          <w:bCs/>
          <w:noProof/>
          <w:sz w:val="24"/>
          <w:szCs w:val="24"/>
        </w:rPr>
        <w:t>orities is coherently designed to meet the RRF requirements</w:t>
      </w:r>
      <w:r>
        <w:rPr>
          <w:rFonts w:ascii="Times New Roman" w:eastAsia="Times New Roman" w:hAnsi="Times New Roman" w:cs="Times New Roman"/>
          <w:noProof/>
          <w:sz w:val="24"/>
          <w:szCs w:val="24"/>
        </w:rPr>
        <w:t>. The proposed system is a tailored-made Management and Control System rooted within the RRF Coordination Agency, which has the overall responsibility for the implementation of the plan and constit</w:t>
      </w:r>
      <w:r>
        <w:rPr>
          <w:rFonts w:ascii="Times New Roman" w:eastAsia="Times New Roman" w:hAnsi="Times New Roman" w:cs="Times New Roman"/>
          <w:noProof/>
          <w:sz w:val="24"/>
          <w:szCs w:val="24"/>
        </w:rPr>
        <w:t>utes the single point of contact between the Greek authorities and the European Commission. Overall, the solutions identified are adequate to effectively manage the complexity of the plan.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achieves a high degree of coherence and complementarity am</w:t>
      </w:r>
      <w:r>
        <w:rPr>
          <w:rFonts w:ascii="Times New Roman" w:eastAsia="Times New Roman" w:hAnsi="Times New Roman" w:cs="Times New Roman"/>
          <w:b/>
          <w:bCs/>
          <w:noProof/>
          <w:sz w:val="24"/>
          <w:szCs w:val="24"/>
        </w:rPr>
        <w:t>ong its components.</w:t>
      </w:r>
      <w:r>
        <w:rPr>
          <w:rFonts w:ascii="Times New Roman" w:eastAsia="Times New Roman" w:hAnsi="Times New Roman" w:cs="Times New Roman"/>
          <w:noProof/>
          <w:sz w:val="24"/>
          <w:szCs w:val="24"/>
        </w:rPr>
        <w:t xml:space="preserve"> This is facilitated by the structure of the plan around four main pillars, which include mutually reinforcing measures. Notably, the inclusion of climate-related and sustainability criteria from the green transition pillar will also ena</w:t>
      </w:r>
      <w:r>
        <w:rPr>
          <w:rFonts w:ascii="Times New Roman" w:eastAsia="Times New Roman" w:hAnsi="Times New Roman" w:cs="Times New Roman"/>
          <w:noProof/>
          <w:sz w:val="24"/>
          <w:szCs w:val="24"/>
        </w:rPr>
        <w:t>ble the deployment of digital technologies and reinforce the impact of the digital pillar. On the other hand, measures such as demand response, which enables consumers to adjust electricity demand during peak periods, are only possible because of investmen</w:t>
      </w:r>
      <w:r>
        <w:rPr>
          <w:rFonts w:ascii="Times New Roman" w:eastAsia="Times New Roman" w:hAnsi="Times New Roman" w:cs="Times New Roman"/>
          <w:noProof/>
          <w:sz w:val="24"/>
          <w:szCs w:val="24"/>
        </w:rPr>
        <w:t>t in digital technologies. The third pillar on employment, skills and social cohesion includes measures ensuring that the costs and benefits of digital and green transitions will be fairly distributed across different parts of the Greek society. To this ef</w:t>
      </w:r>
      <w:r>
        <w:rPr>
          <w:rFonts w:ascii="Times New Roman" w:eastAsia="Times New Roman" w:hAnsi="Times New Roman" w:cs="Times New Roman"/>
          <w:noProof/>
          <w:sz w:val="24"/>
          <w:szCs w:val="24"/>
        </w:rPr>
        <w:t>fect, the third pillar includes measures prioritising sustainable job creation, improvement of the education system and skills, and the provision of high quality and effective health and social care services. Finally, the fourth pillar presents measures fo</w:t>
      </w:r>
      <w:r>
        <w:rPr>
          <w:rFonts w:ascii="Times New Roman" w:eastAsia="Times New Roman" w:hAnsi="Times New Roman" w:cs="Times New Roman"/>
          <w:noProof/>
          <w:sz w:val="24"/>
          <w:szCs w:val="24"/>
        </w:rPr>
        <w:t>r boosting competitiveness and innovation by mobilising private and public investment and setting up institutional frameworks that will be instrumental in supporting the digital and green transition in Greece.</w:t>
      </w:r>
    </w:p>
    <w:p w:rsidR="00176373" w:rsidRDefault="00E474D1">
      <w:pPr>
        <w:pStyle w:val="paragraph"/>
        <w:keepNext/>
        <w:rPr>
          <w:noProof/>
        </w:rPr>
      </w:pPr>
      <w:bookmarkStart w:id="36" w:name="_bookmark3"/>
      <w:bookmarkStart w:id="37" w:name="_bookmark2"/>
      <w:bookmarkStart w:id="38" w:name="_bookmark1"/>
      <w:bookmarkStart w:id="39" w:name="_bookmark0"/>
      <w:bookmarkEnd w:id="36"/>
      <w:bookmarkEnd w:id="37"/>
      <w:bookmarkEnd w:id="38"/>
      <w:bookmarkEnd w:id="39"/>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xml:space="preserve"> Summary of the</w:t>
      </w:r>
      <w:r>
        <w:rPr>
          <w:noProof/>
        </w:rPr>
        <w:t xml:space="preserve"> assessment of the plan under the RRF criteria</w:t>
      </w:r>
    </w:p>
    <w:tbl>
      <w:tblPr>
        <w:tblW w:w="9072" w:type="dxa"/>
        <w:tblInd w:w="-5" w:type="dxa"/>
        <w:tblLayout w:type="fixed"/>
        <w:tblCellMar>
          <w:left w:w="28" w:type="dxa"/>
          <w:right w:w="28" w:type="dxa"/>
        </w:tblCellMar>
        <w:tblLook w:val="04A0" w:firstRow="1" w:lastRow="0" w:firstColumn="1" w:lastColumn="0" w:noHBand="0" w:noVBand="1"/>
      </w:tblPr>
      <w:tblGrid>
        <w:gridCol w:w="824"/>
        <w:gridCol w:w="825"/>
        <w:gridCol w:w="825"/>
        <w:gridCol w:w="824"/>
        <w:gridCol w:w="825"/>
        <w:gridCol w:w="825"/>
        <w:gridCol w:w="825"/>
        <w:gridCol w:w="824"/>
        <w:gridCol w:w="825"/>
        <w:gridCol w:w="825"/>
        <w:gridCol w:w="825"/>
      </w:tblGrid>
      <w:tr w:rsidR="00176373">
        <w:trPr>
          <w:trHeight w:val="284"/>
        </w:trPr>
        <w:tc>
          <w:tcPr>
            <w:tcW w:w="824"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(1)</w:t>
            </w:r>
            <w:r>
              <w:rPr>
                <w:rFonts w:eastAsia="Times New Roman"/>
                <w:b/>
                <w:noProof/>
                <w:sz w:val="16"/>
                <w:szCs w:val="16"/>
              </w:rPr>
              <w:br/>
            </w:r>
            <w:r>
              <w:rPr>
                <w:rFonts w:eastAsia="Times New Roman"/>
                <w:b/>
                <w:bCs/>
                <w:noProof/>
                <w:sz w:val="16"/>
                <w:szCs w:val="16"/>
              </w:rPr>
              <w:t>Balanced Response</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(2)</w:t>
            </w:r>
            <w:r>
              <w:rPr>
                <w:rFonts w:eastAsia="Times New Roman"/>
                <w:b/>
                <w:noProof/>
                <w:sz w:val="16"/>
                <w:szCs w:val="16"/>
              </w:rPr>
              <w:br/>
            </w:r>
            <w:r>
              <w:rPr>
                <w:rFonts w:eastAsia="Times New Roman"/>
                <w:b/>
                <w:bCs/>
                <w:noProof/>
                <w:sz w:val="16"/>
                <w:szCs w:val="16"/>
              </w:rPr>
              <w:t>CSRs</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(3)</w:t>
            </w:r>
            <w:r>
              <w:rPr>
                <w:rFonts w:eastAsia="Times New Roman"/>
                <w:b/>
                <w:noProof/>
                <w:sz w:val="16"/>
                <w:szCs w:val="16"/>
              </w:rPr>
              <w:br/>
            </w:r>
            <w:r>
              <w:rPr>
                <w:rFonts w:eastAsia="Times New Roman"/>
                <w:b/>
                <w:bCs/>
                <w:noProof/>
                <w:sz w:val="16"/>
                <w:szCs w:val="16"/>
              </w:rPr>
              <w:t>Growth, jobs…</w:t>
            </w:r>
          </w:p>
        </w:tc>
        <w:tc>
          <w:tcPr>
            <w:tcW w:w="824"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(4)</w:t>
            </w:r>
            <w:r>
              <w:rPr>
                <w:rFonts w:eastAsia="Times New Roman"/>
                <w:b/>
                <w:noProof/>
                <w:sz w:val="16"/>
                <w:szCs w:val="16"/>
              </w:rPr>
              <w:br/>
            </w:r>
            <w:r>
              <w:rPr>
                <w:rFonts w:eastAsia="Times New Roman"/>
                <w:b/>
                <w:bCs/>
                <w:noProof/>
                <w:sz w:val="16"/>
                <w:szCs w:val="16"/>
              </w:rPr>
              <w:t>DNSH</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(5)</w:t>
            </w:r>
            <w:r>
              <w:rPr>
                <w:rFonts w:eastAsia="Times New Roman"/>
                <w:b/>
                <w:noProof/>
                <w:sz w:val="16"/>
                <w:szCs w:val="16"/>
              </w:rPr>
              <w:br/>
            </w:r>
            <w:r>
              <w:rPr>
                <w:rFonts w:eastAsia="Times New Roman"/>
                <w:b/>
                <w:bCs/>
                <w:noProof/>
                <w:sz w:val="16"/>
                <w:szCs w:val="16"/>
              </w:rPr>
              <w:t>Green target</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(6)</w:t>
            </w:r>
            <w:r>
              <w:rPr>
                <w:rFonts w:eastAsia="Times New Roman"/>
                <w:b/>
                <w:noProof/>
                <w:sz w:val="16"/>
                <w:szCs w:val="16"/>
              </w:rPr>
              <w:br/>
            </w:r>
            <w:r>
              <w:rPr>
                <w:rFonts w:eastAsia="Times New Roman"/>
                <w:b/>
                <w:bCs/>
                <w:noProof/>
                <w:sz w:val="16"/>
                <w:szCs w:val="16"/>
              </w:rPr>
              <w:t>Digital target</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(7)</w:t>
            </w:r>
            <w:r>
              <w:rPr>
                <w:rFonts w:eastAsia="Times New Roman"/>
                <w:b/>
                <w:noProof/>
                <w:sz w:val="16"/>
                <w:szCs w:val="16"/>
              </w:rPr>
              <w:br/>
            </w:r>
            <w:r>
              <w:rPr>
                <w:rFonts w:eastAsia="Times New Roman"/>
                <w:b/>
                <w:bCs/>
                <w:noProof/>
                <w:sz w:val="16"/>
                <w:szCs w:val="16"/>
              </w:rPr>
              <w:t>Lasting impact</w:t>
            </w:r>
          </w:p>
        </w:tc>
        <w:tc>
          <w:tcPr>
            <w:tcW w:w="824"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(8)</w:t>
            </w:r>
            <w:r>
              <w:rPr>
                <w:rFonts w:eastAsia="Times New Roman"/>
                <w:b/>
                <w:noProof/>
                <w:sz w:val="16"/>
                <w:szCs w:val="16"/>
              </w:rPr>
              <w:br/>
            </w:r>
            <w:r>
              <w:rPr>
                <w:rFonts w:eastAsia="Times New Roman"/>
                <w:b/>
                <w:bCs/>
                <w:noProof/>
                <w:sz w:val="16"/>
                <w:szCs w:val="16"/>
              </w:rPr>
              <w:t>Milestones &amp; Targets</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(9)</w:t>
            </w:r>
            <w:r>
              <w:rPr>
                <w:rFonts w:eastAsia="Times New Roman"/>
                <w:b/>
                <w:noProof/>
                <w:sz w:val="16"/>
                <w:szCs w:val="16"/>
              </w:rPr>
              <w:br/>
            </w:r>
            <w:r>
              <w:rPr>
                <w:rFonts w:eastAsia="Times New Roman"/>
                <w:b/>
                <w:bCs/>
                <w:noProof/>
                <w:sz w:val="16"/>
                <w:szCs w:val="16"/>
              </w:rPr>
              <w:t>Costing</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(10)</w:t>
            </w:r>
            <w:r>
              <w:rPr>
                <w:rFonts w:eastAsia="Times New Roman"/>
                <w:b/>
                <w:noProof/>
                <w:sz w:val="16"/>
                <w:szCs w:val="16"/>
              </w:rPr>
              <w:br/>
            </w:r>
            <w:r>
              <w:rPr>
                <w:rFonts w:eastAsia="Times New Roman"/>
                <w:b/>
                <w:bCs/>
                <w:noProof/>
                <w:sz w:val="16"/>
                <w:szCs w:val="16"/>
              </w:rPr>
              <w:t>Control Systems</w:t>
            </w:r>
          </w:p>
        </w:tc>
        <w:tc>
          <w:tcPr>
            <w:tcW w:w="825" w:type="dxa"/>
            <w:shd w:val="clear" w:color="auto" w:fill="BFBFBF" w:themeFill="background1" w:themeFillShade="BF"/>
          </w:tcPr>
          <w:p w:rsidR="00176373" w:rsidRDefault="00E474D1">
            <w:pPr>
              <w:pStyle w:val="NoSpacing"/>
              <w:jc w:val="center"/>
              <w:rPr>
                <w:rFonts w:eastAsia="Times New Roman"/>
                <w:b/>
                <w:noProof/>
                <w:sz w:val="16"/>
                <w:szCs w:val="16"/>
              </w:rPr>
            </w:pPr>
            <w:r>
              <w:rPr>
                <w:rFonts w:eastAsia="Times New Roman"/>
                <w:b/>
                <w:bCs/>
                <w:noProof/>
                <w:sz w:val="16"/>
                <w:szCs w:val="16"/>
              </w:rPr>
              <w:t>(11)</w:t>
            </w:r>
            <w:r>
              <w:rPr>
                <w:rFonts w:eastAsia="Times New Roman"/>
                <w:b/>
                <w:noProof/>
                <w:sz w:val="16"/>
                <w:szCs w:val="16"/>
              </w:rPr>
              <w:br/>
            </w:r>
            <w:r>
              <w:rPr>
                <w:rFonts w:eastAsia="Times New Roman"/>
                <w:b/>
                <w:bCs/>
                <w:noProof/>
                <w:sz w:val="16"/>
                <w:szCs w:val="16"/>
              </w:rPr>
              <w:t>Coherence</w:t>
            </w:r>
          </w:p>
        </w:tc>
      </w:tr>
      <w:tr w:rsidR="00176373">
        <w:trPr>
          <w:trHeight w:val="510"/>
        </w:trPr>
        <w:tc>
          <w:tcPr>
            <w:tcW w:w="824"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 xml:space="preserve">A </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4"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 xml:space="preserve">A </w:t>
            </w:r>
          </w:p>
        </w:tc>
        <w:tc>
          <w:tcPr>
            <w:tcW w:w="824"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B</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A</w:t>
            </w:r>
          </w:p>
        </w:tc>
        <w:tc>
          <w:tcPr>
            <w:tcW w:w="825" w:type="dxa"/>
            <w:shd w:val="clear" w:color="auto" w:fill="auto"/>
          </w:tcPr>
          <w:p w:rsidR="00176373" w:rsidRDefault="00E474D1">
            <w:pPr>
              <w:jc w:val="center"/>
              <w:rPr>
                <w:rFonts w:ascii="Times New Roman" w:hAnsi="Times New Roman" w:cs="Times New Roman"/>
                <w:b/>
                <w:noProof/>
                <w:sz w:val="16"/>
                <w:szCs w:val="16"/>
              </w:rPr>
            </w:pPr>
            <w:r>
              <w:rPr>
                <w:rFonts w:ascii="Times New Roman" w:hAnsi="Times New Roman" w:cs="Times New Roman"/>
                <w:b/>
                <w:bCs/>
                <w:noProof/>
                <w:sz w:val="16"/>
                <w:szCs w:val="16"/>
              </w:rPr>
              <w:t xml:space="preserve">A </w:t>
            </w:r>
          </w:p>
        </w:tc>
      </w:tr>
    </w:tbl>
    <w:p w:rsidR="00176373" w:rsidRDefault="00E474D1">
      <w:pPr>
        <w:rPr>
          <w:rFonts w:ascii="Times New Roman" w:eastAsia="Times New Roman" w:hAnsi="Times New Roman" w:cs="Times New Roman"/>
          <w:b/>
          <w:smallCaps/>
          <w:noProof/>
          <w:sz w:val="24"/>
          <w:szCs w:val="20"/>
          <w:lang w:eastAsia="en-GB"/>
        </w:rPr>
      </w:pPr>
      <w:bookmarkStart w:id="40" w:name="_Toc72183441"/>
      <w:bookmarkStart w:id="41" w:name="_Toc72187255"/>
      <w:r>
        <w:rPr>
          <w:noProof/>
        </w:rPr>
        <w:br w:type="page"/>
      </w:r>
    </w:p>
    <w:p w:rsidR="00176373" w:rsidRDefault="00E474D1">
      <w:pPr>
        <w:pStyle w:val="Heading1"/>
        <w:numPr>
          <w:ilvl w:val="0"/>
          <w:numId w:val="10"/>
        </w:numPr>
        <w:rPr>
          <w:i/>
          <w:noProof/>
        </w:rPr>
      </w:pPr>
      <w:bookmarkStart w:id="42" w:name="_Toc72326480"/>
      <w:bookmarkStart w:id="43" w:name="_Toc72326511"/>
      <w:bookmarkStart w:id="44" w:name="_Toc74305314"/>
      <w:r>
        <w:rPr>
          <w:noProof/>
        </w:rPr>
        <w:t>Recovery and resilience challenges: scene-setter</w:t>
      </w:r>
      <w:bookmarkEnd w:id="18"/>
      <w:bookmarkEnd w:id="19"/>
      <w:bookmarkEnd w:id="20"/>
      <w:bookmarkEnd w:id="21"/>
      <w:bookmarkEnd w:id="22"/>
      <w:bookmarkEnd w:id="23"/>
      <w:bookmarkEnd w:id="24"/>
      <w:bookmarkEnd w:id="42"/>
      <w:bookmarkEnd w:id="43"/>
      <w:bookmarkEnd w:id="44"/>
      <w:r>
        <w:rPr>
          <w:noProof/>
        </w:rPr>
        <w:t xml:space="preserve"> </w:t>
      </w:r>
      <w:bookmarkEnd w:id="25"/>
      <w:bookmarkEnd w:id="26"/>
      <w:bookmarkEnd w:id="27"/>
      <w:bookmarkEnd w:id="28"/>
      <w:bookmarkEnd w:id="29"/>
      <w:bookmarkEnd w:id="30"/>
      <w:bookmarkEnd w:id="31"/>
      <w:bookmarkEnd w:id="32"/>
      <w:bookmarkEnd w:id="33"/>
      <w:bookmarkEnd w:id="34"/>
      <w:bookmarkEnd w:id="35"/>
      <w:bookmarkEnd w:id="40"/>
      <w:bookmarkEnd w:id="41"/>
    </w:p>
    <w:p w:rsidR="00176373" w:rsidRDefault="00E474D1">
      <w:pPr>
        <w:pStyle w:val="Heading2"/>
        <w:numPr>
          <w:ilvl w:val="1"/>
          <w:numId w:val="10"/>
        </w:numPr>
        <w:rPr>
          <w:noProof/>
        </w:rPr>
      </w:pPr>
      <w:bookmarkStart w:id="45" w:name="_Toc72326481"/>
      <w:bookmarkStart w:id="46" w:name="_Toc72326512"/>
      <w:bookmarkStart w:id="47" w:name="_Toc62455193"/>
      <w:bookmarkStart w:id="48" w:name="_Toc62818208"/>
      <w:bookmarkStart w:id="49" w:name="_Toc62818755"/>
      <w:bookmarkStart w:id="50" w:name="_Toc63417210"/>
      <w:bookmarkStart w:id="51" w:name="_Toc63418900"/>
      <w:bookmarkStart w:id="52" w:name="_Toc63418925"/>
      <w:bookmarkStart w:id="53" w:name="_Toc64281611"/>
      <w:bookmarkStart w:id="54" w:name="_Toc71665321"/>
      <w:bookmarkStart w:id="55" w:name="_Toc71740450"/>
      <w:bookmarkStart w:id="56" w:name="_Toc71792445"/>
      <w:bookmarkStart w:id="57" w:name="_Toc72158496"/>
      <w:bookmarkStart w:id="58" w:name="_Toc72170699"/>
      <w:bookmarkStart w:id="59" w:name="_Toc72176827"/>
      <w:bookmarkStart w:id="60" w:name="_Toc72179398"/>
      <w:bookmarkStart w:id="61" w:name="_Toc72176036"/>
      <w:bookmarkStart w:id="62" w:name="_Toc72181709"/>
      <w:bookmarkStart w:id="63" w:name="_Toc72178558"/>
      <w:bookmarkStart w:id="64" w:name="_Toc72182445"/>
      <w:bookmarkStart w:id="65" w:name="_Toc72183442"/>
      <w:bookmarkStart w:id="66" w:name="_Toc72187256"/>
      <w:bookmarkStart w:id="67" w:name="_Toc74305315"/>
      <w:r>
        <w:rPr>
          <w:noProof/>
        </w:rPr>
        <w:t>Macroeconomic outlook and developments since the 2020 country report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176373" w:rsidRDefault="00E474D1">
      <w:pPr>
        <w:jc w:val="both"/>
        <w:rPr>
          <w:noProof/>
        </w:rPr>
      </w:pPr>
      <w:r>
        <w:rPr>
          <w:rFonts w:ascii="Times New Roman" w:eastAsia="Times New Roman" w:hAnsi="Times New Roman" w:cs="Times New Roman"/>
          <w:b/>
          <w:bCs/>
          <w:noProof/>
          <w:sz w:val="24"/>
          <w:szCs w:val="24"/>
        </w:rPr>
        <w:t xml:space="preserve">The macroeconomic scenario underlying the Greek recovery and resilience plan projects a recovery of economic activity to the </w:t>
      </w:r>
      <w:r>
        <w:rPr>
          <w:rFonts w:ascii="Times New Roman" w:eastAsia="Times New Roman" w:hAnsi="Times New Roman" w:cs="Times New Roman"/>
          <w:b/>
          <w:bCs/>
          <w:noProof/>
          <w:sz w:val="24"/>
          <w:szCs w:val="24"/>
        </w:rPr>
        <w:t>pre-pandemic levels of 2019 in 2022.</w:t>
      </w:r>
      <w:r>
        <w:rPr>
          <w:rFonts w:ascii="Times New Roman" w:eastAsia="Times New Roman" w:hAnsi="Times New Roman" w:cs="Times New Roman"/>
          <w:noProof/>
          <w:sz w:val="24"/>
          <w:szCs w:val="24"/>
        </w:rPr>
        <w:t xml:space="preserve"> According to the plan, GDP is expected to grow by 3.6% in 2021 and 6.2% in 2022, before decreasing to 4.1% in 2023 and 4.4% in 2024. Growth is expected to be driven by domestic demand and the supportive stimulus from the Recovery and Resilience Facility. </w:t>
      </w:r>
      <w:r>
        <w:rPr>
          <w:rFonts w:ascii="Times New Roman" w:eastAsia="Times New Roman" w:hAnsi="Times New Roman" w:cs="Times New Roman"/>
          <w:noProof/>
          <w:sz w:val="24"/>
          <w:szCs w:val="24"/>
        </w:rPr>
        <w:t xml:space="preserve">Net trade is forecast to recover ahead of the rebound in the tourism sector, especially in 2022, also improving the current account deficit. Inflation is expected to increase but to stay close to 0% in 2021 before increasing to 0.7% in 2022.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macroecon</w:t>
      </w:r>
      <w:r>
        <w:rPr>
          <w:rFonts w:ascii="Times New Roman" w:eastAsia="Times New Roman" w:hAnsi="Times New Roman" w:cs="Times New Roman"/>
          <w:b/>
          <w:bCs/>
          <w:noProof/>
          <w:sz w:val="24"/>
          <w:szCs w:val="24"/>
        </w:rPr>
        <w:t xml:space="preserve">omic scenario under the plan foresees unemployment to remain unchanged at 16.3% in 2021, and to follow a downward trajectory towards 11.9% in 2024. </w:t>
      </w:r>
      <w:r>
        <w:rPr>
          <w:rFonts w:ascii="Times New Roman" w:eastAsia="Times New Roman" w:hAnsi="Times New Roman" w:cs="Times New Roman"/>
          <w:noProof/>
          <w:sz w:val="24"/>
          <w:szCs w:val="24"/>
        </w:rPr>
        <w:t>Employment is forecast to grow marginally in 2021, due to a gradual return of hiring in the tourism industry</w:t>
      </w:r>
      <w:r>
        <w:rPr>
          <w:rFonts w:ascii="Times New Roman" w:eastAsia="Times New Roman" w:hAnsi="Times New Roman" w:cs="Times New Roman"/>
          <w:noProof/>
          <w:sz w:val="24"/>
          <w:szCs w:val="24"/>
        </w:rPr>
        <w:t>, while the services sector is still constrained by the containment measures. Long-term unemployment remains the highest in the EU, however, risks of a further increase are expected to remain contained as employment support measures prevented an increase i</w:t>
      </w:r>
      <w:r>
        <w:rPr>
          <w:rFonts w:ascii="Times New Roman" w:eastAsia="Times New Roman" w:hAnsi="Times New Roman" w:cs="Times New Roman"/>
          <w:noProof/>
          <w:sz w:val="24"/>
          <w:szCs w:val="24"/>
        </w:rPr>
        <w:t>n unemployment during the pandemic. Poverty is expected to slowly ease from the peak recorded during the pandemic. The share of people at risk of poverty or social exclusion is among the highest in the EU (30% in 2019), albeit below its peak of 36% in 2014</w:t>
      </w:r>
      <w:r>
        <w:rPr>
          <w:rFonts w:ascii="Times New Roman" w:eastAsia="Times New Roman" w:hAnsi="Times New Roman" w:cs="Times New Roman"/>
          <w:noProof/>
          <w:sz w:val="24"/>
          <w:szCs w:val="24"/>
        </w:rPr>
        <w:t>. Vulnerable groups are more likely to be at risk of poverty or social exclusion, including people with migrant background and low-skilled workers. The pandemic is expected to have further accentuated those gaps. The position of those struggling to find em</w:t>
      </w:r>
      <w:r>
        <w:rPr>
          <w:rFonts w:ascii="Times New Roman" w:eastAsia="Times New Roman" w:hAnsi="Times New Roman" w:cs="Times New Roman"/>
          <w:noProof/>
          <w:sz w:val="24"/>
          <w:szCs w:val="24"/>
        </w:rPr>
        <w:t>ployment before the pandemic, low-skilled, young and women, is expected to deteriorate when the employment support measures are discontinued. Further, it remains uncertain whether the steady improvement seen before the pandemic will resume in the following</w:t>
      </w:r>
      <w:r>
        <w:rPr>
          <w:rFonts w:ascii="Times New Roman" w:eastAsia="Times New Roman" w:hAnsi="Times New Roman" w:cs="Times New Roman"/>
          <w:noProof/>
          <w:sz w:val="24"/>
          <w:szCs w:val="24"/>
        </w:rPr>
        <w:t xml:space="preserve"> years. Greece remains a ‘moderately equal’ society with respect to the fairness of income distribution and income inequality is higher compared to the euro area average.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Greece is experiencing excessive macroeconomic imbalances. Vulnerabilities relate to</w:t>
      </w:r>
      <w:r>
        <w:rPr>
          <w:rFonts w:ascii="Times New Roman" w:eastAsia="Times New Roman" w:hAnsi="Times New Roman" w:cs="Times New Roman"/>
          <w:b/>
          <w:bCs/>
          <w:noProof/>
          <w:sz w:val="24"/>
          <w:szCs w:val="24"/>
        </w:rPr>
        <w:t xml:space="preserve"> high government debt, incomplete external rebalancing and high non-performing loans, in a context of high unemployment and low potential growth. </w:t>
      </w:r>
      <w:r>
        <w:rPr>
          <w:rFonts w:ascii="Times New Roman" w:eastAsia="Times New Roman" w:hAnsi="Times New Roman" w:cs="Times New Roman"/>
          <w:noProof/>
          <w:sz w:val="24"/>
          <w:szCs w:val="24"/>
        </w:rPr>
        <w:t>The Greek economy’s potential growth has been in negative territory for over a decade, primarily due to the ec</w:t>
      </w:r>
      <w:r>
        <w:rPr>
          <w:rFonts w:ascii="Times New Roman" w:eastAsia="Times New Roman" w:hAnsi="Times New Roman" w:cs="Times New Roman"/>
          <w:noProof/>
          <w:sz w:val="24"/>
          <w:szCs w:val="24"/>
        </w:rPr>
        <w:t>onomy’s low total factor productivity and diminished capital stock. Since 2012, Greece has significantly narrowed its current account deficit, however the coronavirus pandemic has widened the country’s external imbalances again. The pandemic has also put a</w:t>
      </w:r>
      <w:r>
        <w:rPr>
          <w:rFonts w:ascii="Times New Roman" w:eastAsia="Times New Roman" w:hAnsi="Times New Roman" w:cs="Times New Roman"/>
          <w:noProof/>
          <w:sz w:val="24"/>
          <w:szCs w:val="24"/>
        </w:rPr>
        <w:t>dditional pressure on the non-performing loan ratios for nonfinancial corporations and households.</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Support measures, including loan payment moratoria, provided a temporary cushion and while the initial signs following the expiry of the moratoria suggest th</w:t>
      </w:r>
      <w:r>
        <w:rPr>
          <w:rFonts w:ascii="Times New Roman" w:eastAsia="Times New Roman" w:hAnsi="Times New Roman" w:cs="Times New Roman"/>
          <w:noProof/>
          <w:sz w:val="24"/>
          <w:szCs w:val="24"/>
        </w:rPr>
        <w:t>at the adverse impact on asset quality may be contained, downside risks remain as the state support programmes are gradually phased out. In the context of the 2021 European Semester spring package, the European Commission adopted earlier in June an in-dept</w:t>
      </w:r>
      <w:r>
        <w:rPr>
          <w:rFonts w:ascii="Times New Roman" w:eastAsia="Times New Roman" w:hAnsi="Times New Roman" w:cs="Times New Roman"/>
          <w:noProof/>
          <w:sz w:val="24"/>
          <w:szCs w:val="24"/>
        </w:rPr>
        <w:t>h review for Greece, in accordance with the respective regulation on the prevention and correction of macroeconomic imbalances in Greece</w:t>
      </w:r>
      <w:r>
        <w:rPr>
          <w:rStyle w:val="FootnoteReference"/>
          <w:rFonts w:ascii="Times New Roman" w:eastAsia="Times New Roman" w:hAnsi="Times New Roman" w:cs="Times New Roman"/>
          <w:noProof/>
          <w:sz w:val="24"/>
          <w:szCs w:val="24"/>
        </w:rPr>
        <w:footnoteReference w:id="6"/>
      </w:r>
      <w:r>
        <w:rPr>
          <w:rFonts w:ascii="Times New Roman" w:eastAsia="Times New Roman" w:hAnsi="Times New Roman" w:cs="Times New Roman"/>
          <w:noProof/>
          <w:sz w:val="24"/>
          <w:szCs w:val="24"/>
        </w:rPr>
        <w:t xml:space="preserve">. </w:t>
      </w:r>
    </w:p>
    <w:p w:rsidR="00176373" w:rsidRDefault="00E474D1">
      <w:pPr>
        <w:spacing w:line="276" w:lineRule="auto"/>
        <w:jc w:val="both"/>
        <w:rPr>
          <w:rFonts w:ascii="Times New Roman" w:eastAsia="Times New Roman" w:hAnsi="Times New Roman" w:cs="Times New Roman"/>
          <w:noProof/>
          <w:sz w:val="24"/>
          <w:szCs w:val="24"/>
        </w:rPr>
      </w:pPr>
      <w:bookmarkStart w:id="68" w:name="OLE_LINK1"/>
      <w:bookmarkEnd w:id="68"/>
      <w:r>
        <w:rPr>
          <w:rFonts w:ascii="Times New Roman" w:eastAsia="Times New Roman" w:hAnsi="Times New Roman" w:cs="Times New Roman"/>
          <w:b/>
          <w:bCs/>
          <w:noProof/>
          <w:sz w:val="24"/>
          <w:szCs w:val="24"/>
        </w:rPr>
        <w:t>The Commission 2021 spring forecast expects real GDP in Greece to grow at 4.1% and 6.0% in 2021 and 2022, respective</w:t>
      </w:r>
      <w:r>
        <w:rPr>
          <w:rFonts w:ascii="Times New Roman" w:eastAsia="Times New Roman" w:hAnsi="Times New Roman" w:cs="Times New Roman"/>
          <w:b/>
          <w:bCs/>
          <w:noProof/>
          <w:sz w:val="24"/>
          <w:szCs w:val="24"/>
        </w:rPr>
        <w:t>ly.</w:t>
      </w:r>
      <w:r>
        <w:rPr>
          <w:rFonts w:ascii="Times New Roman" w:eastAsia="Times New Roman" w:hAnsi="Times New Roman" w:cs="Times New Roman"/>
          <w:noProof/>
          <w:sz w:val="24"/>
          <w:szCs w:val="24"/>
        </w:rPr>
        <w:t xml:space="preserve"> Similar to the scenario underlying the plan, the Commission considers domestic demand as the main growth driver behind the recovery. The Commission expects a stronger rebound of gross fixed capital formation in 2021 than the scenario presented in the p</w:t>
      </w:r>
      <w:r>
        <w:rPr>
          <w:rFonts w:ascii="Times New Roman" w:eastAsia="Times New Roman" w:hAnsi="Times New Roman" w:cs="Times New Roman"/>
          <w:noProof/>
          <w:sz w:val="24"/>
          <w:szCs w:val="24"/>
        </w:rPr>
        <w:t>lan, with investments in equipment and construction receiving a strong boost from the foreseen projects. Private consumption is also likely to benefit from the measures foreseen in the plan, albeit less than investments. Both the Commission and the Greek a</w:t>
      </w:r>
      <w:r>
        <w:rPr>
          <w:rFonts w:ascii="Times New Roman" w:eastAsia="Times New Roman" w:hAnsi="Times New Roman" w:cs="Times New Roman"/>
          <w:noProof/>
          <w:sz w:val="24"/>
          <w:szCs w:val="24"/>
        </w:rPr>
        <w:t>uthorities forecast a negative contribution from the implementation of the plan to net exports, due to the strong import component of the envisaged investments. The Commission foresees inflation to remain mildly negative in 2021, before gradually recoverin</w:t>
      </w:r>
      <w:r>
        <w:rPr>
          <w:rFonts w:ascii="Times New Roman" w:eastAsia="Times New Roman" w:hAnsi="Times New Roman" w:cs="Times New Roman"/>
          <w:noProof/>
          <w:sz w:val="24"/>
          <w:szCs w:val="24"/>
        </w:rPr>
        <w:t xml:space="preserve">g in 2022. </w:t>
      </w:r>
    </w:p>
    <w:p w:rsidR="00176373" w:rsidRDefault="00E474D1">
      <w:pPr>
        <w:pStyle w:val="paragraph"/>
        <w:keepNext/>
        <w:jc w:val="both"/>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xml:space="preserve"> Comparison of the macroeconomic forecast under the plan and Commission’s 2021 spring forecast</w:t>
      </w:r>
    </w:p>
    <w:tbl>
      <w:tblPr>
        <w:tblW w:w="9448" w:type="dxa"/>
        <w:tblInd w:w="-5" w:type="dxa"/>
        <w:tblLayout w:type="fixed"/>
        <w:tblLook w:val="04A0" w:firstRow="1" w:lastRow="0" w:firstColumn="1" w:lastColumn="0" w:noHBand="0" w:noVBand="1"/>
      </w:tblPr>
      <w:tblGrid>
        <w:gridCol w:w="2584"/>
        <w:gridCol w:w="624"/>
        <w:gridCol w:w="624"/>
        <w:gridCol w:w="624"/>
        <w:gridCol w:w="624"/>
        <w:gridCol w:w="624"/>
        <w:gridCol w:w="624"/>
        <w:gridCol w:w="624"/>
        <w:gridCol w:w="624"/>
        <w:gridCol w:w="624"/>
        <w:gridCol w:w="624"/>
        <w:gridCol w:w="624"/>
      </w:tblGrid>
      <w:tr w:rsidR="00176373">
        <w:tc>
          <w:tcPr>
            <w:tcW w:w="2584" w:type="dxa"/>
            <w:vMerge w:val="restart"/>
          </w:tcPr>
          <w:p w:rsidR="00176373" w:rsidRDefault="00176373">
            <w:pPr>
              <w:spacing w:line="276" w:lineRule="auto"/>
              <w:jc w:val="both"/>
              <w:rPr>
                <w:rFonts w:ascii="Times New Roman" w:eastAsia="Times New Roman" w:hAnsi="Times New Roman" w:cs="Times New Roman"/>
                <w:noProof/>
                <w:sz w:val="18"/>
                <w:szCs w:val="24"/>
              </w:rPr>
            </w:pP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2019</w:t>
            </w:r>
          </w:p>
        </w:tc>
        <w:tc>
          <w:tcPr>
            <w:tcW w:w="1248" w:type="dxa"/>
            <w:gridSpan w:val="2"/>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2020</w:t>
            </w:r>
          </w:p>
        </w:tc>
        <w:tc>
          <w:tcPr>
            <w:tcW w:w="1248" w:type="dxa"/>
            <w:gridSpan w:val="2"/>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2021</w:t>
            </w:r>
          </w:p>
        </w:tc>
        <w:tc>
          <w:tcPr>
            <w:tcW w:w="1248" w:type="dxa"/>
            <w:gridSpan w:val="2"/>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2022</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2023</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2024</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2025</w:t>
            </w:r>
          </w:p>
        </w:tc>
        <w:tc>
          <w:tcPr>
            <w:tcW w:w="624" w:type="dxa"/>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2026</w:t>
            </w:r>
          </w:p>
        </w:tc>
      </w:tr>
      <w:tr w:rsidR="00176373">
        <w:tc>
          <w:tcPr>
            <w:tcW w:w="2584" w:type="dxa"/>
            <w:vMerge/>
          </w:tcPr>
          <w:p w:rsidR="00176373" w:rsidRDefault="00176373">
            <w:pPr>
              <w:spacing w:line="276" w:lineRule="auto"/>
              <w:jc w:val="both"/>
              <w:rPr>
                <w:rFonts w:ascii="Times New Roman" w:eastAsia="Times New Roman" w:hAnsi="Times New Roman" w:cs="Times New Roman"/>
                <w:noProof/>
                <w:sz w:val="18"/>
                <w:szCs w:val="24"/>
              </w:rPr>
            </w:pP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COM</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COM</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COM</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COM</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vAlign w:val="center"/>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c>
          <w:tcPr>
            <w:tcW w:w="624" w:type="dxa"/>
          </w:tcPr>
          <w:p w:rsidR="00176373" w:rsidRDefault="00E474D1">
            <w:pPr>
              <w:spacing w:line="276" w:lineRule="auto"/>
              <w:jc w:val="center"/>
              <w:rPr>
                <w:rFonts w:ascii="Times New Roman" w:eastAsia="Times New Roman" w:hAnsi="Times New Roman" w:cs="Times New Roman"/>
                <w:b/>
                <w:noProof/>
                <w:sz w:val="16"/>
                <w:szCs w:val="16"/>
              </w:rPr>
            </w:pPr>
            <w:r>
              <w:rPr>
                <w:rFonts w:ascii="Times New Roman" w:eastAsia="Times New Roman" w:hAnsi="Times New Roman" w:cs="Times New Roman"/>
                <w:b/>
                <w:bCs/>
                <w:noProof/>
                <w:sz w:val="16"/>
                <w:szCs w:val="16"/>
              </w:rPr>
              <w:t>RRP</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Real GDP (% change)</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1.9</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-8.2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-8.2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4.1</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3.6</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6.0</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6.2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4.1</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4.4</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HICP inflation (% change)</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0.5</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0.0</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0.6</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0.7</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Employment (15-74 yrs, % change)</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0.4</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0.7</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0.7</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2.3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Unemployment rate (%)</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17.3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16.3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16.3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16.3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16.3</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16.1</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14.4</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13.2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11.9</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General government balance (% of GDP)</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1.1</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-9.7</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-10.0</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-3.2</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r w:rsidR="00176373">
        <w:tc>
          <w:tcPr>
            <w:tcW w:w="2584" w:type="dxa"/>
          </w:tcPr>
          <w:p w:rsidR="00176373" w:rsidRDefault="00E474D1">
            <w:pPr>
              <w:spacing w:line="276" w:lineRule="auto"/>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General government gross debt (% of GDP)</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180.5</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205.6</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208.8</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201.5</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c>
          <w:tcPr>
            <w:tcW w:w="624" w:type="dxa"/>
          </w:tcPr>
          <w:p w:rsidR="00176373" w:rsidRDefault="00E474D1">
            <w:pPr>
              <w:spacing w:line="276"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n.a.</w:t>
            </w:r>
          </w:p>
        </w:tc>
      </w:tr>
    </w:tbl>
    <w:p w:rsidR="00176373" w:rsidRDefault="00E474D1">
      <w:pPr>
        <w:spacing w:line="276" w:lineRule="auto"/>
        <w:jc w:val="both"/>
        <w:rPr>
          <w:rFonts w:ascii="Times New Roman" w:eastAsia="Times New Roman" w:hAnsi="Times New Roman" w:cs="Times New Roman"/>
          <w:b/>
          <w:i/>
          <w:noProof/>
        </w:rPr>
      </w:pPr>
      <w:r>
        <w:rPr>
          <w:rFonts w:ascii="Times New Roman" w:eastAsia="Times New Roman" w:hAnsi="Times New Roman" w:cs="Times New Roman"/>
          <w:i/>
          <w:noProof/>
        </w:rPr>
        <w:t>Sources:</w:t>
      </w:r>
      <w:r>
        <w:rPr>
          <w:rFonts w:ascii="Times New Roman" w:eastAsia="Times New Roman" w:hAnsi="Times New Roman" w:cs="Times New Roman"/>
          <w:b/>
          <w:bCs/>
          <w:i/>
          <w:iCs/>
          <w:noProof/>
        </w:rPr>
        <w:t xml:space="preserve"> </w:t>
      </w:r>
      <w:r>
        <w:rPr>
          <w:rFonts w:ascii="Times New Roman" w:eastAsia="Times New Roman" w:hAnsi="Times New Roman" w:cs="Times New Roman"/>
          <w:noProof/>
        </w:rPr>
        <w:t xml:space="preserve">Greek recovery and resilience </w:t>
      </w:r>
      <w:r>
        <w:rPr>
          <w:rFonts w:ascii="Times New Roman" w:eastAsia="Times New Roman" w:hAnsi="Times New Roman" w:cs="Times New Roman"/>
          <w:noProof/>
        </w:rPr>
        <w:t>plan, Commission 2021 spring forecast</w:t>
      </w:r>
    </w:p>
    <w:p w:rsidR="00176373" w:rsidRDefault="00E474D1">
      <w:pPr>
        <w:spacing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general government budget reached a deficit of 9.7% of GDP in 2020</w:t>
      </w:r>
      <w:r>
        <w:rPr>
          <w:rStyle w:val="FootnoteReference"/>
          <w:rFonts w:ascii="Times New Roman" w:eastAsia="Times New Roman" w:hAnsi="Times New Roman" w:cs="Times New Roman"/>
          <w:b/>
          <w:bCs/>
          <w:noProof/>
          <w:sz w:val="24"/>
          <w:szCs w:val="24"/>
        </w:rPr>
        <w:footnoteReference w:id="7"/>
      </w:r>
      <w:r>
        <w:rPr>
          <w:rFonts w:ascii="Times New Roman" w:eastAsia="Times New Roman" w:hAnsi="Times New Roman" w:cs="Times New Roman"/>
          <w:b/>
          <w:bCs/>
          <w:noProof/>
          <w:sz w:val="24"/>
          <w:szCs w:val="24"/>
        </w:rPr>
        <w:t>, which is expected to remain broadly unchanged in 2021 before improving in 2022.</w:t>
      </w:r>
      <w:r>
        <w:rPr>
          <w:rFonts w:ascii="Times New Roman" w:eastAsia="Times New Roman" w:hAnsi="Times New Roman" w:cs="Times New Roman"/>
          <w:noProof/>
          <w:sz w:val="24"/>
          <w:szCs w:val="24"/>
        </w:rPr>
        <w:t xml:space="preserve"> Discretionary policy measures taken in response to the pandemic a</w:t>
      </w:r>
      <w:r>
        <w:rPr>
          <w:rFonts w:ascii="Times New Roman" w:eastAsia="Times New Roman" w:hAnsi="Times New Roman" w:cs="Times New Roman"/>
          <w:noProof/>
          <w:sz w:val="24"/>
          <w:szCs w:val="24"/>
        </w:rPr>
        <w:t>mounted to some 6.3% of GDP in 2020. For 2021, the Commission 2021 spring forecast expects a deficit of 10% of GDP. The lack of improvement compared to 2020 is mainly attributed to the prolongation of the fiscal measures that were adopted to address the pa</w:t>
      </w:r>
      <w:r>
        <w:rPr>
          <w:rFonts w:ascii="Times New Roman" w:eastAsia="Times New Roman" w:hAnsi="Times New Roman" w:cs="Times New Roman"/>
          <w:noProof/>
          <w:sz w:val="24"/>
          <w:szCs w:val="24"/>
        </w:rPr>
        <w:t xml:space="preserve">ndemic.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Despite the increase in the debt-to-GDP ratio in 2020, financing conditions remain favourable. </w:t>
      </w:r>
      <w:r>
        <w:rPr>
          <w:rFonts w:ascii="Times New Roman" w:eastAsia="Times New Roman" w:hAnsi="Times New Roman" w:cs="Times New Roman"/>
          <w:noProof/>
          <w:sz w:val="24"/>
          <w:szCs w:val="24"/>
        </w:rPr>
        <w:t>The debt-to-GDP ratio increased by more than 25 percentage points</w:t>
      </w:r>
      <w:r>
        <w:rPr>
          <w:rFonts w:ascii="Times New Roman" w:eastAsia="Times New Roman" w:hAnsi="Times New Roman" w:cs="Times New Roman"/>
          <w:noProof/>
          <w:sz w:val="24"/>
          <w:szCs w:val="24"/>
          <w:vertAlign w:val="superscript"/>
        </w:rPr>
        <w:t xml:space="preserve"> </w:t>
      </w:r>
      <w:r>
        <w:rPr>
          <w:rFonts w:ascii="Times New Roman" w:eastAsia="Times New Roman" w:hAnsi="Times New Roman" w:cs="Times New Roman"/>
          <w:noProof/>
          <w:sz w:val="24"/>
          <w:szCs w:val="24"/>
        </w:rPr>
        <w:t>in 2020</w:t>
      </w:r>
      <w:r>
        <w:rPr>
          <w:rStyle w:val="FootnoteReference"/>
          <w:rFonts w:ascii="Times New Roman" w:eastAsia="Times New Roman" w:hAnsi="Times New Roman" w:cs="Times New Roman"/>
          <w:noProof/>
          <w:sz w:val="24"/>
          <w:szCs w:val="24"/>
        </w:rPr>
        <w:footnoteReference w:id="8"/>
      </w:r>
      <w:r>
        <w:rPr>
          <w:rFonts w:ascii="Times New Roman" w:eastAsia="Times New Roman" w:hAnsi="Times New Roman" w:cs="Times New Roman"/>
          <w:noProof/>
          <w:sz w:val="24"/>
          <w:szCs w:val="24"/>
        </w:rPr>
        <w:t xml:space="preserve"> due to the combined effect of shrinking GDP and the fiscal stimulus in 2020. The liquidity position of the general government is adequate, as financing conditions remain favourable and the government continues holding a large cash buffer. Gross financing </w:t>
      </w:r>
      <w:r>
        <w:rPr>
          <w:rFonts w:ascii="Times New Roman" w:eastAsia="Times New Roman" w:hAnsi="Times New Roman" w:cs="Times New Roman"/>
          <w:noProof/>
          <w:sz w:val="24"/>
          <w:szCs w:val="24"/>
        </w:rPr>
        <w:t>needs will remain above 15% of GDP in 2021-2022. The debt sustainability analysis in the tenth enhanced surveillance report projects that, in the baseline scenario,</w:t>
      </w:r>
      <w:r>
        <w:rPr>
          <w:noProof/>
        </w:rPr>
        <w:t xml:space="preserve"> </w:t>
      </w:r>
      <w:r>
        <w:rPr>
          <w:rFonts w:ascii="Times New Roman" w:eastAsia="Times New Roman" w:hAnsi="Times New Roman" w:cs="Times New Roman"/>
          <w:noProof/>
          <w:sz w:val="24"/>
          <w:szCs w:val="24"/>
        </w:rPr>
        <w:t xml:space="preserve">the debt-to-GDP ratio remains on a downward path from 2021 onwards and reaches 169% by the </w:t>
      </w:r>
      <w:r>
        <w:rPr>
          <w:rFonts w:ascii="Times New Roman" w:eastAsia="Times New Roman" w:hAnsi="Times New Roman" w:cs="Times New Roman"/>
          <w:noProof/>
          <w:sz w:val="24"/>
          <w:szCs w:val="24"/>
        </w:rPr>
        <w:t>end of the decade</w:t>
      </w:r>
      <w:r>
        <w:rPr>
          <w:rStyle w:val="FootnoteReference"/>
          <w:rFonts w:ascii="Times New Roman" w:eastAsia="Times New Roman" w:hAnsi="Times New Roman" w:cs="Times New Roman"/>
          <w:noProof/>
          <w:sz w:val="24"/>
          <w:szCs w:val="24"/>
        </w:rPr>
        <w:footnoteReference w:id="9"/>
      </w:r>
      <w:r>
        <w:rPr>
          <w:rFonts w:ascii="Times New Roman" w:eastAsia="Times New Roman" w:hAnsi="Times New Roman" w:cs="Times New Roman"/>
          <w:noProof/>
          <w:sz w:val="24"/>
          <w:szCs w:val="24"/>
        </w:rPr>
        <w:t>. According to the report, the protracted pandemic increased fiscal sustainability risks, which are partly offset by the expected economic recovery. The composition and maturity profile of government debt mitigates debt vulnerabilities, w</w:t>
      </w:r>
      <w:r>
        <w:rPr>
          <w:rFonts w:ascii="Times New Roman" w:eastAsia="Times New Roman" w:hAnsi="Times New Roman" w:cs="Times New Roman"/>
          <w:noProof/>
          <w:sz w:val="24"/>
          <w:szCs w:val="24"/>
        </w:rPr>
        <w:t>hile additional risks could emerge from contingent liabilities.</w:t>
      </w:r>
    </w:p>
    <w:p w:rsidR="00176373" w:rsidRDefault="00E474D1">
      <w:pPr>
        <w:spacing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macroeconomic scenario underpinning the recovery and resilience plan projections, identical to the projections in the Stability Programme for 2021, is cautious in 2021, while the projectio</w:t>
      </w:r>
      <w:r>
        <w:rPr>
          <w:rFonts w:ascii="Times New Roman" w:eastAsia="Times New Roman" w:hAnsi="Times New Roman" w:cs="Times New Roman"/>
          <w:b/>
          <w:bCs/>
          <w:noProof/>
          <w:sz w:val="24"/>
          <w:szCs w:val="24"/>
        </w:rPr>
        <w:t>ns for 2022 are plausible, closely in line with the Commission 2021 spring forecast.</w:t>
      </w:r>
      <w:r>
        <w:rPr>
          <w:rFonts w:ascii="Times New Roman" w:eastAsia="Times New Roman" w:hAnsi="Times New Roman" w:cs="Times New Roman"/>
          <w:noProof/>
          <w:sz w:val="24"/>
          <w:szCs w:val="24"/>
        </w:rPr>
        <w:t xml:space="preserve"> According to the Commission 2021 Spring forecast, real GDP growth is estimated at around 0.5 percentage points higher in 2021 than according to the scenario presented in t</w:t>
      </w:r>
      <w:r>
        <w:rPr>
          <w:rFonts w:ascii="Times New Roman" w:eastAsia="Times New Roman" w:hAnsi="Times New Roman" w:cs="Times New Roman"/>
          <w:noProof/>
          <w:sz w:val="24"/>
          <w:szCs w:val="24"/>
        </w:rPr>
        <w:t>he plan. This is due to different assumptions on the development of the pandemic, the uptake of funds under the Recovery and Resilience Facility and the outlook of key economic sectors, primarily tourism. The macroeconomic and fiscal outlook continue to be</w:t>
      </w:r>
      <w:r>
        <w:rPr>
          <w:rFonts w:ascii="Times New Roman" w:eastAsia="Times New Roman" w:hAnsi="Times New Roman" w:cs="Times New Roman"/>
          <w:noProof/>
          <w:sz w:val="24"/>
          <w:szCs w:val="24"/>
        </w:rPr>
        <w:t xml:space="preserve"> affected by high uncertainty related to the COVID-19 pandemic and its economic consequences.</w:t>
      </w:r>
    </w:p>
    <w:p w:rsidR="00176373" w:rsidRDefault="00E474D1">
      <w:pPr>
        <w:pStyle w:val="Heading2"/>
        <w:numPr>
          <w:ilvl w:val="1"/>
          <w:numId w:val="10"/>
        </w:numPr>
        <w:rPr>
          <w:i/>
          <w:noProof/>
        </w:rPr>
      </w:pPr>
      <w:bookmarkStart w:id="69" w:name="_Toc66388694"/>
      <w:bookmarkStart w:id="70" w:name="_Toc72326482"/>
      <w:bookmarkStart w:id="71" w:name="_Toc72326513"/>
      <w:bookmarkStart w:id="72" w:name="_Toc74305316"/>
      <w:bookmarkStart w:id="73" w:name="_Toc58589713"/>
      <w:bookmarkStart w:id="74" w:name="_Toc58583480"/>
      <w:bookmarkStart w:id="75" w:name="_Toc62455194"/>
      <w:bookmarkStart w:id="76" w:name="_Toc62818209"/>
      <w:bookmarkStart w:id="77" w:name="_Toc62818756"/>
      <w:bookmarkStart w:id="78" w:name="_Toc63417211"/>
      <w:bookmarkStart w:id="79" w:name="_Toc63418901"/>
      <w:bookmarkStart w:id="80" w:name="_Toc63418926"/>
      <w:bookmarkStart w:id="81" w:name="_Toc64281612"/>
      <w:bookmarkStart w:id="82" w:name="_Toc71665322"/>
      <w:bookmarkStart w:id="83" w:name="_Toc71740451"/>
      <w:bookmarkStart w:id="84" w:name="_Toc71792446"/>
      <w:bookmarkStart w:id="85" w:name="_Toc72158497"/>
      <w:bookmarkStart w:id="86" w:name="_Toc72170700"/>
      <w:bookmarkStart w:id="87" w:name="_Toc72176828"/>
      <w:bookmarkStart w:id="88" w:name="_Toc72179399"/>
      <w:bookmarkStart w:id="89" w:name="_Toc72176037"/>
      <w:bookmarkStart w:id="90" w:name="_Toc72181710"/>
      <w:bookmarkStart w:id="91" w:name="_Toc72178559"/>
      <w:bookmarkStart w:id="92" w:name="_Toc72182446"/>
      <w:bookmarkStart w:id="93" w:name="_Toc72183443"/>
      <w:bookmarkStart w:id="94" w:name="_Toc72187257"/>
      <w:bookmarkEnd w:id="69"/>
      <w:r>
        <w:rPr>
          <w:noProof/>
        </w:rPr>
        <w:t>Challenges related to sustainable growth, cohesion, resilience and policies for the next generation</w:t>
      </w:r>
      <w:bookmarkEnd w:id="70"/>
      <w:bookmarkEnd w:id="71"/>
      <w:bookmarkEnd w:id="72"/>
      <w:r>
        <w:rPr>
          <w:noProof/>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176373" w:rsidRDefault="00E474D1">
      <w:pPr>
        <w:jc w:val="both"/>
        <w:rPr>
          <w:i/>
          <w:noProof/>
        </w:rPr>
      </w:pPr>
      <w:bookmarkStart w:id="95" w:name="_Toc71665323"/>
      <w:bookmarkStart w:id="96" w:name="_Toc71740452"/>
      <w:bookmarkStart w:id="97" w:name="_Toc71792447"/>
      <w:r>
        <w:rPr>
          <w:rFonts w:ascii="Times New Roman" w:eastAsia="Times New Roman" w:hAnsi="Times New Roman" w:cs="Times New Roman"/>
          <w:i/>
          <w:iCs/>
          <w:noProof/>
          <w:sz w:val="24"/>
          <w:szCs w:val="24"/>
        </w:rPr>
        <w:t>Smart, sustainable and inclusive growth</w:t>
      </w:r>
      <w:bookmarkEnd w:id="95"/>
      <w:bookmarkEnd w:id="96"/>
      <w:bookmarkEnd w:id="97"/>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Despite continued imp</w:t>
      </w:r>
      <w:r>
        <w:rPr>
          <w:rFonts w:ascii="Times New Roman" w:eastAsia="Times New Roman" w:hAnsi="Times New Roman" w:cs="Times New Roman"/>
          <w:b/>
          <w:bCs/>
          <w:noProof/>
          <w:sz w:val="24"/>
          <w:szCs w:val="24"/>
        </w:rPr>
        <w:t xml:space="preserve">rovements in the past years, Greece entered the pandemic with sizeable legacy vulnerabilities that had been further deepened by the crisis. </w:t>
      </w:r>
      <w:r>
        <w:rPr>
          <w:rFonts w:ascii="Times New Roman" w:eastAsia="Times New Roman" w:hAnsi="Times New Roman" w:cs="Times New Roman"/>
          <w:noProof/>
          <w:sz w:val="24"/>
          <w:szCs w:val="24"/>
        </w:rPr>
        <w:t>On 2 June 2021, the Commission published an in-depth review under Article 5 of Regulation (EU) No 1176/2011 of the E</w:t>
      </w:r>
      <w:r>
        <w:rPr>
          <w:rFonts w:ascii="Times New Roman" w:eastAsia="Times New Roman" w:hAnsi="Times New Roman" w:cs="Times New Roman"/>
          <w:noProof/>
          <w:sz w:val="24"/>
          <w:szCs w:val="24"/>
        </w:rPr>
        <w:t>uropean Parliament and of the Council for Greece. Greece is experiencing excessive imbalances. Vulnerabilities relate</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in particular to high government debt, incomplete external rebalancing and high non-performing loans, in a context of high unemployment an</w:t>
      </w:r>
      <w:r>
        <w:rPr>
          <w:rFonts w:ascii="Times New Roman" w:eastAsia="Times New Roman" w:hAnsi="Times New Roman" w:cs="Times New Roman"/>
          <w:noProof/>
          <w:sz w:val="24"/>
          <w:szCs w:val="24"/>
        </w:rPr>
        <w:t xml:space="preserve">d low potential growth. </w:t>
      </w:r>
    </w:p>
    <w:p w:rsidR="00176373" w:rsidRDefault="00E474D1">
      <w:p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Potential growth has been very low in the last decade.</w:t>
      </w:r>
      <w:r>
        <w:rPr>
          <w:rFonts w:ascii="Times New Roman" w:eastAsia="Times New Roman" w:hAnsi="Times New Roman" w:cs="Times New Roman"/>
          <w:noProof/>
          <w:sz w:val="24"/>
          <w:szCs w:val="24"/>
        </w:rPr>
        <w:t xml:space="preserve"> Small and low productivity firms continue to play an outsized role in the economy. Economic activity, though shifting gradually to tradable sectors, is still concentrated in tr</w:t>
      </w:r>
      <w:r>
        <w:rPr>
          <w:rFonts w:ascii="Times New Roman" w:eastAsia="Times New Roman" w:hAnsi="Times New Roman" w:cs="Times New Roman"/>
          <w:noProof/>
          <w:sz w:val="24"/>
          <w:szCs w:val="24"/>
        </w:rPr>
        <w:t>aditional and low-innovation sectors, contributing to low productivity growth. Despite some recent progress, the high tax burden, red tape, high regulatory burden, and a slow and inefficient justice system weigh on private investments, both domestic and fo</w:t>
      </w:r>
      <w:r>
        <w:rPr>
          <w:rFonts w:ascii="Times New Roman" w:eastAsia="Times New Roman" w:hAnsi="Times New Roman" w:cs="Times New Roman"/>
          <w:noProof/>
          <w:sz w:val="24"/>
          <w:szCs w:val="24"/>
        </w:rPr>
        <w:t>reign, create obstacles to companies’ growth and delay external adjustment. Low investment in research and development, skills mismatches weighing on productivity growth and</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low labour market relevance of education also point to weak growth prospects in th</w:t>
      </w:r>
      <w:r>
        <w:rPr>
          <w:rFonts w:ascii="Times New Roman" w:eastAsia="Times New Roman" w:hAnsi="Times New Roman" w:cs="Times New Roman"/>
          <w:noProof/>
          <w:sz w:val="24"/>
          <w:szCs w:val="24"/>
        </w:rPr>
        <w:t>e future. Finally, the lack of an effective planning and monitoring system for implementing large infrastructure projects weighs on rollout of public investments, including public-private partnerships.</w:t>
      </w:r>
      <w:r>
        <w:rPr>
          <w:rFonts w:ascii="Times New Roman" w:eastAsia="Times New Roman" w:hAnsi="Times New Roman" w:cs="Times New Roman"/>
          <w:b/>
          <w:bCs/>
          <w:noProof/>
          <w:sz w:val="24"/>
          <w:szCs w:val="24"/>
        </w:rPr>
        <w:t xml:space="preserve">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banking sector has become more resilient si</w:t>
      </w:r>
      <w:r>
        <w:rPr>
          <w:rFonts w:ascii="Times New Roman" w:eastAsia="Times New Roman" w:hAnsi="Times New Roman" w:cs="Times New Roman"/>
          <w:b/>
          <w:bCs/>
          <w:noProof/>
          <w:sz w:val="24"/>
          <w:szCs w:val="24"/>
        </w:rPr>
        <w:t xml:space="preserve">nce the end of the European Stability Mechanism programme for Greece, but legacy risks and challenges related to the current crisis remain high. </w:t>
      </w:r>
      <w:r>
        <w:rPr>
          <w:rFonts w:ascii="Times New Roman" w:eastAsia="Times New Roman" w:hAnsi="Times New Roman" w:cs="Times New Roman"/>
          <w:noProof/>
          <w:sz w:val="24"/>
          <w:szCs w:val="24"/>
        </w:rPr>
        <w:t>Safeguarding the overall soundness of the banking system and managing financial stability risks are essential f</w:t>
      </w:r>
      <w:r>
        <w:rPr>
          <w:rFonts w:ascii="Times New Roman" w:eastAsia="Times New Roman" w:hAnsi="Times New Roman" w:cs="Times New Roman"/>
          <w:noProof/>
          <w:sz w:val="24"/>
          <w:szCs w:val="24"/>
        </w:rPr>
        <w:t>or recovering from the current crisis and supporting the economy. The pandemic is posing strains on banks, through an increase in credit risk and pressure on profitability and capitalisation. Vulnerabilities and challenges stem from the high stock of non-p</w:t>
      </w:r>
      <w:r>
        <w:rPr>
          <w:rFonts w:ascii="Times New Roman" w:eastAsia="Times New Roman" w:hAnsi="Times New Roman" w:cs="Times New Roman"/>
          <w:noProof/>
          <w:sz w:val="24"/>
          <w:szCs w:val="24"/>
        </w:rPr>
        <w:t>erforming loans (NPLs), which limit the scope of bank credit to support the real economy. The banking sector in Greece has the highest ratio of NPLs on total loans in the euro area. Considerable challenges lie ahead, as support measures such as payment mor</w:t>
      </w:r>
      <w:r>
        <w:rPr>
          <w:rFonts w:ascii="Times New Roman" w:eastAsia="Times New Roman" w:hAnsi="Times New Roman" w:cs="Times New Roman"/>
          <w:noProof/>
          <w:sz w:val="24"/>
          <w:szCs w:val="24"/>
        </w:rPr>
        <w:t>atoria and associated regulatory forbearance and relaxation of loan origination requirements expire. The timely and effective implementation by 1 June 2021 of the recent insolvency reform, will be key to enhance the use of restructuring solutions for viabl</w:t>
      </w:r>
      <w:r>
        <w:rPr>
          <w:rFonts w:ascii="Times New Roman" w:eastAsia="Times New Roman" w:hAnsi="Times New Roman" w:cs="Times New Roman"/>
          <w:noProof/>
          <w:sz w:val="24"/>
          <w:szCs w:val="24"/>
        </w:rPr>
        <w:t xml:space="preserve">e firms and the quick resolution of non-viable businesses. This would accelerate the clearance of the existing stock of non-performing loans, while avoiding the creation of new backlogs of bad loans and insolvencies.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Sustainable economic recovery could be</w:t>
      </w:r>
      <w:r>
        <w:rPr>
          <w:rFonts w:ascii="Times New Roman" w:eastAsia="Times New Roman" w:hAnsi="Times New Roman" w:cs="Times New Roman"/>
          <w:b/>
          <w:bCs/>
          <w:noProof/>
          <w:sz w:val="24"/>
          <w:szCs w:val="24"/>
        </w:rPr>
        <w:t xml:space="preserve"> fostered through alternative ways of non-bank financing. </w:t>
      </w:r>
      <w:r>
        <w:rPr>
          <w:rFonts w:ascii="Times New Roman" w:eastAsia="Times New Roman" w:hAnsi="Times New Roman" w:cs="Times New Roman"/>
          <w:noProof/>
          <w:sz w:val="24"/>
          <w:szCs w:val="24"/>
        </w:rPr>
        <w:t>This includes venture capital and deepening of the Greek capital markets, which are still underdeveloped. Sustainable finance combined with its transition to a Green model of economic growth could f</w:t>
      </w:r>
      <w:r>
        <w:rPr>
          <w:rFonts w:ascii="Times New Roman" w:eastAsia="Times New Roman" w:hAnsi="Times New Roman" w:cs="Times New Roman"/>
          <w:noProof/>
          <w:sz w:val="24"/>
          <w:szCs w:val="24"/>
        </w:rPr>
        <w:t>urther favour economic recovery. State support may also be warranted to leverage private investors and foster lending to viable firms exposed to a shortfall of funding at a reasonable cost, through the design of financial instruments, which avoid crowding-</w:t>
      </w:r>
      <w:r>
        <w:rPr>
          <w:rFonts w:ascii="Times New Roman" w:eastAsia="Times New Roman" w:hAnsi="Times New Roman" w:cs="Times New Roman"/>
          <w:noProof/>
          <w:sz w:val="24"/>
          <w:szCs w:val="24"/>
        </w:rPr>
        <w:t xml:space="preserve">out or moral hazard adverse effects. </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Social and territorial cohesion</w:t>
      </w:r>
    </w:p>
    <w:p w:rsidR="00176373" w:rsidRDefault="00E474D1">
      <w:pPr>
        <w:jc w:val="both"/>
        <w:rPr>
          <w:noProof/>
        </w:rPr>
      </w:pPr>
      <w:r>
        <w:rPr>
          <w:rFonts w:ascii="Times New Roman" w:eastAsia="Times New Roman" w:hAnsi="Times New Roman" w:cs="Times New Roman"/>
          <w:b/>
          <w:bCs/>
          <w:noProof/>
          <w:sz w:val="24"/>
          <w:szCs w:val="24"/>
        </w:rPr>
        <w:t xml:space="preserve">Unemployment remains very high and the slowly declining trend was interrupted by the COVID-19 crisis. </w:t>
      </w:r>
      <w:r>
        <w:rPr>
          <w:rFonts w:ascii="Times New Roman" w:eastAsia="Times New Roman" w:hAnsi="Times New Roman" w:cs="Times New Roman"/>
          <w:noProof/>
          <w:sz w:val="24"/>
          <w:szCs w:val="24"/>
        </w:rPr>
        <w:t>Greece has persistently the highest unemployment rate (16.3% in 2020) and the lowest</w:t>
      </w:r>
      <w:r>
        <w:rPr>
          <w:rFonts w:ascii="Times New Roman" w:eastAsia="Times New Roman" w:hAnsi="Times New Roman" w:cs="Times New Roman"/>
          <w:noProof/>
          <w:sz w:val="24"/>
          <w:szCs w:val="24"/>
        </w:rPr>
        <w:t xml:space="preserve"> employment rate (61.1% in 2020) in the EU. Youth unemployment (35.0% in 2020), the gender employment gap (19 percentage points) and share of long-term unemployed (around 70%) are also among the highest in the EU. The labour market is distorted by the larg</w:t>
      </w:r>
      <w:r>
        <w:rPr>
          <w:rFonts w:ascii="Times New Roman" w:eastAsia="Times New Roman" w:hAnsi="Times New Roman" w:cs="Times New Roman"/>
          <w:noProof/>
          <w:sz w:val="24"/>
          <w:szCs w:val="24"/>
        </w:rPr>
        <w:t>e informal economy, estimated to account for some 20% of the GDP. Labour productivity (output per person employed) remains weak and the modest increases starting from 2017 have been reversed by the COVID-19 crisis. Emigration of highly skilled people raise</w:t>
      </w:r>
      <w:r>
        <w:rPr>
          <w:rFonts w:ascii="Times New Roman" w:eastAsia="Times New Roman" w:hAnsi="Times New Roman" w:cs="Times New Roman"/>
          <w:noProof/>
          <w:sz w:val="24"/>
          <w:szCs w:val="24"/>
        </w:rPr>
        <w:t>s concerns about a brain-drain and adds to the pressure of population ageing. While several short-time work schemes implemented during the crisis have prevented an increase in unemployment, activation support to help jobseekers reintegrate in the labour ma</w:t>
      </w:r>
      <w:r>
        <w:rPr>
          <w:rFonts w:ascii="Times New Roman" w:eastAsia="Times New Roman" w:hAnsi="Times New Roman" w:cs="Times New Roman"/>
          <w:noProof/>
          <w:sz w:val="24"/>
          <w:szCs w:val="24"/>
        </w:rPr>
        <w:t xml:space="preserve">rket is not effective enough. The limited capacity of the Public Employment Services to provide individualized support, as well as the lack of monitoring and evaluation and quality assurance in upskilling programmes are the main bottlenecks. Greece spends </w:t>
      </w:r>
      <w:r>
        <w:rPr>
          <w:rFonts w:ascii="Times New Roman" w:eastAsia="Times New Roman" w:hAnsi="Times New Roman" w:cs="Times New Roman"/>
          <w:noProof/>
          <w:sz w:val="24"/>
          <w:szCs w:val="24"/>
        </w:rPr>
        <w:t>less than most other EU Member States on active labour market policies and their coverage is low.</w:t>
      </w:r>
    </w:p>
    <w:p w:rsidR="00176373" w:rsidRDefault="00E474D1">
      <w:pPr>
        <w:jc w:val="both"/>
        <w:rPr>
          <w:noProof/>
        </w:rPr>
      </w:pPr>
      <w:r>
        <w:rPr>
          <w:rFonts w:ascii="Times New Roman" w:eastAsia="Times New Roman" w:hAnsi="Times New Roman" w:cs="Times New Roman"/>
          <w:b/>
          <w:bCs/>
          <w:noProof/>
          <w:sz w:val="24"/>
          <w:szCs w:val="24"/>
        </w:rPr>
        <w:t>Prior to the pandemic, poverty had been gradually decreasing, but remained among the highest in the EU, with children and working-age people being particularl</w:t>
      </w:r>
      <w:r>
        <w:rPr>
          <w:rFonts w:ascii="Times New Roman" w:eastAsia="Times New Roman" w:hAnsi="Times New Roman" w:cs="Times New Roman"/>
          <w:b/>
          <w:bCs/>
          <w:noProof/>
          <w:sz w:val="24"/>
          <w:szCs w:val="24"/>
        </w:rPr>
        <w:t xml:space="preserve">y affected. </w:t>
      </w:r>
      <w:r>
        <w:rPr>
          <w:rFonts w:ascii="Times New Roman" w:eastAsia="Times New Roman" w:hAnsi="Times New Roman" w:cs="Times New Roman"/>
          <w:noProof/>
          <w:sz w:val="24"/>
          <w:szCs w:val="24"/>
        </w:rPr>
        <w:t>The introduction of the guaranteed minimum income (GMI) reform in 2017 had a visible impact in terms of poverty reduction, but its second and third pillar (access to complementary social services and activation support) are still not sufficient</w:t>
      </w:r>
      <w:r>
        <w:rPr>
          <w:rFonts w:ascii="Times New Roman" w:eastAsia="Times New Roman" w:hAnsi="Times New Roman" w:cs="Times New Roman"/>
          <w:noProof/>
          <w:sz w:val="24"/>
          <w:szCs w:val="24"/>
        </w:rPr>
        <w:t>ly developed to face the challenges ahead.</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In-work poverty is above the EU average.</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The housing costs overburden rate, at 36.2% in 2019, is by far the highest in the EU and contrasts with the absence of a social housing policy. The pandemic is likely to ex</w:t>
      </w:r>
      <w:r>
        <w:rPr>
          <w:rFonts w:ascii="Times New Roman" w:eastAsia="Times New Roman" w:hAnsi="Times New Roman" w:cs="Times New Roman"/>
          <w:noProof/>
          <w:sz w:val="24"/>
          <w:szCs w:val="24"/>
        </w:rPr>
        <w:t>acerbate the social situation again, as reflected in the rising number of GMI beneficiaries. The large influx of asylum seekers puts additional stress on the employment and social services. The integration of third-country nationals in the labour market an</w:t>
      </w:r>
      <w:r>
        <w:rPr>
          <w:rFonts w:ascii="Times New Roman" w:eastAsia="Times New Roman" w:hAnsi="Times New Roman" w:cs="Times New Roman"/>
          <w:noProof/>
          <w:sz w:val="24"/>
          <w:szCs w:val="24"/>
        </w:rPr>
        <w:t>d society presents particular challenges. There are large regional disparities, notably between the capital region and the rest of the country. Rural areas in Greece suffer from a very high poverty rate and one of the highest rural unemployment rates (espe</w:t>
      </w:r>
      <w:r>
        <w:rPr>
          <w:rFonts w:ascii="Times New Roman" w:eastAsia="Times New Roman" w:hAnsi="Times New Roman" w:cs="Times New Roman"/>
          <w:noProof/>
          <w:sz w:val="24"/>
          <w:szCs w:val="24"/>
        </w:rPr>
        <w:t>cially in young people) in the EU.</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Health, and economic, social and institutional resilience</w:t>
      </w:r>
    </w:p>
    <w:p w:rsidR="00176373" w:rsidRDefault="00E474D1">
      <w:pPr>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The Greek health system still has several structural problems. </w:t>
      </w:r>
      <w:r>
        <w:rPr>
          <w:rFonts w:ascii="Times New Roman" w:eastAsia="Times New Roman" w:hAnsi="Times New Roman" w:cs="Times New Roman"/>
          <w:noProof/>
          <w:sz w:val="24"/>
          <w:szCs w:val="24"/>
        </w:rPr>
        <w:t>The COVID-19 emergency confirmed the need to address remaining structural challenges to ensure unhin</w:t>
      </w:r>
      <w:r>
        <w:rPr>
          <w:rFonts w:ascii="Times New Roman" w:eastAsia="Times New Roman" w:hAnsi="Times New Roman" w:cs="Times New Roman"/>
          <w:noProof/>
          <w:sz w:val="24"/>
          <w:szCs w:val="24"/>
        </w:rPr>
        <w:t>dered access. The primary healthcare network is not strong enough, mainly due to the insufficient stock of family doctors and the lack of a comprehensive workforce strategy. Centralised procurement is still not mature despite recent progress. There has bee</w:t>
      </w:r>
      <w:r>
        <w:rPr>
          <w:rFonts w:ascii="Times New Roman" w:eastAsia="Times New Roman" w:hAnsi="Times New Roman" w:cs="Times New Roman"/>
          <w:noProof/>
          <w:sz w:val="24"/>
          <w:szCs w:val="24"/>
        </w:rPr>
        <w:t>n limited progress in investment in the health sector, which is significantly below the EU average (0.1% of GDP as opposed to 0.2% for the EU-27 in 2018</w:t>
      </w:r>
      <w:r>
        <w:rPr>
          <w:rStyle w:val="FootnoteReference"/>
          <w:rFonts w:ascii="Times New Roman" w:eastAsia="Times New Roman" w:hAnsi="Times New Roman" w:cs="Times New Roman"/>
          <w:noProof/>
          <w:sz w:val="24"/>
          <w:szCs w:val="24"/>
        </w:rPr>
        <w:footnoteReference w:id="10"/>
      </w:r>
      <w:r>
        <w:rPr>
          <w:rFonts w:ascii="Times New Roman" w:eastAsia="Times New Roman" w:hAnsi="Times New Roman" w:cs="Times New Roman"/>
          <w:noProof/>
          <w:sz w:val="24"/>
          <w:szCs w:val="24"/>
        </w:rPr>
        <w:t>). Investment seems to be insufficient especially in priority areas such as primary care, which could s</w:t>
      </w:r>
      <w:r>
        <w:rPr>
          <w:rFonts w:ascii="Times New Roman" w:eastAsia="Times New Roman" w:hAnsi="Times New Roman" w:cs="Times New Roman"/>
          <w:noProof/>
          <w:sz w:val="24"/>
          <w:szCs w:val="24"/>
        </w:rPr>
        <w:t>ignificantly increase the efficiency of the health system. Despite some improvement in the recent years, unmet needs for medical care linked to cost/distance/waiting times remained among the highest in the EU in 2019, with a wide gap between the lowest and</w:t>
      </w:r>
      <w:r>
        <w:rPr>
          <w:rFonts w:ascii="Times New Roman" w:eastAsia="Times New Roman" w:hAnsi="Times New Roman" w:cs="Times New Roman"/>
          <w:noProof/>
          <w:sz w:val="24"/>
          <w:szCs w:val="24"/>
        </w:rPr>
        <w:t xml:space="preserve"> the highest income group as well as between employed and not employed people. Co-payments have not been sufficiently means-tested to protect vulnerable groups. This is aggravated by persistent supply-induced demand in pharmaceuticals and diagnostics, whic</w:t>
      </w:r>
      <w:r>
        <w:rPr>
          <w:rFonts w:ascii="Times New Roman" w:eastAsia="Times New Roman" w:hAnsi="Times New Roman" w:cs="Times New Roman"/>
          <w:noProof/>
          <w:sz w:val="24"/>
          <w:szCs w:val="24"/>
        </w:rPr>
        <w:t>h is also reflected in high and increasing clawbacks. While the share of people aged 65+ who face serious difficulties in personal care and/or household activities is considerably higher than the EU-27 average (22.6 against 18.1 in 2014, the latest availab</w:t>
      </w:r>
      <w:r>
        <w:rPr>
          <w:rFonts w:ascii="Times New Roman" w:eastAsia="Times New Roman" w:hAnsi="Times New Roman" w:cs="Times New Roman"/>
          <w:noProof/>
          <w:sz w:val="24"/>
          <w:szCs w:val="24"/>
        </w:rPr>
        <w:t>le year</w:t>
      </w:r>
      <w:r>
        <w:rPr>
          <w:rStyle w:val="FootnoteReference"/>
          <w:rFonts w:ascii="Times New Roman" w:eastAsia="Times New Roman" w:hAnsi="Times New Roman" w:cs="Times New Roman"/>
          <w:noProof/>
          <w:sz w:val="24"/>
          <w:szCs w:val="24"/>
        </w:rPr>
        <w:footnoteReference w:id="11"/>
      </w:r>
      <w:r>
        <w:rPr>
          <w:rFonts w:ascii="Times New Roman" w:eastAsia="Times New Roman" w:hAnsi="Times New Roman" w:cs="Times New Roman"/>
          <w:noProof/>
          <w:sz w:val="24"/>
          <w:szCs w:val="24"/>
        </w:rPr>
        <w:t xml:space="preserve">), public spending on long-term care is very low (less than 2% of total healthcare spending). Greece has the lowest number of long-term care workers per 100 individuals aged 65 and over among the OECD countries.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Concerning institutional quality, G</w:t>
      </w:r>
      <w:r>
        <w:rPr>
          <w:rFonts w:ascii="Times New Roman" w:eastAsia="Times New Roman" w:hAnsi="Times New Roman" w:cs="Times New Roman"/>
          <w:b/>
          <w:bCs/>
          <w:noProof/>
          <w:sz w:val="24"/>
          <w:szCs w:val="24"/>
        </w:rPr>
        <w:t xml:space="preserve">reece still faces major challenges regarding its business environment, as evidenced by the low performance in several areas. </w:t>
      </w:r>
      <w:r>
        <w:rPr>
          <w:rFonts w:ascii="Times New Roman" w:eastAsia="Times New Roman" w:hAnsi="Times New Roman" w:cs="Times New Roman"/>
          <w:noProof/>
          <w:sz w:val="24"/>
          <w:szCs w:val="24"/>
        </w:rPr>
        <w:t>As for business environment, Greece is one of the countries with the lowest business dynamism in the EU. High regulatory barriers a</w:t>
      </w:r>
      <w:r>
        <w:rPr>
          <w:rFonts w:ascii="Times New Roman" w:eastAsia="Times New Roman" w:hAnsi="Times New Roman" w:cs="Times New Roman"/>
          <w:noProof/>
          <w:sz w:val="24"/>
          <w:szCs w:val="24"/>
        </w:rPr>
        <w:t>nd inefficiencies in the public administration especially in areas such as contract enforcement and registering property, licensing process, environmental permits, coupled with the time needed by the justice system to deliver its final decisions, as well a</w:t>
      </w:r>
      <w:r>
        <w:rPr>
          <w:rFonts w:ascii="Times New Roman" w:eastAsia="Times New Roman" w:hAnsi="Times New Roman" w:cs="Times New Roman"/>
          <w:noProof/>
          <w:sz w:val="24"/>
          <w:szCs w:val="24"/>
        </w:rPr>
        <w:t xml:space="preserve">s lack of clarity on existing tax rules hinder productivity growth. Key reforms to improve Greece’s digital performance are progressing, although it remains among the lowest in the EU.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Greece does not perform well compared to the EU average in terms of ma</w:t>
      </w:r>
      <w:r>
        <w:rPr>
          <w:rFonts w:ascii="Times New Roman" w:eastAsia="Times New Roman" w:hAnsi="Times New Roman" w:cs="Times New Roman"/>
          <w:b/>
          <w:bCs/>
          <w:noProof/>
          <w:sz w:val="24"/>
          <w:szCs w:val="24"/>
        </w:rPr>
        <w:t>ny public administration indicators</w:t>
      </w:r>
      <w:r>
        <w:rPr>
          <w:rStyle w:val="FootnoteReference"/>
          <w:rFonts w:ascii="Times New Roman" w:eastAsia="Times New Roman" w:hAnsi="Times New Roman" w:cs="Times New Roman"/>
          <w:b/>
          <w:bCs/>
          <w:noProof/>
          <w:sz w:val="24"/>
          <w:szCs w:val="24"/>
        </w:rPr>
        <w:footnoteReference w:id="12"/>
      </w:r>
      <w:r>
        <w:rPr>
          <w:rFonts w:ascii="Times New Roman" w:eastAsia="Times New Roman" w:hAnsi="Times New Roman" w:cs="Times New Roman"/>
          <w:noProof/>
          <w:sz w:val="24"/>
          <w:szCs w:val="24"/>
        </w:rPr>
        <w:t>. The public administration reforms over the past decade focused on a leaner and more efficient state and on the improvement of services. However, Greece remains one of the least decentralised administrative systems of t</w:t>
      </w:r>
      <w:r>
        <w:rPr>
          <w:rFonts w:ascii="Times New Roman" w:eastAsia="Times New Roman" w:hAnsi="Times New Roman" w:cs="Times New Roman"/>
          <w:noProof/>
          <w:sz w:val="24"/>
          <w:szCs w:val="24"/>
        </w:rPr>
        <w:t>he EU. While digital services available to citizens have been recently expanded (see Gov.gr) and the law-making processes have been reviewed (see Executive State Law), the challenge remains to properly implement and fully roll out these initiatives. Furthe</w:t>
      </w:r>
      <w:r>
        <w:rPr>
          <w:rFonts w:ascii="Times New Roman" w:eastAsia="Times New Roman" w:hAnsi="Times New Roman" w:cs="Times New Roman"/>
          <w:noProof/>
          <w:sz w:val="24"/>
          <w:szCs w:val="24"/>
        </w:rPr>
        <w:t>rmore, the overall administrative capacity of the regional and local government levels is very uneven with unclear and/or overlapping competencies. Areas where there is scope for improvement, include (i) capacity to properly design and implement public pol</w:t>
      </w:r>
      <w:r>
        <w:rPr>
          <w:rFonts w:ascii="Times New Roman" w:eastAsia="Times New Roman" w:hAnsi="Times New Roman" w:cs="Times New Roman"/>
          <w:noProof/>
          <w:sz w:val="24"/>
          <w:szCs w:val="24"/>
        </w:rPr>
        <w:t>icies; (ii) coordination, in particular evident for cross-cutting subjects; (iii) human resources under-utilised and inefficiently allocated; (iv) overly complicated regulatory framework; (v) low penetration of e-Government services; (vi) low continuity in</w:t>
      </w:r>
      <w:r>
        <w:rPr>
          <w:rFonts w:ascii="Times New Roman" w:eastAsia="Times New Roman" w:hAnsi="Times New Roman" w:cs="Times New Roman"/>
          <w:noProof/>
          <w:sz w:val="24"/>
          <w:szCs w:val="24"/>
        </w:rPr>
        <w:t xml:space="preserve"> administration due to lack of standardisation of operational procedures; and (vii) absence of modern methods, techniques, and management tools. Regulatory quality suffers from excessive regulation, low use of evidence-based instruments, and non-meritocrat</w:t>
      </w:r>
      <w:r>
        <w:rPr>
          <w:rFonts w:ascii="Times New Roman" w:eastAsia="Times New Roman" w:hAnsi="Times New Roman" w:cs="Times New Roman"/>
          <w:noProof/>
          <w:sz w:val="24"/>
          <w:szCs w:val="24"/>
        </w:rPr>
        <w:t xml:space="preserve">ic or heavily politicised regulation.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Despite recent reforms, the justice system faces multiple challenges that weigh on its efficiency and quality.</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Cs/>
          <w:noProof/>
          <w:sz w:val="24"/>
          <w:szCs w:val="24"/>
        </w:rPr>
        <w:t>The</w:t>
      </w:r>
      <w:r>
        <w:rPr>
          <w:rFonts w:ascii="Times New Roman" w:eastAsia="Times New Roman" w:hAnsi="Times New Roman" w:cs="Times New Roman"/>
          <w:noProof/>
          <w:sz w:val="24"/>
          <w:szCs w:val="24"/>
        </w:rPr>
        <w:t xml:space="preserve"> civil court system continues to face efficiency challenges, as the time needed to resolve litigious civil and commercial disputes in first instance has continued to increase. In addition, the productivity of first instance courts has not improved as regar</w:t>
      </w:r>
      <w:r>
        <w:rPr>
          <w:rFonts w:ascii="Times New Roman" w:eastAsia="Times New Roman" w:hAnsi="Times New Roman" w:cs="Times New Roman"/>
          <w:noProof/>
          <w:sz w:val="24"/>
          <w:szCs w:val="24"/>
        </w:rPr>
        <w:t>ds the clearance rate for litigious civil and commercial cases, which means that Greece is facing a clear risk of building up additional backlogs, further exacerbated by the consequences of partial interruptions of work due to the COVID-19 pandemic</w:t>
      </w:r>
      <w:r>
        <w:rPr>
          <w:rFonts w:ascii="Times New Roman" w:eastAsia="Times New Roman" w:hAnsi="Times New Roman" w:cs="Times New Roman"/>
          <w:noProof/>
          <w:sz w:val="24"/>
          <w:szCs w:val="24"/>
          <w:vertAlign w:val="superscript"/>
        </w:rPr>
        <w:footnoteReference w:id="13"/>
      </w:r>
      <w:r>
        <w:rPr>
          <w:rFonts w:ascii="Times New Roman" w:eastAsia="Times New Roman" w:hAnsi="Times New Roman" w:cs="Times New Roman"/>
          <w:noProof/>
          <w:sz w:val="24"/>
          <w:szCs w:val="24"/>
        </w:rPr>
        <w:t>. Outda</w:t>
      </w:r>
      <w:r>
        <w:rPr>
          <w:rFonts w:ascii="Times New Roman" w:eastAsia="Times New Roman" w:hAnsi="Times New Roman" w:cs="Times New Roman"/>
          <w:noProof/>
          <w:sz w:val="24"/>
          <w:szCs w:val="24"/>
        </w:rPr>
        <w:t>ted infrastructure and manpower insufficiencies, along with an inefficient distribution of resources under the current judicial map explain part of the issues. Further improvements are needed in the system for the collection of judicial statistics. Shortco</w:t>
      </w:r>
      <w:r>
        <w:rPr>
          <w:rFonts w:ascii="Times New Roman" w:eastAsia="Times New Roman" w:hAnsi="Times New Roman" w:cs="Times New Roman"/>
          <w:noProof/>
          <w:sz w:val="24"/>
          <w:szCs w:val="24"/>
        </w:rPr>
        <w:t>mings in the digitalisation of justice include the lack of availability of online information about the judicial system to the general public, the absence of digitalisation of judicial processes and of the digitalisation of archives and judicial decisions.</w:t>
      </w:r>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Policies for the next generation, children and youth, including education and skills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As per policies for the next generation, improving basic educational outcomes and performance in basic skills is a priority.</w:t>
      </w:r>
      <w:r>
        <w:rPr>
          <w:rFonts w:ascii="Times New Roman" w:eastAsia="Times New Roman" w:hAnsi="Times New Roman" w:cs="Times New Roman"/>
          <w:noProof/>
          <w:sz w:val="24"/>
          <w:szCs w:val="24"/>
        </w:rPr>
        <w:t xml:space="preserve"> Strengthening the teaching profession, reform</w:t>
      </w:r>
      <w:r>
        <w:rPr>
          <w:rFonts w:ascii="Times New Roman" w:eastAsia="Times New Roman" w:hAnsi="Times New Roman" w:cs="Times New Roman"/>
          <w:noProof/>
          <w:sz w:val="24"/>
          <w:szCs w:val="24"/>
        </w:rPr>
        <w:t>ing school curricula and providing adequate support to disadvantaged pupils are overarching challenges. Increasing participation in vocational education and training is also key, alongside promoting reskilling and upskilling to reduce skills mismatches and</w:t>
      </w:r>
      <w:r>
        <w:rPr>
          <w:rFonts w:ascii="Times New Roman" w:eastAsia="Times New Roman" w:hAnsi="Times New Roman" w:cs="Times New Roman"/>
          <w:noProof/>
          <w:sz w:val="24"/>
          <w:szCs w:val="24"/>
        </w:rPr>
        <w:t xml:space="preserve"> to address the green and digital transition. An institutional framework to update skills’ supply on a regular basis along with a modern training design and delivery mechanism is missing, hence hampering the link between the education system and labour mar</w:t>
      </w:r>
      <w:r>
        <w:rPr>
          <w:rFonts w:ascii="Times New Roman" w:eastAsia="Times New Roman" w:hAnsi="Times New Roman" w:cs="Times New Roman"/>
          <w:noProof/>
          <w:sz w:val="24"/>
          <w:szCs w:val="24"/>
        </w:rPr>
        <w:t>ket needs.</w:t>
      </w:r>
      <w:r>
        <w:rPr>
          <w:rFonts w:ascii="Times New Roman" w:hAnsi="Times New Roman" w:cs="Times New Roman"/>
          <w:noProof/>
          <w:color w:val="0D0D0D" w:themeColor="text1" w:themeTint="F2"/>
          <w:sz w:val="24"/>
          <w:szCs w:val="24"/>
          <w:shd w:val="clear" w:color="auto" w:fill="FFFFFF"/>
        </w:rPr>
        <w:t xml:space="preserve"> </w:t>
      </w:r>
      <w:r>
        <w:rPr>
          <w:rStyle w:val="normaltextrun"/>
          <w:rFonts w:ascii="Times New Roman" w:hAnsi="Times New Roman" w:cs="Times New Roman"/>
          <w:noProof/>
          <w:color w:val="0D0D0D" w:themeColor="text1" w:themeTint="F2"/>
          <w:sz w:val="24"/>
          <w:szCs w:val="24"/>
          <w:shd w:val="clear" w:color="auto" w:fill="FFFFFF"/>
        </w:rPr>
        <w:t>Availability and quality of childhood education and care (ECEC) is relatively low, in particular for children below the age of obligatory pre-school education. The integration of recently arrived migrants into the education system remains a sign</w:t>
      </w:r>
      <w:r>
        <w:rPr>
          <w:rStyle w:val="normaltextrun"/>
          <w:rFonts w:ascii="Times New Roman" w:hAnsi="Times New Roman" w:cs="Times New Roman"/>
          <w:noProof/>
          <w:color w:val="0D0D0D" w:themeColor="text1" w:themeTint="F2"/>
          <w:sz w:val="24"/>
          <w:szCs w:val="24"/>
          <w:shd w:val="clear" w:color="auto" w:fill="FFFFFF"/>
        </w:rPr>
        <w:t>ificant challenge.</w:t>
      </w:r>
    </w:p>
    <w:p w:rsidR="00176373" w:rsidRDefault="00E474D1">
      <w:pPr>
        <w:pStyle w:val="Heading2"/>
        <w:numPr>
          <w:ilvl w:val="1"/>
          <w:numId w:val="10"/>
        </w:numPr>
        <w:rPr>
          <w:rFonts w:eastAsiaTheme="minorEastAsia"/>
          <w:i/>
          <w:noProof/>
        </w:rPr>
      </w:pPr>
      <w:bookmarkStart w:id="98" w:name="_Toc66388696"/>
      <w:bookmarkStart w:id="99" w:name="_Toc72326483"/>
      <w:bookmarkStart w:id="100" w:name="_Toc72326514"/>
      <w:bookmarkStart w:id="101" w:name="_Toc74305317"/>
      <w:bookmarkStart w:id="102" w:name="_Toc62455195"/>
      <w:bookmarkStart w:id="103" w:name="_Toc62818210"/>
      <w:bookmarkStart w:id="104" w:name="_Toc62818757"/>
      <w:bookmarkStart w:id="105" w:name="_Toc63417212"/>
      <w:bookmarkStart w:id="106" w:name="_Toc63418902"/>
      <w:bookmarkStart w:id="107" w:name="_Toc63418927"/>
      <w:bookmarkStart w:id="108" w:name="_Toc64281613"/>
      <w:bookmarkStart w:id="109" w:name="_Toc71665324"/>
      <w:bookmarkStart w:id="110" w:name="_Toc71740453"/>
      <w:bookmarkStart w:id="111" w:name="_Toc71792448"/>
      <w:bookmarkStart w:id="112" w:name="_Toc72158498"/>
      <w:bookmarkStart w:id="113" w:name="_Toc72170701"/>
      <w:bookmarkStart w:id="114" w:name="_Toc72176829"/>
      <w:bookmarkStart w:id="115" w:name="_Toc72179400"/>
      <w:bookmarkStart w:id="116" w:name="_Toc72176038"/>
      <w:bookmarkStart w:id="117" w:name="_Toc72181711"/>
      <w:bookmarkStart w:id="118" w:name="_Toc72178560"/>
      <w:bookmarkStart w:id="119" w:name="_Toc72182447"/>
      <w:bookmarkStart w:id="120" w:name="_Toc72183444"/>
      <w:bookmarkStart w:id="121" w:name="_Toc72187258"/>
      <w:bookmarkEnd w:id="98"/>
      <w:r>
        <w:rPr>
          <w:rFonts w:eastAsiaTheme="minorEastAsia"/>
          <w:noProof/>
        </w:rPr>
        <w:t>Challenges related to the green and digital transition</w:t>
      </w:r>
      <w:bookmarkEnd w:id="99"/>
      <w:bookmarkEnd w:id="100"/>
      <w:bookmarkEnd w:id="101"/>
      <w:r>
        <w:rPr>
          <w:rFonts w:eastAsiaTheme="minorEastAsia"/>
          <w:noProof/>
        </w:rPr>
        <w:t xml:space="preserve">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176373" w:rsidRDefault="00E474D1">
      <w:pPr>
        <w:pStyle w:val="Heading3"/>
        <w:rPr>
          <w:b/>
          <w:noProof/>
          <w:sz w:val="28"/>
          <w:szCs w:val="28"/>
          <w:highlight w:val="cyan"/>
        </w:rPr>
      </w:pPr>
      <w:bookmarkStart w:id="122" w:name="_Toc72326484"/>
      <w:bookmarkStart w:id="123" w:name="_Toc72326515"/>
      <w:bookmarkStart w:id="124" w:name="_Toc74305318"/>
      <w:r>
        <w:rPr>
          <w:noProof/>
        </w:rPr>
        <w:t>Green dimension</w:t>
      </w:r>
      <w:bookmarkEnd w:id="122"/>
      <w:bookmarkEnd w:id="123"/>
      <w:bookmarkEnd w:id="124"/>
      <w:r>
        <w:rPr>
          <w:noProof/>
        </w:rPr>
        <w:t xml:space="preserve">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should contribute to the green transition and at least 37% of the financial allocation needs to contribute to climate objectives</w:t>
      </w:r>
      <w:r>
        <w:rPr>
          <w:rFonts w:ascii="Times New Roman" w:eastAsia="Times New Roman" w:hAnsi="Times New Roman" w:cs="Times New Roman"/>
          <w:noProof/>
          <w:sz w:val="24"/>
          <w:szCs w:val="24"/>
        </w:rPr>
        <w:t>. T</w:t>
      </w:r>
      <w:r>
        <w:rPr>
          <w:rFonts w:ascii="Times New Roman" w:eastAsia="Times New Roman" w:hAnsi="Times New Roman" w:cs="Times New Roman"/>
          <w:noProof/>
          <w:sz w:val="24"/>
          <w:szCs w:val="24"/>
        </w:rPr>
        <w:t>he measures in the plan shall contribute to achieving the 2050 climate neutrality objective, and the 2030 energy and climate targets, taking into account Member States’ national energy and climate plans. They should also contribute to meeting environmental</w:t>
      </w:r>
      <w:r>
        <w:rPr>
          <w:rFonts w:ascii="Times New Roman" w:eastAsia="Times New Roman" w:hAnsi="Times New Roman" w:cs="Times New Roman"/>
          <w:noProof/>
          <w:sz w:val="24"/>
          <w:szCs w:val="24"/>
        </w:rPr>
        <w:t xml:space="preserve"> targets for waste, water, pollution control, sustainable mobility, biodiversity protection and restoration, marine and water resources, and support the transition to sustainable food systems as well as to a circular economy as appropriate, while ensuring </w:t>
      </w:r>
      <w:r>
        <w:rPr>
          <w:rFonts w:ascii="Times New Roman" w:eastAsia="Times New Roman" w:hAnsi="Times New Roman" w:cs="Times New Roman"/>
          <w:noProof/>
          <w:sz w:val="24"/>
          <w:szCs w:val="24"/>
        </w:rPr>
        <w:t>that nobody is left behind. For Greece, this refers in particular to energy and resource efficiency in buildings, transport, and industry; renewable energy; and the development of relevant technical competencies and skills. The measures should also contrib</w:t>
      </w:r>
      <w:r>
        <w:rPr>
          <w:rFonts w:ascii="Times New Roman" w:eastAsia="Times New Roman" w:hAnsi="Times New Roman" w:cs="Times New Roman"/>
          <w:noProof/>
          <w:sz w:val="24"/>
          <w:szCs w:val="24"/>
        </w:rPr>
        <w:t xml:space="preserve">ute to meeting environmental targets for waste, water, pollution control, sustainable mobility, biodiversity protection and restoration, marine and water resources, and support the transition to sustainable food systems as well as to a circular economy as </w:t>
      </w:r>
      <w:r>
        <w:rPr>
          <w:rFonts w:ascii="Times New Roman" w:eastAsia="Times New Roman" w:hAnsi="Times New Roman" w:cs="Times New Roman"/>
          <w:noProof/>
          <w:sz w:val="24"/>
          <w:szCs w:val="24"/>
        </w:rPr>
        <w:t xml:space="preserve">appropriate, while ensuring that nobody is left behind. For Greece, investment in </w:t>
      </w:r>
      <w:r>
        <w:rPr>
          <w:rFonts w:ascii="Times New Roman" w:eastAsia="Times New Roman" w:hAnsi="Times New Roman" w:cs="Times New Roman"/>
          <w:noProof/>
          <w:color w:val="000000" w:themeColor="text1"/>
          <w:sz w:val="24"/>
          <w:szCs w:val="24"/>
        </w:rPr>
        <w:t>marine biodiversity and ecosystems are particularly important, as marine protected areas (MPAs) provide limited real protection and overfishing persists.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Greece has been historically reliant on solid fossil fuels (lignite) for electricity generation. </w:t>
      </w:r>
      <w:r>
        <w:rPr>
          <w:rFonts w:ascii="Times New Roman" w:eastAsia="Times New Roman" w:hAnsi="Times New Roman" w:cs="Times New Roman"/>
          <w:noProof/>
          <w:sz w:val="24"/>
          <w:szCs w:val="24"/>
        </w:rPr>
        <w:t xml:space="preserve">However, a combination of increased effectiveness of climate policies and higher carbon prices, inability to modernise plants so as to bring them in line with </w:t>
      </w:r>
      <w:r>
        <w:rPr>
          <w:rFonts w:ascii="Times New Roman" w:eastAsia="Times New Roman" w:hAnsi="Times New Roman" w:cs="Times New Roman"/>
          <w:noProof/>
          <w:sz w:val="24"/>
          <w:szCs w:val="24"/>
        </w:rPr>
        <w:t>stricter environmental policies, and market reforms, which are expected to lead to increase in competition of alternative energy sources, have significantly brought down the share of electricity produced with lignite, which in 2020 was less than 20%.</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w:t>
      </w:r>
      <w:r>
        <w:rPr>
          <w:rFonts w:ascii="Times New Roman" w:eastAsia="Times New Roman" w:hAnsi="Times New Roman" w:cs="Times New Roman"/>
          <w:b/>
          <w:bCs/>
          <w:noProof/>
          <w:sz w:val="24"/>
          <w:szCs w:val="24"/>
        </w:rPr>
        <w:t xml:space="preserve">reek government committed to phase out existing lignite-based power plants by 2023 </w:t>
      </w:r>
      <w:r>
        <w:rPr>
          <w:rFonts w:ascii="Times New Roman" w:eastAsia="Times New Roman" w:hAnsi="Times New Roman" w:cs="Times New Roman"/>
          <w:noProof/>
          <w:sz w:val="24"/>
          <w:szCs w:val="24"/>
        </w:rPr>
        <w:t>already</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at the UN Special Climate Action Summit in 2019, and confirmed such commitment in the final National Energy and Climate Plan (NECP).</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The only exception is the Ptolem</w:t>
      </w:r>
      <w:r>
        <w:rPr>
          <w:rFonts w:ascii="Times New Roman" w:eastAsia="Times New Roman" w:hAnsi="Times New Roman" w:cs="Times New Roman"/>
          <w:noProof/>
          <w:sz w:val="24"/>
          <w:szCs w:val="24"/>
        </w:rPr>
        <w:t>aida V plant, still under construction, which will be converted by 2028. The phase-out will have significant economic and social consequences</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for the regions where lignite production is concentrated, notably Western Macedonia and – to a lesser extent in ab</w:t>
      </w:r>
      <w:r>
        <w:rPr>
          <w:rFonts w:ascii="Times New Roman" w:eastAsia="Times New Roman" w:hAnsi="Times New Roman" w:cs="Times New Roman"/>
          <w:noProof/>
          <w:sz w:val="24"/>
          <w:szCs w:val="24"/>
        </w:rPr>
        <w:t>solute terms – Peloponnese (Megalopolis). Security of supply and a smooth transition to clean energy sources need to be ensured.</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Renewable energy production and consumption have significantly increased</w:t>
      </w:r>
      <w:r>
        <w:rPr>
          <w:rFonts w:ascii="Times New Roman" w:eastAsia="Times New Roman" w:hAnsi="Times New Roman" w:cs="Times New Roman"/>
          <w:noProof/>
          <w:sz w:val="24"/>
          <w:szCs w:val="24"/>
        </w:rPr>
        <w:t>. The share of consumption of energy from renewable sou</w:t>
      </w:r>
      <w:r>
        <w:rPr>
          <w:rFonts w:ascii="Times New Roman" w:eastAsia="Times New Roman" w:hAnsi="Times New Roman" w:cs="Times New Roman"/>
          <w:noProof/>
          <w:sz w:val="24"/>
          <w:szCs w:val="24"/>
        </w:rPr>
        <w:t>rces has almost doubled between 2010 (10.08%) and 2019</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(19.68%). Greece has therefore gone beyond its 2020 target of 18% and has set a 35% objective for 2030, which was assessed by the Commission as sufficiently ambitious in its final assessment of the NEC</w:t>
      </w:r>
      <w:r>
        <w:rPr>
          <w:rFonts w:ascii="Times New Roman" w:eastAsia="Times New Roman" w:hAnsi="Times New Roman" w:cs="Times New Roman"/>
          <w:noProof/>
          <w:sz w:val="24"/>
          <w:szCs w:val="24"/>
        </w:rPr>
        <w:t xml:space="preserve">P. Looking ahead, the decommissioning of existing lignite power plants by 2023 and the increased level of ambition for climate objectives at 2030 and 2050 will require further significant investment in this sector.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Offshore wind</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bCs/>
          <w:noProof/>
          <w:sz w:val="24"/>
          <w:szCs w:val="24"/>
        </w:rPr>
        <w:t xml:space="preserve">in particular is still at </w:t>
      </w:r>
      <w:r>
        <w:rPr>
          <w:rFonts w:ascii="Times New Roman" w:eastAsia="Times New Roman" w:hAnsi="Times New Roman" w:cs="Times New Roman"/>
          <w:b/>
          <w:bCs/>
          <w:noProof/>
          <w:sz w:val="24"/>
          <w:szCs w:val="24"/>
        </w:rPr>
        <w:t>early stages in Greece but a good potential has been identified, also for other forms of renewables.</w:t>
      </w:r>
      <w:r>
        <w:rPr>
          <w:rFonts w:ascii="Times New Roman" w:eastAsia="Times New Roman" w:hAnsi="Times New Roman" w:cs="Times New Roman"/>
          <w:noProof/>
          <w:sz w:val="24"/>
          <w:szCs w:val="24"/>
        </w:rPr>
        <w:t xml:space="preserve"> Greece has announced reforms of the framework for offshore wind parks, including regulatory, installation and support aspects, while maritime spatial plans</w:t>
      </w:r>
      <w:r>
        <w:rPr>
          <w:rFonts w:ascii="Times New Roman" w:eastAsia="Times New Roman" w:hAnsi="Times New Roman" w:cs="Times New Roman"/>
          <w:noProof/>
          <w:sz w:val="24"/>
          <w:szCs w:val="24"/>
        </w:rPr>
        <w:t xml:space="preserve"> will need to be prepared. Greece has also a high potential for other forms of renewable energy from waste and by-products of the agriculture and forestry sectors (while taking into account the effects on air pollution and the waste hierarchy). Considering</w:t>
      </w:r>
      <w:r>
        <w:rPr>
          <w:rFonts w:ascii="Times New Roman" w:eastAsia="Times New Roman" w:hAnsi="Times New Roman" w:cs="Times New Roman"/>
          <w:noProof/>
          <w:sz w:val="24"/>
          <w:szCs w:val="24"/>
        </w:rPr>
        <w:t xml:space="preserve"> that Greece is particularly prone to forest fires, damage to forests needs to be prevented by supporting forest resilience and restoration in addition to afforestation.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Energy efficiency remains a key issue, with a modest level of ambition for 2030 set f</w:t>
      </w:r>
      <w:r>
        <w:rPr>
          <w:rFonts w:ascii="Times New Roman" w:eastAsia="Times New Roman" w:hAnsi="Times New Roman" w:cs="Times New Roman"/>
          <w:b/>
          <w:bCs/>
          <w:noProof/>
          <w:sz w:val="24"/>
          <w:szCs w:val="24"/>
        </w:rPr>
        <w:t xml:space="preserve">or final energy consumption targets and a low level of ambition for primary consumption. </w:t>
      </w:r>
      <w:r>
        <w:rPr>
          <w:rFonts w:ascii="Times New Roman" w:eastAsia="Times New Roman" w:hAnsi="Times New Roman" w:cs="Times New Roman"/>
          <w:noProof/>
          <w:sz w:val="24"/>
          <w:szCs w:val="24"/>
        </w:rPr>
        <w:t>This is especially problematic for private and public buildings, which should undergo deep renovations to realise the significant potential savings. In its NECP, Greec</w:t>
      </w:r>
      <w:r>
        <w:rPr>
          <w:rFonts w:ascii="Times New Roman" w:eastAsia="Times New Roman" w:hAnsi="Times New Roman" w:cs="Times New Roman"/>
          <w:noProof/>
          <w:sz w:val="24"/>
          <w:szCs w:val="24"/>
        </w:rPr>
        <w:t>e has set out a target to annually renovate 3% of the total floor area of public buildings and a target of 40 000 homes per year to be upgraded by 2030 (equal to 12-15% of total housing stock by 2030), while according to Greece’s long-term renovation strat</w:t>
      </w:r>
      <w:r>
        <w:rPr>
          <w:rFonts w:ascii="Times New Roman" w:eastAsia="Times New Roman" w:hAnsi="Times New Roman" w:cs="Times New Roman"/>
          <w:noProof/>
          <w:sz w:val="24"/>
          <w:szCs w:val="24"/>
        </w:rPr>
        <w:t>egy the final energy demand in buildings will be reduced by 8% compared to 2015 levels through targeted policy measures. While such target is relevant, it is not ambitious enough. Ideally, this effort should be reinforced and accompanied by measures to all</w:t>
      </w:r>
      <w:r>
        <w:rPr>
          <w:rFonts w:ascii="Times New Roman" w:eastAsia="Times New Roman" w:hAnsi="Times New Roman" w:cs="Times New Roman"/>
          <w:noProof/>
          <w:sz w:val="24"/>
          <w:szCs w:val="24"/>
        </w:rPr>
        <w:t>eviate energy poverty, a pressing social challenge for Greece.</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Greece implemented deep reforms in its energy markets in the context of the economic adjustment programmes. </w:t>
      </w:r>
      <w:r>
        <w:rPr>
          <w:rFonts w:ascii="Times New Roman" w:eastAsia="Times New Roman" w:hAnsi="Times New Roman" w:cs="Times New Roman"/>
          <w:noProof/>
          <w:sz w:val="24"/>
          <w:szCs w:val="24"/>
        </w:rPr>
        <w:t>They focused on opening up markets and increasing competition, and delivered a reduct</w:t>
      </w:r>
      <w:r>
        <w:rPr>
          <w:rFonts w:ascii="Times New Roman" w:eastAsia="Times New Roman" w:hAnsi="Times New Roman" w:cs="Times New Roman"/>
          <w:noProof/>
          <w:sz w:val="24"/>
          <w:szCs w:val="24"/>
        </w:rPr>
        <w:t>ion in the market share of the electricity incumbent, which declined in the electricity retail market from 95% in 2015 to 66% in 2020. It will be important for competitors in this market to gain further traction and for competition to cover all market segm</w:t>
      </w:r>
      <w:r>
        <w:rPr>
          <w:rFonts w:ascii="Times New Roman" w:eastAsia="Times New Roman" w:hAnsi="Times New Roman" w:cs="Times New Roman"/>
          <w:noProof/>
          <w:sz w:val="24"/>
          <w:szCs w:val="24"/>
        </w:rPr>
        <w:t>ents, including the different segments of the wholesale electricity market. Further reforms are pending under the post-programme enhanced surveillance framework and need to be implemented to make Greek electricity markets more competitive, by enhancing fle</w:t>
      </w:r>
      <w:r>
        <w:rPr>
          <w:rFonts w:ascii="Times New Roman" w:eastAsia="Times New Roman" w:hAnsi="Times New Roman" w:cs="Times New Roman"/>
          <w:noProof/>
          <w:sz w:val="24"/>
          <w:szCs w:val="24"/>
        </w:rPr>
        <w:t>xible market participation (demand response) and complete the market coupling with neighbouring Member States. Further, to enable the new electricity markets to function properly, a monitoring mechanism is being finalised by the national regulatory authori</w:t>
      </w:r>
      <w:r>
        <w:rPr>
          <w:rFonts w:ascii="Times New Roman" w:eastAsia="Times New Roman" w:hAnsi="Times New Roman" w:cs="Times New Roman"/>
          <w:noProof/>
          <w:sz w:val="24"/>
          <w:szCs w:val="24"/>
        </w:rPr>
        <w:t xml:space="preserve">ty, while it is essential that all market actors fulfil their role and responsibilities in a transparent and non-discretionary manner. For gas, past reforms brought about the full liberalization of the market, with </w:t>
      </w:r>
      <w:r>
        <w:rPr>
          <w:rFonts w:ascii="Times New Roman" w:hAnsi="Times New Roman" w:cs="Times New Roman"/>
          <w:noProof/>
          <w:sz w:val="24"/>
          <w:szCs w:val="24"/>
        </w:rPr>
        <w:t>the breaking up of the gas distribution m</w:t>
      </w:r>
      <w:r>
        <w:rPr>
          <w:rFonts w:ascii="Times New Roman" w:hAnsi="Times New Roman" w:cs="Times New Roman"/>
          <w:noProof/>
          <w:sz w:val="24"/>
          <w:szCs w:val="24"/>
        </w:rPr>
        <w:t>onopolies and the separation of the distribution and supply activities. The building of the interconnector with Bulgaria enhanced possibilities for competition and improved security of supply.</w:t>
      </w:r>
    </w:p>
    <w:p w:rsidR="00176373" w:rsidRDefault="00E474D1">
      <w:pPr>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Full ownership unbundling of the electricity and gas transmissi</w:t>
      </w:r>
      <w:r>
        <w:rPr>
          <w:rFonts w:ascii="Times New Roman" w:eastAsia="Times New Roman" w:hAnsi="Times New Roman" w:cs="Times New Roman"/>
          <w:b/>
          <w:bCs/>
          <w:noProof/>
          <w:sz w:val="24"/>
          <w:szCs w:val="24"/>
        </w:rPr>
        <w:t xml:space="preserve">on network operators is having a significant impact on the level of investment in networks. </w:t>
      </w:r>
      <w:r>
        <w:rPr>
          <w:rFonts w:ascii="Times New Roman" w:eastAsia="Times New Roman" w:hAnsi="Times New Roman" w:cs="Times New Roman"/>
          <w:noProof/>
          <w:sz w:val="24"/>
          <w:szCs w:val="24"/>
        </w:rPr>
        <w:t>Apart from the effect on economic growth, this should also have a positive effect on electricity consumer prices as the interconnection with the mainland is expecte</w:t>
      </w:r>
      <w:r>
        <w:rPr>
          <w:rFonts w:ascii="Times New Roman" w:eastAsia="Times New Roman" w:hAnsi="Times New Roman" w:cs="Times New Roman"/>
          <w:noProof/>
          <w:sz w:val="24"/>
          <w:szCs w:val="24"/>
        </w:rPr>
        <w:t>d to bring down the cost of electricity in the islands.</w:t>
      </w:r>
      <w:r>
        <w:rPr>
          <w:rFonts w:ascii="Times New Roman" w:eastAsia="Times New Roman" w:hAnsi="Times New Roman" w:cs="Times New Roman"/>
          <w:b/>
          <w:bCs/>
          <w:noProof/>
          <w:sz w:val="24"/>
          <w:szCs w:val="24"/>
        </w:rPr>
        <w:t xml:space="preserve">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Enhancing interconnection capacity with neighbouring countries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bCs/>
          <w:noProof/>
          <w:sz w:val="24"/>
          <w:szCs w:val="24"/>
        </w:rPr>
        <w:t>is also key</w:t>
      </w:r>
      <w:r>
        <w:rPr>
          <w:rFonts w:ascii="Times New Roman" w:eastAsia="Times New Roman" w:hAnsi="Times New Roman" w:cs="Times New Roman"/>
          <w:noProof/>
          <w:sz w:val="24"/>
          <w:szCs w:val="24"/>
        </w:rPr>
        <w:t>. It will facilitate Greece’s further integration in the European markets and also increase competition. Interconnection with</w:t>
      </w:r>
      <w:r>
        <w:rPr>
          <w:rFonts w:ascii="Times New Roman" w:eastAsia="Times New Roman" w:hAnsi="Times New Roman" w:cs="Times New Roman"/>
          <w:noProof/>
          <w:sz w:val="24"/>
          <w:szCs w:val="24"/>
        </w:rPr>
        <w:t xml:space="preserve"> Cyprus is particularly relevant in this regard.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Public and private transport also require strong investment to improve energy efficiency and develop electro-mobility and sustainable transport.</w:t>
      </w:r>
      <w:r>
        <w:rPr>
          <w:rFonts w:ascii="Times New Roman" w:eastAsia="Times New Roman" w:hAnsi="Times New Roman" w:cs="Times New Roman"/>
          <w:noProof/>
          <w:sz w:val="24"/>
          <w:szCs w:val="24"/>
        </w:rPr>
        <w:t xml:space="preserve"> Greece is well behind in the adoption of electric vehicles (w</w:t>
      </w:r>
      <w:r>
        <w:rPr>
          <w:rFonts w:ascii="Times New Roman" w:eastAsia="Times New Roman" w:hAnsi="Times New Roman" w:cs="Times New Roman"/>
          <w:noProof/>
          <w:sz w:val="24"/>
          <w:szCs w:val="24"/>
        </w:rPr>
        <w:t xml:space="preserve">ith a rate of 0.3% in new sales compared to an EU average of about 2%) and in the availability of sustainable public transport, especially in the two major cities of Athens and Thessaloniki. The Greek fleet is among the oldest in Europe, in particular the </w:t>
      </w:r>
      <w:r>
        <w:rPr>
          <w:rFonts w:ascii="Times New Roman" w:eastAsia="Times New Roman" w:hAnsi="Times New Roman" w:cs="Times New Roman"/>
          <w:noProof/>
          <w:sz w:val="24"/>
          <w:szCs w:val="24"/>
        </w:rPr>
        <w:t>medium- and heavy-duty vehicles (18.7 years in Greece versus an EU-average of 11.7), which contributes to the transport system’s heavy dependence on oil and the low use of renewables, which accounted for only 1.7% in 2016, against an objective of 10% by 20</w:t>
      </w:r>
      <w:r>
        <w:rPr>
          <w:rFonts w:ascii="Times New Roman" w:eastAsia="Times New Roman" w:hAnsi="Times New Roman" w:cs="Times New Roman"/>
          <w:noProof/>
          <w:sz w:val="24"/>
          <w:szCs w:val="24"/>
        </w:rPr>
        <w:t>20. This also contributes to a relatively poor road safety record. Major reforms should be also undertaken in the rail sector as a fundamental pillar of promoting sustainable transportation, especially in the connection between Athens and Thessaloniki. Maj</w:t>
      </w:r>
      <w:r>
        <w:rPr>
          <w:rFonts w:ascii="Times New Roman" w:eastAsia="Times New Roman" w:hAnsi="Times New Roman" w:cs="Times New Roman"/>
          <w:noProof/>
          <w:sz w:val="24"/>
          <w:szCs w:val="24"/>
        </w:rPr>
        <w:t xml:space="preserve">or investments are also required for the upgrade and greening of the fleet of vessels interconnecting the islands with the mainland.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Waste management and circular economy remain an issue. </w:t>
      </w:r>
      <w:r>
        <w:rPr>
          <w:rFonts w:ascii="Times New Roman" w:eastAsia="Times New Roman" w:hAnsi="Times New Roman" w:cs="Times New Roman"/>
          <w:noProof/>
          <w:sz w:val="24"/>
          <w:szCs w:val="24"/>
        </w:rPr>
        <w:t xml:space="preserve">Greece brings to landfill 80% of its municipal waste (versus an EU </w:t>
      </w:r>
      <w:r>
        <w:rPr>
          <w:rFonts w:ascii="Times New Roman" w:eastAsia="Times New Roman" w:hAnsi="Times New Roman" w:cs="Times New Roman"/>
          <w:noProof/>
          <w:sz w:val="24"/>
          <w:szCs w:val="24"/>
        </w:rPr>
        <w:t>average of 24%</w:t>
      </w:r>
      <w:r>
        <w:rPr>
          <w:rStyle w:val="FootnoteReference"/>
          <w:rFonts w:ascii="Times New Roman" w:eastAsia="Times New Roman" w:hAnsi="Times New Roman" w:cs="Times New Roman"/>
          <w:noProof/>
          <w:sz w:val="24"/>
          <w:szCs w:val="24"/>
        </w:rPr>
        <w:footnoteReference w:id="14"/>
      </w:r>
      <w:r>
        <w:rPr>
          <w:rFonts w:ascii="Times New Roman" w:eastAsia="Times New Roman" w:hAnsi="Times New Roman" w:cs="Times New Roman"/>
          <w:noProof/>
          <w:sz w:val="24"/>
          <w:szCs w:val="24"/>
        </w:rPr>
        <w:t>), and plans for improving reuse and recycle, in line with circular economy principles, are lagging behind. The country is going to miss its recycling targets for 2020, and important investments and reforms are thus required to reach the pos</w:t>
      </w:r>
      <w:r>
        <w:rPr>
          <w:rFonts w:ascii="Times New Roman" w:eastAsia="Times New Roman" w:hAnsi="Times New Roman" w:cs="Times New Roman"/>
          <w:noProof/>
          <w:sz w:val="24"/>
          <w:szCs w:val="24"/>
        </w:rPr>
        <w:t>t-2020 targets and to fully implement the EU environmental acquis. Greece has adopted its National Circular Economy Strategy in December 2018, however the circular material use rate is currently at 2.4%, far below the EU27 average (11.2%). Following the up</w:t>
      </w:r>
      <w:r>
        <w:rPr>
          <w:rFonts w:ascii="Times New Roman" w:eastAsia="Times New Roman" w:hAnsi="Times New Roman" w:cs="Times New Roman"/>
          <w:noProof/>
          <w:sz w:val="24"/>
          <w:szCs w:val="24"/>
        </w:rPr>
        <w:t>date of the National Waste Management Plan in 2020, the 13 Regional Waste Management Plans, also have to be updated.</w:t>
      </w:r>
    </w:p>
    <w:p w:rsidR="00176373" w:rsidRDefault="00E474D1">
      <w:pPr>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Investments are still needed to improve water treatment and water infrastructure in general. </w:t>
      </w:r>
      <w:r>
        <w:rPr>
          <w:rFonts w:ascii="Times New Roman" w:eastAsia="Times New Roman" w:hAnsi="Times New Roman" w:cs="Times New Roman"/>
          <w:noProof/>
          <w:sz w:val="24"/>
          <w:szCs w:val="24"/>
        </w:rPr>
        <w:t>About 10% of generated wastewater is not conne</w:t>
      </w:r>
      <w:r>
        <w:rPr>
          <w:rFonts w:ascii="Times New Roman" w:eastAsia="Times New Roman" w:hAnsi="Times New Roman" w:cs="Times New Roman"/>
          <w:noProof/>
          <w:sz w:val="24"/>
          <w:szCs w:val="24"/>
        </w:rPr>
        <w:t>cted to collecting systems, representing close to half of the Greek municipalities. This load is treated exclusively through individual or ad-hoc systems (for instance septic tanks, storage units or individual treatment plants) and needs upgrading. The per</w:t>
      </w:r>
      <w:r>
        <w:rPr>
          <w:rFonts w:ascii="Times New Roman" w:eastAsia="Times New Roman" w:hAnsi="Times New Roman" w:cs="Times New Roman"/>
          <w:noProof/>
          <w:sz w:val="24"/>
          <w:szCs w:val="24"/>
        </w:rPr>
        <w:t>formance of the water supply services is poor, particularly with regards to distribution leakages. Greece submitted its second River Basin Management Plans with a long delay. The third River Basin Management Plans are due end-2021 and should be submitted t</w:t>
      </w:r>
      <w:r>
        <w:rPr>
          <w:rFonts w:ascii="Times New Roman" w:eastAsia="Times New Roman" w:hAnsi="Times New Roman" w:cs="Times New Roman"/>
          <w:noProof/>
          <w:sz w:val="24"/>
          <w:szCs w:val="24"/>
        </w:rPr>
        <w:t>o the Commission by March 2022. The proper functioning of the sector requires reforms and the adoption of legislative and administrative measures to ensure the sustainability and operational viability of investments and quality services to the citizens.</w:t>
      </w:r>
    </w:p>
    <w:p w:rsidR="00176373" w:rsidRDefault="00E474D1">
      <w:pPr>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bCs/>
          <w:noProof/>
          <w:color w:val="000000" w:themeColor="text1"/>
          <w:sz w:val="24"/>
          <w:szCs w:val="24"/>
        </w:rPr>
        <w:t>Greece faces challenges with water abstraction and prolonged periods of drought, which are projected to intensify due to the climate change.</w:t>
      </w:r>
      <w:r>
        <w:rPr>
          <w:rFonts w:ascii="Times New Roman" w:eastAsia="Times New Roman" w:hAnsi="Times New Roman" w:cs="Times New Roman"/>
          <w:noProof/>
          <w:color w:val="000000" w:themeColor="text1"/>
          <w:sz w:val="24"/>
          <w:szCs w:val="24"/>
        </w:rPr>
        <w:t xml:space="preserve"> The restoration of the water bodies to good status as provided by the Water Framework Directive remains an issue. R</w:t>
      </w:r>
      <w:r>
        <w:rPr>
          <w:rFonts w:ascii="Times New Roman" w:eastAsia="Times New Roman" w:hAnsi="Times New Roman" w:cs="Times New Roman"/>
          <w:noProof/>
          <w:color w:val="000000" w:themeColor="text1"/>
          <w:sz w:val="24"/>
          <w:szCs w:val="24"/>
        </w:rPr>
        <w:t xml:space="preserve">eversing soil erosion, reducing air pollution and improving water use efficiency are important priorities. Prioritising challenges related to biodiversity, soil, air and water (e.g. catch and cover crops, retention of crop residues on fields, switching to </w:t>
      </w:r>
      <w:r>
        <w:rPr>
          <w:rFonts w:ascii="Times New Roman" w:eastAsia="Times New Roman" w:hAnsi="Times New Roman" w:cs="Times New Roman"/>
          <w:noProof/>
          <w:color w:val="000000" w:themeColor="text1"/>
          <w:sz w:val="24"/>
          <w:szCs w:val="24"/>
        </w:rPr>
        <w:t>less water intensive crops and improved crop varieties, improving irrigation efficiency via water-saving systems and precision farming) combined with an enhanced conditionality, will be crucial to the successful green transition of Greek agriculture.</w:t>
      </w:r>
    </w:p>
    <w:p w:rsidR="00176373" w:rsidRDefault="00E474D1">
      <w:p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The l</w:t>
      </w:r>
      <w:r>
        <w:rPr>
          <w:rFonts w:ascii="Times New Roman" w:eastAsia="Times New Roman" w:hAnsi="Times New Roman" w:cs="Times New Roman"/>
          <w:b/>
          <w:bCs/>
          <w:noProof/>
          <w:sz w:val="24"/>
          <w:szCs w:val="24"/>
        </w:rPr>
        <w:t>aw on biodiversity and the national biodiversity strategy are sound and comprehensive, but neither has been properly implemented.</w:t>
      </w:r>
      <w:r>
        <w:rPr>
          <w:rFonts w:ascii="Times New Roman" w:eastAsia="Times New Roman" w:hAnsi="Times New Roman" w:cs="Times New Roman"/>
          <w:noProof/>
          <w:sz w:val="24"/>
          <w:szCs w:val="24"/>
        </w:rPr>
        <w:t xml:space="preserve"> According to Greece’s latest report (2019) on the conservation status of habitats and species covered by the Habitats Directiv</w:t>
      </w:r>
      <w:r>
        <w:rPr>
          <w:rFonts w:ascii="Times New Roman" w:eastAsia="Times New Roman" w:hAnsi="Times New Roman" w:cs="Times New Roman"/>
          <w:noProof/>
          <w:sz w:val="24"/>
          <w:szCs w:val="24"/>
        </w:rPr>
        <w:t>e, only 48% of the assessments for Mediterranean habitat types and 35% for species show a good conservation status</w:t>
      </w:r>
      <w:r>
        <w:rPr>
          <w:rStyle w:val="FootnoteReference"/>
          <w:rFonts w:ascii="Times New Roman" w:eastAsia="Times New Roman" w:hAnsi="Times New Roman" w:cs="Times New Roman"/>
          <w:noProof/>
          <w:sz w:val="24"/>
          <w:szCs w:val="24"/>
        </w:rPr>
        <w:footnoteReference w:id="15"/>
      </w:r>
      <w:r>
        <w:rPr>
          <w:rFonts w:ascii="Times New Roman" w:eastAsia="Times New Roman" w:hAnsi="Times New Roman" w:cs="Times New Roman"/>
          <w:noProof/>
          <w:sz w:val="24"/>
          <w:szCs w:val="24"/>
        </w:rPr>
        <w:t>. The country is lagging behind in the implementation of the Regulation on invasive alien species</w:t>
      </w:r>
      <w:r>
        <w:rPr>
          <w:rStyle w:val="FootnoteReference"/>
          <w:rFonts w:ascii="Times New Roman" w:eastAsia="Times New Roman" w:hAnsi="Times New Roman" w:cs="Times New Roman"/>
          <w:noProof/>
          <w:sz w:val="24"/>
          <w:szCs w:val="24"/>
        </w:rPr>
        <w:footnoteReference w:id="16"/>
      </w:r>
      <w:r>
        <w:rPr>
          <w:rFonts w:ascii="Times New Roman" w:eastAsia="Times New Roman" w:hAnsi="Times New Roman" w:cs="Times New Roman"/>
          <w:noProof/>
          <w:sz w:val="24"/>
          <w:szCs w:val="24"/>
        </w:rPr>
        <w:t>, failing to establish surveillance systems</w:t>
      </w:r>
      <w:r>
        <w:rPr>
          <w:rFonts w:ascii="Times New Roman" w:eastAsia="Times New Roman" w:hAnsi="Times New Roman" w:cs="Times New Roman"/>
          <w:noProof/>
          <w:sz w:val="24"/>
          <w:szCs w:val="24"/>
        </w:rPr>
        <w:t xml:space="preserve"> and official controls to prevent the introduction and further expansion of invasive alien species of Union concern.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table below gives an overview of Greece’s objectives, targets and contributions under Regulation (EU) 2018/1999 of the European Parlia</w:t>
      </w:r>
      <w:r>
        <w:rPr>
          <w:rFonts w:ascii="Times New Roman" w:eastAsia="Times New Roman" w:hAnsi="Times New Roman" w:cs="Times New Roman"/>
          <w:noProof/>
          <w:sz w:val="24"/>
          <w:szCs w:val="24"/>
        </w:rPr>
        <w:t>ment and of the Council of 11 December 2018 on the Governance of the Energy Union and Climate Action.</w:t>
      </w: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Pr>
          <w:noProof/>
        </w:rPr>
        <w:t xml:space="preserve"> Greece’s objectives, targets and contributions under regulation (EU) 2018/1999</w:t>
      </w:r>
    </w:p>
    <w:tbl>
      <w:tblPr>
        <w:tblW w:w="9227" w:type="dxa"/>
        <w:jc w:val="center"/>
        <w:tblLook w:val="04A0" w:firstRow="1" w:lastRow="0" w:firstColumn="1" w:lastColumn="0" w:noHBand="0" w:noVBand="1"/>
      </w:tblPr>
      <w:tblGrid>
        <w:gridCol w:w="1119"/>
        <w:gridCol w:w="3530"/>
        <w:gridCol w:w="1132"/>
        <w:gridCol w:w="825"/>
        <w:gridCol w:w="747"/>
        <w:gridCol w:w="1874"/>
      </w:tblGrid>
      <w:tr w:rsidR="00176373">
        <w:trPr>
          <w:trHeight w:val="466"/>
          <w:jc w:val="center"/>
        </w:trPr>
        <w:tc>
          <w:tcPr>
            <w:tcW w:w="1119" w:type="dxa"/>
            <w:shd w:val="clear" w:color="auto" w:fill="AEAAAA" w:themeFill="background2" w:themeFillShade="BF"/>
          </w:tcPr>
          <w:p w:rsidR="00176373" w:rsidRDefault="00176373">
            <w:pPr>
              <w:jc w:val="both"/>
              <w:rPr>
                <w:rFonts w:ascii="Times New Roman" w:eastAsia="Times New Roman" w:hAnsi="Times New Roman" w:cs="Times New Roman"/>
                <w:noProof/>
                <w:sz w:val="20"/>
                <w:szCs w:val="20"/>
              </w:rPr>
            </w:pPr>
          </w:p>
        </w:tc>
        <w:tc>
          <w:tcPr>
            <w:tcW w:w="3530" w:type="dxa"/>
            <w:shd w:val="clear" w:color="auto" w:fill="AEAAAA" w:themeFill="background2" w:themeFillShade="BF"/>
            <w:vAlign w:val="center"/>
          </w:tcPr>
          <w:p w:rsidR="00176373" w:rsidRDefault="00E474D1">
            <w:pPr>
              <w:jc w:val="cente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 xml:space="preserve">National targets and contributions </w:t>
            </w:r>
          </w:p>
        </w:tc>
        <w:tc>
          <w:tcPr>
            <w:tcW w:w="1132" w:type="dxa"/>
            <w:shd w:val="clear" w:color="auto" w:fill="AEAAAA" w:themeFill="background2" w:themeFillShade="BF"/>
            <w:vAlign w:val="center"/>
          </w:tcPr>
          <w:p w:rsidR="00176373" w:rsidRDefault="00E474D1">
            <w:pPr>
              <w:jc w:val="cente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Latest</w:t>
            </w:r>
            <w:r>
              <w:rPr>
                <w:rFonts w:ascii="Times New Roman" w:eastAsia="Times New Roman" w:hAnsi="Times New Roman" w:cs="Times New Roman"/>
                <w:b/>
                <w:bCs/>
                <w:noProof/>
                <w:sz w:val="20"/>
                <w:szCs w:val="20"/>
              </w:rPr>
              <w:t xml:space="preserve"> available data</w:t>
            </w:r>
          </w:p>
        </w:tc>
        <w:tc>
          <w:tcPr>
            <w:tcW w:w="825" w:type="dxa"/>
            <w:shd w:val="clear" w:color="auto" w:fill="AEAAAA" w:themeFill="background2" w:themeFillShade="BF"/>
            <w:vAlign w:val="center"/>
          </w:tcPr>
          <w:p w:rsidR="00176373" w:rsidRDefault="00E474D1">
            <w:pPr>
              <w:jc w:val="cente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2020</w:t>
            </w:r>
          </w:p>
        </w:tc>
        <w:tc>
          <w:tcPr>
            <w:tcW w:w="747" w:type="dxa"/>
            <w:shd w:val="clear" w:color="auto" w:fill="AEAAAA" w:themeFill="background2" w:themeFillShade="BF"/>
            <w:vAlign w:val="center"/>
          </w:tcPr>
          <w:p w:rsidR="00176373" w:rsidRDefault="00E474D1">
            <w:pPr>
              <w:jc w:val="cente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2030</w:t>
            </w:r>
          </w:p>
        </w:tc>
        <w:tc>
          <w:tcPr>
            <w:tcW w:w="1874" w:type="dxa"/>
            <w:shd w:val="clear" w:color="auto" w:fill="AEAAAA" w:themeFill="background2" w:themeFillShade="BF"/>
            <w:vAlign w:val="center"/>
          </w:tcPr>
          <w:p w:rsidR="00176373" w:rsidRDefault="00E474D1">
            <w:pPr>
              <w:jc w:val="cente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Assessment of 2030 ambition level</w:t>
            </w:r>
          </w:p>
        </w:tc>
      </w:tr>
      <w:tr w:rsidR="00176373">
        <w:trPr>
          <w:trHeight w:val="724"/>
          <w:jc w:val="center"/>
        </w:trPr>
        <w:tc>
          <w:tcPr>
            <w:tcW w:w="1119" w:type="dxa"/>
          </w:tcPr>
          <w:p w:rsidR="00176373" w:rsidRDefault="00E474D1">
            <w:pPr>
              <w:jc w:val="both"/>
              <w:rPr>
                <w:rFonts w:ascii="Times New Roman" w:eastAsia="Times New Roman" w:hAnsi="Times New Roman" w:cs="Times New Roman"/>
                <w:noProof/>
                <w:sz w:val="20"/>
                <w:szCs w:val="20"/>
              </w:rPr>
            </w:pPr>
            <w:r>
              <w:rPr>
                <w:rFonts w:ascii="Times New Roman" w:hAnsi="Times New Roman" w:cs="Times New Roman"/>
                <w:noProof/>
                <w:lang w:eastAsia="en-GB"/>
              </w:rPr>
              <w:drawing>
                <wp:anchor distT="0" distB="0" distL="114300" distR="114300" simplePos="0" relativeHeight="251658240" behindDoc="1" locked="0" layoutInCell="1" allowOverlap="1">
                  <wp:simplePos x="0" y="0"/>
                  <wp:positionH relativeFrom="column">
                    <wp:posOffset>13335</wp:posOffset>
                  </wp:positionH>
                  <wp:positionV relativeFrom="paragraph">
                    <wp:posOffset>60297</wp:posOffset>
                  </wp:positionV>
                  <wp:extent cx="496570" cy="3289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val="0"/>
                              </a:ext>
                            </a:extLst>
                          </a:blip>
                          <a:stretch>
                            <a:fillRect/>
                          </a:stretch>
                        </pic:blipFill>
                        <pic:spPr>
                          <a:xfrm>
                            <a:off x="0" y="0"/>
                            <a:ext cx="496570" cy="328930"/>
                          </a:xfrm>
                          <a:prstGeom prst="rect">
                            <a:avLst/>
                          </a:prstGeom>
                        </pic:spPr>
                      </pic:pic>
                    </a:graphicData>
                  </a:graphic>
                </wp:anchor>
              </w:drawing>
            </w:r>
          </w:p>
        </w:tc>
        <w:tc>
          <w:tcPr>
            <w:tcW w:w="3530"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Binding target for greenhouse gas emissions compared to 2005 under the Effort Sharing Regulation (ESR) (%)</w:t>
            </w:r>
          </w:p>
        </w:tc>
        <w:tc>
          <w:tcPr>
            <w:tcW w:w="1132"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-28 </w:t>
            </w:r>
            <w:r>
              <w:rPr>
                <w:rFonts w:ascii="Times New Roman" w:eastAsia="Times New Roman" w:hAnsi="Times New Roman" w:cs="Times New Roman"/>
                <w:noProof/>
                <w:sz w:val="20"/>
                <w:szCs w:val="20"/>
              </w:rPr>
              <w:br/>
              <w:t>(2017)</w:t>
            </w:r>
          </w:p>
        </w:tc>
        <w:tc>
          <w:tcPr>
            <w:tcW w:w="825"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w:t>
            </w:r>
          </w:p>
        </w:tc>
        <w:tc>
          <w:tcPr>
            <w:tcW w:w="747"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-16</w:t>
            </w:r>
          </w:p>
        </w:tc>
        <w:tc>
          <w:tcPr>
            <w:tcW w:w="1874" w:type="dxa"/>
            <w:vAlign w:val="center"/>
          </w:tcPr>
          <w:p w:rsidR="00176373" w:rsidRDefault="00E474D1">
            <w:pPr>
              <w:pStyle w:val="Default"/>
              <w:rPr>
                <w:noProof/>
                <w:sz w:val="20"/>
                <w:szCs w:val="20"/>
              </w:rPr>
            </w:pPr>
            <w:r>
              <w:rPr>
                <w:noProof/>
                <w:sz w:val="20"/>
                <w:szCs w:val="20"/>
              </w:rPr>
              <w:t xml:space="preserve">As in ESR, total GHG target implies higher reductions </w:t>
            </w:r>
          </w:p>
        </w:tc>
      </w:tr>
      <w:tr w:rsidR="00176373">
        <w:trPr>
          <w:trHeight w:val="1273"/>
          <w:jc w:val="center"/>
        </w:trPr>
        <w:tc>
          <w:tcPr>
            <w:tcW w:w="1119" w:type="dxa"/>
          </w:tcPr>
          <w:p w:rsidR="00176373" w:rsidRDefault="00E474D1">
            <w:pPr>
              <w:jc w:val="both"/>
              <w:rPr>
                <w:rFonts w:ascii="Times New Roman" w:eastAsia="Times New Roman" w:hAnsi="Times New Roman" w:cs="Times New Roman"/>
                <w:noProof/>
                <w:sz w:val="20"/>
                <w:szCs w:val="20"/>
              </w:rPr>
            </w:pPr>
            <w:r>
              <w:rPr>
                <w:rFonts w:ascii="Times New Roman" w:hAnsi="Times New Roman" w:cs="Times New Roman"/>
                <w:noProof/>
                <w:lang w:eastAsia="en-GB"/>
              </w:rPr>
              <w:drawing>
                <wp:anchor distT="0" distB="0" distL="114300" distR="114300" simplePos="0" relativeHeight="251658241" behindDoc="1" locked="0" layoutInCell="1" allowOverlap="1">
                  <wp:simplePos x="0" y="0"/>
                  <wp:positionH relativeFrom="column">
                    <wp:posOffset>79486</wp:posOffset>
                  </wp:positionH>
                  <wp:positionV relativeFrom="paragraph">
                    <wp:posOffset>291714</wp:posOffset>
                  </wp:positionV>
                  <wp:extent cx="384541" cy="33793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val="0"/>
                              </a:ext>
                            </a:extLst>
                          </a:blip>
                          <a:stretch>
                            <a:fillRect/>
                          </a:stretch>
                        </pic:blipFill>
                        <pic:spPr>
                          <a:xfrm>
                            <a:off x="0" y="0"/>
                            <a:ext cx="384541" cy="337930"/>
                          </a:xfrm>
                          <a:prstGeom prst="rect">
                            <a:avLst/>
                          </a:prstGeom>
                        </pic:spPr>
                      </pic:pic>
                    </a:graphicData>
                  </a:graphic>
                  <wp14:sizeRelH relativeFrom="margin">
                    <wp14:pctWidth>0</wp14:pctWidth>
                  </wp14:sizeRelH>
                  <wp14:sizeRelV relativeFrom="margin">
                    <wp14:pctHeight>0</wp14:pctHeight>
                  </wp14:sizeRelV>
                </wp:anchor>
              </w:drawing>
            </w:r>
          </w:p>
        </w:tc>
        <w:tc>
          <w:tcPr>
            <w:tcW w:w="3530"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National </w:t>
            </w:r>
            <w:r>
              <w:rPr>
                <w:rFonts w:ascii="Times New Roman" w:eastAsia="Times New Roman" w:hAnsi="Times New Roman" w:cs="Times New Roman"/>
                <w:noProof/>
                <w:sz w:val="20"/>
                <w:szCs w:val="20"/>
              </w:rPr>
              <w:t>target/contribution for</w:t>
            </w:r>
          </w:p>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renewable energy: Share of energy from renewable sources in gross final consumption of energy (%)</w:t>
            </w:r>
          </w:p>
        </w:tc>
        <w:tc>
          <w:tcPr>
            <w:tcW w:w="1132"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19.7 (2019) </w:t>
            </w:r>
          </w:p>
        </w:tc>
        <w:tc>
          <w:tcPr>
            <w:tcW w:w="825"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 (target)</w:t>
            </w:r>
          </w:p>
        </w:tc>
        <w:tc>
          <w:tcPr>
            <w:tcW w:w="747"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35</w:t>
            </w:r>
          </w:p>
        </w:tc>
        <w:tc>
          <w:tcPr>
            <w:tcW w:w="1874" w:type="dxa"/>
            <w:vAlign w:val="center"/>
          </w:tcPr>
          <w:p w:rsidR="00176373" w:rsidRDefault="00E474D1">
            <w:pPr>
              <w:pStyle w:val="Default"/>
              <w:rPr>
                <w:noProof/>
                <w:sz w:val="20"/>
                <w:szCs w:val="20"/>
              </w:rPr>
            </w:pPr>
            <w:r>
              <w:rPr>
                <w:noProof/>
                <w:sz w:val="20"/>
                <w:szCs w:val="20"/>
              </w:rPr>
              <w:t xml:space="preserve">Sufficiently ambitious (31% is the result of the formula) </w:t>
            </w:r>
          </w:p>
        </w:tc>
      </w:tr>
      <w:tr w:rsidR="00176373">
        <w:trPr>
          <w:trHeight w:val="291"/>
          <w:jc w:val="center"/>
        </w:trPr>
        <w:tc>
          <w:tcPr>
            <w:tcW w:w="1119" w:type="dxa"/>
            <w:vMerge w:val="restart"/>
          </w:tcPr>
          <w:p w:rsidR="00176373" w:rsidRDefault="00E474D1">
            <w:pPr>
              <w:jc w:val="both"/>
              <w:rPr>
                <w:rFonts w:ascii="Times New Roman" w:eastAsia="Times New Roman" w:hAnsi="Times New Roman" w:cs="Times New Roman"/>
                <w:noProof/>
                <w:sz w:val="20"/>
                <w:szCs w:val="20"/>
              </w:rPr>
            </w:pPr>
            <w:r>
              <w:rPr>
                <w:rFonts w:ascii="Times New Roman" w:hAnsi="Times New Roman" w:cs="Times New Roman"/>
                <w:noProof/>
                <w:lang w:eastAsia="en-GB"/>
              </w:rPr>
              <w:drawing>
                <wp:anchor distT="0" distB="0" distL="114300" distR="114300" simplePos="0" relativeHeight="251658242" behindDoc="1" locked="0" layoutInCell="1" allowOverlap="1">
                  <wp:simplePos x="0" y="0"/>
                  <wp:positionH relativeFrom="column">
                    <wp:posOffset>13335</wp:posOffset>
                  </wp:positionH>
                  <wp:positionV relativeFrom="paragraph">
                    <wp:posOffset>118242</wp:posOffset>
                  </wp:positionV>
                  <wp:extent cx="417443" cy="466235"/>
                  <wp:effectExtent l="0" t="0" r="190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val="0"/>
                              </a:ext>
                            </a:extLst>
                          </a:blip>
                          <a:stretch>
                            <a:fillRect/>
                          </a:stretch>
                        </pic:blipFill>
                        <pic:spPr>
                          <a:xfrm>
                            <a:off x="0" y="0"/>
                            <a:ext cx="417443" cy="466235"/>
                          </a:xfrm>
                          <a:prstGeom prst="rect">
                            <a:avLst/>
                          </a:prstGeom>
                        </pic:spPr>
                      </pic:pic>
                    </a:graphicData>
                  </a:graphic>
                  <wp14:sizeRelH relativeFrom="margin">
                    <wp14:pctWidth>0</wp14:pctWidth>
                  </wp14:sizeRelH>
                  <wp14:sizeRelV relativeFrom="margin">
                    <wp14:pctHeight>0</wp14:pctHeight>
                  </wp14:sizeRelV>
                </wp:anchor>
              </w:drawing>
            </w:r>
          </w:p>
          <w:p w:rsidR="00176373" w:rsidRDefault="00176373">
            <w:pPr>
              <w:jc w:val="both"/>
              <w:rPr>
                <w:rFonts w:ascii="Times New Roman" w:eastAsia="Times New Roman" w:hAnsi="Times New Roman" w:cs="Times New Roman"/>
                <w:noProof/>
                <w:sz w:val="20"/>
                <w:szCs w:val="20"/>
              </w:rPr>
            </w:pPr>
          </w:p>
          <w:p w:rsidR="00176373" w:rsidRDefault="00176373">
            <w:pPr>
              <w:jc w:val="both"/>
              <w:rPr>
                <w:rFonts w:ascii="Times New Roman" w:eastAsia="Times New Roman" w:hAnsi="Times New Roman" w:cs="Times New Roman"/>
                <w:noProof/>
                <w:sz w:val="20"/>
                <w:szCs w:val="20"/>
              </w:rPr>
            </w:pPr>
          </w:p>
        </w:tc>
        <w:tc>
          <w:tcPr>
            <w:tcW w:w="8108" w:type="dxa"/>
            <w:gridSpan w:val="5"/>
            <w:vAlign w:val="center"/>
          </w:tcPr>
          <w:p w:rsidR="00176373" w:rsidRDefault="00E474D1">
            <w:pPr>
              <w:rPr>
                <w:rFonts w:ascii="Times New Roman" w:eastAsia="Times New Roman" w:hAnsi="Times New Roman" w:cs="Times New Roman"/>
                <w:b/>
                <w:noProof/>
                <w:sz w:val="20"/>
                <w:szCs w:val="20"/>
              </w:rPr>
            </w:pPr>
            <w:r>
              <w:rPr>
                <w:rFonts w:ascii="Times New Roman" w:eastAsia="Times New Roman" w:hAnsi="Times New Roman" w:cs="Times New Roman"/>
                <w:b/>
                <w:bCs/>
                <w:noProof/>
                <w:sz w:val="20"/>
                <w:szCs w:val="20"/>
              </w:rPr>
              <w:t xml:space="preserve">National contribution for energy </w:t>
            </w:r>
            <w:r>
              <w:rPr>
                <w:rFonts w:ascii="Times New Roman" w:eastAsia="Times New Roman" w:hAnsi="Times New Roman" w:cs="Times New Roman"/>
                <w:b/>
                <w:bCs/>
                <w:noProof/>
                <w:sz w:val="20"/>
                <w:szCs w:val="20"/>
              </w:rPr>
              <w:t>efficiency:</w:t>
            </w:r>
          </w:p>
        </w:tc>
      </w:tr>
      <w:tr w:rsidR="00176373">
        <w:trPr>
          <w:trHeight w:val="389"/>
          <w:jc w:val="center"/>
        </w:trPr>
        <w:tc>
          <w:tcPr>
            <w:tcW w:w="1119" w:type="dxa"/>
            <w:vMerge/>
          </w:tcPr>
          <w:p w:rsidR="00176373" w:rsidRDefault="00176373">
            <w:pPr>
              <w:jc w:val="both"/>
              <w:rPr>
                <w:rFonts w:ascii="Times New Roman" w:eastAsia="Times New Roman" w:hAnsi="Times New Roman" w:cs="Times New Roman"/>
                <w:noProof/>
                <w:sz w:val="20"/>
                <w:szCs w:val="20"/>
              </w:rPr>
            </w:pPr>
          </w:p>
        </w:tc>
        <w:tc>
          <w:tcPr>
            <w:tcW w:w="3530"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Primary energy consumption (Mtoe)</w:t>
            </w:r>
          </w:p>
        </w:tc>
        <w:tc>
          <w:tcPr>
            <w:tcW w:w="1132"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22.3 (2019) </w:t>
            </w:r>
          </w:p>
        </w:tc>
        <w:tc>
          <w:tcPr>
            <w:tcW w:w="825"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24.7</w:t>
            </w:r>
          </w:p>
        </w:tc>
        <w:tc>
          <w:tcPr>
            <w:tcW w:w="747"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20.55</w:t>
            </w:r>
          </w:p>
        </w:tc>
        <w:tc>
          <w:tcPr>
            <w:tcW w:w="1874"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Modest</w:t>
            </w:r>
          </w:p>
        </w:tc>
      </w:tr>
      <w:tr w:rsidR="00176373">
        <w:trPr>
          <w:trHeight w:val="490"/>
          <w:jc w:val="center"/>
        </w:trPr>
        <w:tc>
          <w:tcPr>
            <w:tcW w:w="1119" w:type="dxa"/>
            <w:vMerge/>
          </w:tcPr>
          <w:p w:rsidR="00176373" w:rsidRDefault="00176373">
            <w:pPr>
              <w:jc w:val="both"/>
              <w:rPr>
                <w:rFonts w:ascii="Times New Roman" w:eastAsia="Times New Roman" w:hAnsi="Times New Roman" w:cs="Times New Roman"/>
                <w:noProof/>
                <w:sz w:val="20"/>
                <w:szCs w:val="20"/>
              </w:rPr>
            </w:pPr>
          </w:p>
        </w:tc>
        <w:tc>
          <w:tcPr>
            <w:tcW w:w="3530"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Final energy consumption (Mtoe)</w:t>
            </w:r>
          </w:p>
        </w:tc>
        <w:tc>
          <w:tcPr>
            <w:tcW w:w="1132"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16.2 (2019)</w:t>
            </w:r>
          </w:p>
        </w:tc>
        <w:tc>
          <w:tcPr>
            <w:tcW w:w="825"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18.4</w:t>
            </w:r>
          </w:p>
        </w:tc>
        <w:tc>
          <w:tcPr>
            <w:tcW w:w="747"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16.51</w:t>
            </w:r>
          </w:p>
        </w:tc>
        <w:tc>
          <w:tcPr>
            <w:tcW w:w="1874"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Low</w:t>
            </w:r>
          </w:p>
        </w:tc>
      </w:tr>
      <w:tr w:rsidR="00176373">
        <w:trPr>
          <w:trHeight w:val="782"/>
          <w:jc w:val="center"/>
        </w:trPr>
        <w:tc>
          <w:tcPr>
            <w:tcW w:w="1119" w:type="dxa"/>
          </w:tcPr>
          <w:p w:rsidR="00176373" w:rsidRDefault="00E474D1">
            <w:pPr>
              <w:jc w:val="both"/>
              <w:rPr>
                <w:rFonts w:ascii="Times New Roman" w:eastAsia="Times New Roman" w:hAnsi="Times New Roman" w:cs="Times New Roman"/>
                <w:noProof/>
                <w:sz w:val="20"/>
                <w:szCs w:val="20"/>
              </w:rPr>
            </w:pPr>
            <w:r>
              <w:rPr>
                <w:rFonts w:ascii="Times New Roman" w:hAnsi="Times New Roman" w:cs="Times New Roman"/>
                <w:noProof/>
                <w:lang w:eastAsia="en-GB"/>
              </w:rPr>
              <w:drawing>
                <wp:anchor distT="0" distB="0" distL="114300" distR="114300" simplePos="0" relativeHeight="251658243" behindDoc="1" locked="0" layoutInCell="1" allowOverlap="1">
                  <wp:simplePos x="0" y="0"/>
                  <wp:positionH relativeFrom="column">
                    <wp:posOffset>78850</wp:posOffset>
                  </wp:positionH>
                  <wp:positionV relativeFrom="paragraph">
                    <wp:posOffset>26145</wp:posOffset>
                  </wp:positionV>
                  <wp:extent cx="384175" cy="4413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val="0"/>
                              </a:ext>
                            </a:extLst>
                          </a:blip>
                          <a:stretch>
                            <a:fillRect/>
                          </a:stretch>
                        </pic:blipFill>
                        <pic:spPr>
                          <a:xfrm>
                            <a:off x="0" y="0"/>
                            <a:ext cx="384175" cy="441325"/>
                          </a:xfrm>
                          <a:prstGeom prst="rect">
                            <a:avLst/>
                          </a:prstGeom>
                        </pic:spPr>
                      </pic:pic>
                    </a:graphicData>
                  </a:graphic>
                </wp:anchor>
              </w:drawing>
            </w:r>
          </w:p>
        </w:tc>
        <w:tc>
          <w:tcPr>
            <w:tcW w:w="3530"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Level of electricity interconnectivity (%)</w:t>
            </w:r>
          </w:p>
        </w:tc>
        <w:tc>
          <w:tcPr>
            <w:tcW w:w="1132"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10%</w:t>
            </w:r>
          </w:p>
        </w:tc>
        <w:tc>
          <w:tcPr>
            <w:tcW w:w="825"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w:t>
            </w:r>
          </w:p>
        </w:tc>
        <w:tc>
          <w:tcPr>
            <w:tcW w:w="747"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21</w:t>
            </w:r>
          </w:p>
        </w:tc>
        <w:tc>
          <w:tcPr>
            <w:tcW w:w="1874" w:type="dxa"/>
            <w:vAlign w:val="center"/>
          </w:tcPr>
          <w:p w:rsidR="00176373" w:rsidRDefault="00E474D1">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N.A.</w:t>
            </w:r>
          </w:p>
        </w:tc>
      </w:tr>
    </w:tbl>
    <w:p w:rsidR="00176373" w:rsidRDefault="00E474D1">
      <w:pPr>
        <w:spacing w:before="120"/>
        <w:rPr>
          <w:rFonts w:ascii="Times New Roman" w:eastAsia="Times New Roman" w:hAnsi="Times New Roman" w:cs="Times New Roman"/>
          <w:i/>
          <w:noProof/>
          <w:sz w:val="20"/>
          <w:szCs w:val="20"/>
        </w:rPr>
      </w:pPr>
      <w:r>
        <w:rPr>
          <w:rFonts w:ascii="Times New Roman" w:eastAsia="Times New Roman" w:hAnsi="Times New Roman" w:cs="Times New Roman"/>
          <w:i/>
          <w:noProof/>
          <w:sz w:val="20"/>
          <w:szCs w:val="20"/>
        </w:rPr>
        <w:t xml:space="preserve">Source: Assessment of the final national energy and </w:t>
      </w:r>
      <w:r>
        <w:rPr>
          <w:rFonts w:ascii="Times New Roman" w:eastAsia="Times New Roman" w:hAnsi="Times New Roman" w:cs="Times New Roman"/>
          <w:i/>
          <w:noProof/>
          <w:sz w:val="20"/>
          <w:szCs w:val="20"/>
        </w:rPr>
        <w:t>climate plan of Greece, SWD (2020) 907 final. Eurostat where data is indicated for specific years.</w:t>
      </w:r>
    </w:p>
    <w:p w:rsidR="00176373" w:rsidRDefault="00E474D1">
      <w:pPr>
        <w:pStyle w:val="Heading3"/>
        <w:rPr>
          <w:i w:val="0"/>
          <w:noProof/>
          <w:sz w:val="28"/>
          <w:szCs w:val="28"/>
          <w:highlight w:val="cyan"/>
        </w:rPr>
      </w:pPr>
      <w:bookmarkStart w:id="125" w:name="_Toc72326485"/>
      <w:bookmarkStart w:id="126" w:name="_Toc72326516"/>
      <w:bookmarkStart w:id="127" w:name="_Toc74305319"/>
      <w:bookmarkStart w:id="128" w:name="_Toc59180672"/>
      <w:bookmarkStart w:id="129" w:name="_Toc72158502"/>
      <w:bookmarkStart w:id="130" w:name="_Toc72170705"/>
      <w:bookmarkStart w:id="131" w:name="_Toc72176833"/>
      <w:bookmarkStart w:id="132" w:name="_Toc72179404"/>
      <w:bookmarkStart w:id="133" w:name="_Toc72176042"/>
      <w:bookmarkStart w:id="134" w:name="_Toc72181715"/>
      <w:bookmarkStart w:id="135" w:name="_Toc72178564"/>
      <w:bookmarkStart w:id="136" w:name="_Toc72182451"/>
      <w:bookmarkStart w:id="137" w:name="_Toc72183448"/>
      <w:bookmarkStart w:id="138" w:name="_Toc72187262"/>
      <w:r>
        <w:rPr>
          <w:rStyle w:val="Heading3Char"/>
          <w:i/>
          <w:iCs/>
          <w:noProof/>
        </w:rPr>
        <w:t>Digital dimension</w:t>
      </w:r>
      <w:bookmarkEnd w:id="125"/>
      <w:bookmarkEnd w:id="126"/>
      <w:bookmarkEnd w:id="127"/>
      <w:r>
        <w:rPr>
          <w:rStyle w:val="Heading3Char"/>
          <w:noProof/>
        </w:rPr>
        <w:t xml:space="preserve"> </w:t>
      </w:r>
      <w:bookmarkEnd w:id="128"/>
      <w:bookmarkEnd w:id="129"/>
      <w:bookmarkEnd w:id="130"/>
      <w:bookmarkEnd w:id="131"/>
      <w:bookmarkEnd w:id="132"/>
      <w:bookmarkEnd w:id="133"/>
      <w:bookmarkEnd w:id="134"/>
      <w:bookmarkEnd w:id="135"/>
      <w:bookmarkEnd w:id="136"/>
      <w:bookmarkEnd w:id="137"/>
      <w:bookmarkEnd w:id="138"/>
    </w:p>
    <w:p w:rsidR="00176373" w:rsidRDefault="00E474D1">
      <w:pPr>
        <w:spacing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should contribute to the digital transition and at least 20% of the financial allocation needs to contrib</w:t>
      </w:r>
      <w:r>
        <w:rPr>
          <w:rFonts w:ascii="Times New Roman" w:eastAsia="Times New Roman" w:hAnsi="Times New Roman" w:cs="Times New Roman"/>
          <w:b/>
          <w:bCs/>
          <w:noProof/>
          <w:sz w:val="24"/>
          <w:szCs w:val="24"/>
        </w:rPr>
        <w:t>ute to digital objectives.</w:t>
      </w:r>
      <w:r>
        <w:rPr>
          <w:rFonts w:ascii="Times New Roman" w:eastAsia="Times New Roman" w:hAnsi="Times New Roman" w:cs="Times New Roman"/>
          <w:noProof/>
          <w:sz w:val="24"/>
          <w:szCs w:val="24"/>
        </w:rPr>
        <w:t xml:space="preserve"> The measures in the plan should, inter alia, contribute to the digital transformation of the economic and social sector (including public administration, public services, and the justice and health systems). The objective of the </w:t>
      </w:r>
      <w:r>
        <w:rPr>
          <w:rFonts w:ascii="Times New Roman" w:eastAsia="Times New Roman" w:hAnsi="Times New Roman" w:cs="Times New Roman"/>
          <w:noProof/>
          <w:sz w:val="24"/>
          <w:szCs w:val="24"/>
        </w:rPr>
        <w:t>measures in the plan should be to improve not only the competitiveness, but also the resilience, agility and security of companies and public actors, all while ensuring inclusiveness.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Greece ranks 27th out of the 28 countries assessed in the Digital Economy and Society Index (DESI) for 2020. </w:t>
      </w:r>
      <w:r>
        <w:rPr>
          <w:rFonts w:ascii="Times New Roman" w:eastAsia="Times New Roman" w:hAnsi="Times New Roman" w:cs="Times New Roman"/>
          <w:noProof/>
          <w:sz w:val="24"/>
          <w:szCs w:val="24"/>
        </w:rPr>
        <w:t>This indicates large gaps regarding all aspects of the digital transformation.</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Based on the data collected prior to the pandemic, Greece made limit</w:t>
      </w:r>
      <w:r>
        <w:rPr>
          <w:rFonts w:ascii="Times New Roman" w:eastAsia="Times New Roman" w:hAnsi="Times New Roman" w:cs="Times New Roman"/>
          <w:noProof/>
          <w:sz w:val="24"/>
          <w:szCs w:val="24"/>
        </w:rPr>
        <w:t>ed progress across most of the sub-dimensions of the Digital Economy and Society index (DESI) and did not close its gap compared to other EU countries. The combination of shortfalls in connectivity, lack of digital skills and ICT specialists, limited digit</w:t>
      </w:r>
      <w:r>
        <w:rPr>
          <w:rFonts w:ascii="Times New Roman" w:eastAsia="Times New Roman" w:hAnsi="Times New Roman" w:cs="Times New Roman"/>
          <w:noProof/>
          <w:sz w:val="24"/>
          <w:szCs w:val="24"/>
        </w:rPr>
        <w:t>al uptake by companies, low digital public sector services provision, low digital related investment in R&amp;D, and absence of smart public transport solutions hinders digital transformation of the Greek economy and society. However, the pandemic acted in Gre</w:t>
      </w:r>
      <w:r>
        <w:rPr>
          <w:rFonts w:ascii="Times New Roman" w:eastAsia="Times New Roman" w:hAnsi="Times New Roman" w:cs="Times New Roman"/>
          <w:noProof/>
          <w:sz w:val="24"/>
          <w:szCs w:val="24"/>
        </w:rPr>
        <w:t>ece as an accelerator in setting out an ambitious reform agenda for digital transformation and launching a range of new digital services (see gov.gr).</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Connectivity remains an issue in Greece, and is a key obstacle to the digital transition. </w:t>
      </w:r>
      <w:r>
        <w:rPr>
          <w:rFonts w:ascii="Times New Roman" w:eastAsia="Times New Roman" w:hAnsi="Times New Roman" w:cs="Times New Roman"/>
          <w:noProof/>
          <w:sz w:val="24"/>
          <w:szCs w:val="24"/>
        </w:rPr>
        <w:t>While the count</w:t>
      </w:r>
      <w:r>
        <w:rPr>
          <w:rFonts w:ascii="Times New Roman" w:eastAsia="Times New Roman" w:hAnsi="Times New Roman" w:cs="Times New Roman"/>
          <w:noProof/>
          <w:sz w:val="24"/>
          <w:szCs w:val="24"/>
        </w:rPr>
        <w:t>ry has started engaging in the deployment of very high capacity networks and its fixed very high capacity network coverage reached 10% in 2020, up from 7% a year before, it is still far below the EU average of 59%. The take up of the fixed broadband is imp</w:t>
      </w:r>
      <w:r>
        <w:rPr>
          <w:rFonts w:ascii="Times New Roman" w:eastAsia="Times New Roman" w:hAnsi="Times New Roman" w:cs="Times New Roman"/>
          <w:noProof/>
          <w:sz w:val="24"/>
          <w:szCs w:val="24"/>
        </w:rPr>
        <w:t>roving slowly, reaching 77% in 2020, up from 76% in 2019 (in line with the EU average). While Greece has recently made progress to tackle long standing obstacles to investment in networks, more efforts are needed, in particular in view of the forthcoming d</w:t>
      </w:r>
      <w:r>
        <w:rPr>
          <w:rFonts w:ascii="Times New Roman" w:eastAsia="Times New Roman" w:hAnsi="Times New Roman" w:cs="Times New Roman"/>
          <w:noProof/>
          <w:sz w:val="24"/>
          <w:szCs w:val="24"/>
        </w:rPr>
        <w:t>eployment of Fiber To The Premises (FTTP) and 5G. Reforms to address obstacles to investment in networks i.e. one-stop shops, digitalisation of the permit granting procedure, are needed and would maximise the impact of investments. Low broadband coverage i</w:t>
      </w:r>
      <w:r>
        <w:rPr>
          <w:rFonts w:ascii="Times New Roman" w:eastAsia="Times New Roman" w:hAnsi="Times New Roman" w:cs="Times New Roman"/>
          <w:noProof/>
          <w:sz w:val="24"/>
          <w:szCs w:val="24"/>
        </w:rPr>
        <w:t>n rural areas is increasing the rural urban divide in particular in remote and less populated rural areas, hindering their integration in the knowledge based economy and results in an unattractive environment making it difficult for businesses to thrive. T</w:t>
      </w:r>
      <w:r>
        <w:rPr>
          <w:rFonts w:ascii="Times New Roman" w:eastAsia="Times New Roman" w:hAnsi="Times New Roman" w:cs="Times New Roman"/>
          <w:noProof/>
          <w:sz w:val="24"/>
          <w:szCs w:val="24"/>
        </w:rPr>
        <w:t>he 5G license auction</w:t>
      </w:r>
      <w:r>
        <w:rPr>
          <w:rStyle w:val="FootnoteReference"/>
          <w:rFonts w:ascii="Times New Roman" w:eastAsia="Times New Roman" w:hAnsi="Times New Roman" w:cs="Times New Roman"/>
          <w:noProof/>
          <w:sz w:val="24"/>
          <w:szCs w:val="24"/>
        </w:rPr>
        <w:footnoteReference w:id="17"/>
      </w:r>
      <w:r>
        <w:rPr>
          <w:rFonts w:ascii="Times New Roman" w:eastAsia="Times New Roman" w:hAnsi="Times New Roman" w:cs="Times New Roman"/>
          <w:noProof/>
          <w:sz w:val="24"/>
          <w:szCs w:val="24"/>
        </w:rPr>
        <w:t xml:space="preserve"> was successfully concluded in December 2020. With reforms and targeted investments, Greece needs to create the right conditions for the achievement of the 2025 Gigabit targets, and bridge the digital divide with investments such as t</w:t>
      </w:r>
      <w:r>
        <w:rPr>
          <w:rFonts w:ascii="Times New Roman" w:eastAsia="Times New Roman" w:hAnsi="Times New Roman" w:cs="Times New Roman"/>
          <w:noProof/>
          <w:sz w:val="24"/>
          <w:szCs w:val="24"/>
        </w:rPr>
        <w:t>he fibre interconnection of main islands, the cross-border 5G corridors and interconnection of islands with submarine fibre cables, complemented by space-based solutions.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Lack of digital skills, both at basic and advanced level, remains an obstacle to the </w:t>
      </w:r>
      <w:r>
        <w:rPr>
          <w:rFonts w:ascii="Times New Roman" w:eastAsia="Times New Roman" w:hAnsi="Times New Roman" w:cs="Times New Roman"/>
          <w:b/>
          <w:bCs/>
          <w:noProof/>
          <w:sz w:val="24"/>
          <w:szCs w:val="24"/>
        </w:rPr>
        <w:t xml:space="preserve">digital transition. </w:t>
      </w:r>
      <w:r>
        <w:rPr>
          <w:rFonts w:ascii="Times New Roman" w:eastAsia="Times New Roman" w:hAnsi="Times New Roman" w:cs="Times New Roman"/>
          <w:noProof/>
          <w:sz w:val="24"/>
          <w:szCs w:val="24"/>
        </w:rPr>
        <w:t>Despite a 5 percentage point increase since the previous year, the share of citizens with at least basic digital skills remained low at 51% in 2019, when 90% of jobs require at least basic digital skills. The share of ICT specialists in</w:t>
      </w:r>
      <w:r>
        <w:rPr>
          <w:rFonts w:ascii="Times New Roman" w:eastAsia="Times New Roman" w:hAnsi="Times New Roman" w:cs="Times New Roman"/>
          <w:noProof/>
          <w:sz w:val="24"/>
          <w:szCs w:val="24"/>
        </w:rPr>
        <w:t xml:space="preserve"> total employment, is at 2.0% in 2020, well below the EU average of 4.3%</w:t>
      </w:r>
      <w:r>
        <w:rPr>
          <w:rStyle w:val="FootnoteReference"/>
          <w:rFonts w:ascii="Times New Roman" w:eastAsia="Times New Roman" w:hAnsi="Times New Roman" w:cs="Times New Roman"/>
          <w:noProof/>
          <w:sz w:val="24"/>
          <w:szCs w:val="24"/>
        </w:rPr>
        <w:footnoteReference w:id="18"/>
      </w:r>
      <w:r>
        <w:rPr>
          <w:rFonts w:ascii="Times New Roman" w:eastAsia="Times New Roman" w:hAnsi="Times New Roman" w:cs="Times New Roman"/>
          <w:noProof/>
          <w:sz w:val="24"/>
          <w:szCs w:val="24"/>
        </w:rPr>
        <w:t xml:space="preserve">. The situation is critical as the share of ICT graduates in total graduates remains low as well. Skills mismatch is a major challenge in Greece with companies reporting difficulties </w:t>
      </w:r>
      <w:r>
        <w:rPr>
          <w:rFonts w:ascii="Times New Roman" w:eastAsia="Times New Roman" w:hAnsi="Times New Roman" w:cs="Times New Roman"/>
          <w:noProof/>
          <w:sz w:val="24"/>
          <w:szCs w:val="24"/>
        </w:rPr>
        <w:t>in finding people with the right skills. A comprehensive digital education action plan including the revision of curricula and teachers’ training has been launched in 2020. Other initiatives such as the ‘Greek National Coalition for Digital Skills and Jobs</w:t>
      </w:r>
      <w:r>
        <w:rPr>
          <w:rFonts w:ascii="Times New Roman" w:eastAsia="Times New Roman" w:hAnsi="Times New Roman" w:cs="Times New Roman"/>
          <w:noProof/>
          <w:sz w:val="24"/>
          <w:szCs w:val="24"/>
        </w:rPr>
        <w:t>’ can contribute to upskilling and reskilling the adults and the workforce. Nevertheless, significant efforts in increasing both basic and digital skills remain necessary to close the gap to the EU average and facilitate the country’s digital transformatio</w:t>
      </w:r>
      <w:r>
        <w:rPr>
          <w:rFonts w:ascii="Times New Roman" w:eastAsia="Times New Roman" w:hAnsi="Times New Roman" w:cs="Times New Roman"/>
          <w:noProof/>
          <w:sz w:val="24"/>
          <w:szCs w:val="24"/>
        </w:rPr>
        <w:t xml:space="preserve">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Integrating digital technologies, in particular in small and medium-sized enterprises (SMEs), remains an issue in Greece. </w:t>
      </w:r>
      <w:r>
        <w:rPr>
          <w:rFonts w:ascii="Times New Roman" w:eastAsia="Times New Roman" w:hAnsi="Times New Roman" w:cs="Times New Roman"/>
          <w:noProof/>
          <w:sz w:val="24"/>
          <w:szCs w:val="24"/>
        </w:rPr>
        <w:t>Overall, Greece ranks 24</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regarding the integration of digital technologies in the</w:t>
      </w:r>
      <w:r>
        <w:rPr>
          <w:noProof/>
        </w:rPr>
        <w:t xml:space="preserve"> </w:t>
      </w:r>
      <w:r>
        <w:rPr>
          <w:rFonts w:ascii="Times New Roman" w:eastAsia="Times New Roman" w:hAnsi="Times New Roman" w:cs="Times New Roman"/>
          <w:noProof/>
          <w:sz w:val="24"/>
          <w:szCs w:val="24"/>
        </w:rPr>
        <w:t>Digital Economy and Society Index in 2020. The</w:t>
      </w:r>
      <w:r>
        <w:rPr>
          <w:rFonts w:ascii="Times New Roman" w:eastAsia="Times New Roman" w:hAnsi="Times New Roman" w:cs="Times New Roman"/>
          <w:noProof/>
          <w:sz w:val="24"/>
          <w:szCs w:val="24"/>
        </w:rPr>
        <w:t xml:space="preserve"> share of SMEs selling online was at 9% in 2019, i.e. half the EU average, and the share of turnover coming from e-commerce amounted only to 4% of total turnover for SMEs, almost one third of the EU average. Limited uptake of innovative digital solutions b</w:t>
      </w:r>
      <w:r>
        <w:rPr>
          <w:rFonts w:ascii="Times New Roman" w:eastAsia="Times New Roman" w:hAnsi="Times New Roman" w:cs="Times New Roman"/>
          <w:noProof/>
          <w:sz w:val="24"/>
          <w:szCs w:val="24"/>
        </w:rPr>
        <w:t>y SMEs in Greece also hinders innovation performance.</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Despite the provision and the uptake of the digital public services in Greece remaining below the EU average, the pandemic acted as an accelerator of the use of digital public services.</w:t>
      </w:r>
      <w:r>
        <w:rPr>
          <w:rFonts w:ascii="Times New Roman" w:eastAsia="Times New Roman" w:hAnsi="Times New Roman" w:cs="Times New Roman"/>
          <w:noProof/>
          <w:sz w:val="24"/>
          <w:szCs w:val="24"/>
        </w:rPr>
        <w:t xml:space="preserve"> Digital public s</w:t>
      </w:r>
      <w:r>
        <w:rPr>
          <w:rFonts w:ascii="Times New Roman" w:eastAsia="Times New Roman" w:hAnsi="Times New Roman" w:cs="Times New Roman"/>
          <w:noProof/>
          <w:sz w:val="24"/>
          <w:szCs w:val="24"/>
        </w:rPr>
        <w:t>ervices for business have improved as well in recent years but also remain below the EU average. Limited provision of digital public services undermines access to key social services such as healthcare and education/learning, particularly endangering vulne</w:t>
      </w:r>
      <w:r>
        <w:rPr>
          <w:rFonts w:ascii="Times New Roman" w:eastAsia="Times New Roman" w:hAnsi="Times New Roman" w:cs="Times New Roman"/>
          <w:noProof/>
          <w:sz w:val="24"/>
          <w:szCs w:val="24"/>
        </w:rPr>
        <w:t>rable groups of society, especially during crisis times.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research and innovation activity in Greece remains low in general as well in the ICT sector</w:t>
      </w:r>
      <w:r>
        <w:rPr>
          <w:rFonts w:ascii="Times New Roman" w:eastAsia="Times New Roman" w:hAnsi="Times New Roman" w:cs="Times New Roman"/>
          <w:noProof/>
          <w:sz w:val="24"/>
          <w:szCs w:val="24"/>
        </w:rPr>
        <w:t>. In 2019, R&amp;D intensity amounted to 1.27% of GDP in Greece, compared to 2.19% at EU level</w:t>
      </w:r>
      <w:r>
        <w:rPr>
          <w:rStyle w:val="FootnoteReference"/>
          <w:rFonts w:ascii="Times New Roman" w:eastAsia="Times New Roman" w:hAnsi="Times New Roman" w:cs="Times New Roman"/>
          <w:noProof/>
          <w:sz w:val="24"/>
          <w:szCs w:val="24"/>
        </w:rPr>
        <w:footnoteReference w:id="19"/>
      </w:r>
      <w:r>
        <w:rPr>
          <w:rFonts w:ascii="Times New Roman" w:eastAsia="Times New Roman" w:hAnsi="Times New Roman" w:cs="Times New Roman"/>
          <w:noProof/>
          <w:sz w:val="24"/>
          <w:szCs w:val="24"/>
        </w:rPr>
        <w:t xml:space="preserve">. At 2.5% of </w:t>
      </w:r>
      <w:r>
        <w:rPr>
          <w:rFonts w:ascii="Times New Roman" w:eastAsia="Times New Roman" w:hAnsi="Times New Roman" w:cs="Times New Roman"/>
          <w:noProof/>
          <w:sz w:val="24"/>
          <w:szCs w:val="24"/>
        </w:rPr>
        <w:t xml:space="preserve">GDP in 2017, the ICT sector is small in relative size compared to other EU Member States and only accounts for 1.1% of total Greek R&amp;D expenditure. Increasing Greece’s business R&amp;D expenditure would be instrumental in improving its research and innovation </w:t>
      </w:r>
      <w:r>
        <w:rPr>
          <w:rFonts w:ascii="Times New Roman" w:eastAsia="Times New Roman" w:hAnsi="Times New Roman" w:cs="Times New Roman"/>
          <w:noProof/>
          <w:sz w:val="24"/>
          <w:szCs w:val="24"/>
        </w:rPr>
        <w:t xml:space="preserve">capacity.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deployment of digital advanced technologies across all economic sectors in Greece remains slow, partly due to the large share of SMEs and the large services sector focused on low technology intensive services such as tourism. </w:t>
      </w:r>
      <w:r>
        <w:rPr>
          <w:rFonts w:ascii="Times New Roman" w:eastAsia="Times New Roman" w:hAnsi="Times New Roman" w:cs="Times New Roman"/>
          <w:noProof/>
          <w:sz w:val="24"/>
          <w:szCs w:val="24"/>
        </w:rPr>
        <w:t xml:space="preserve">With 98% of </w:t>
      </w:r>
      <w:r>
        <w:rPr>
          <w:rFonts w:ascii="Times New Roman" w:eastAsia="Times New Roman" w:hAnsi="Times New Roman" w:cs="Times New Roman"/>
          <w:noProof/>
          <w:sz w:val="24"/>
          <w:szCs w:val="24"/>
        </w:rPr>
        <w:t>enterprises having less than 20 employees (2017)</w:t>
      </w:r>
      <w:r>
        <w:rPr>
          <w:rStyle w:val="FootnoteReference"/>
          <w:rFonts w:ascii="Times New Roman" w:eastAsia="Times New Roman" w:hAnsi="Times New Roman" w:cs="Times New Roman"/>
          <w:noProof/>
          <w:sz w:val="24"/>
          <w:szCs w:val="24"/>
        </w:rPr>
        <w:footnoteReference w:id="20"/>
      </w:r>
      <w:r>
        <w:rPr>
          <w:rFonts w:ascii="Times New Roman" w:eastAsia="Times New Roman" w:hAnsi="Times New Roman" w:cs="Times New Roman"/>
          <w:noProof/>
          <w:sz w:val="24"/>
          <w:szCs w:val="24"/>
        </w:rPr>
        <w:t xml:space="preserve"> the Greek business landscape is characterised by a large share of micro and small enterprises, which in general are slower in adapting cutting-edge technologies. The share of enterprises using new technolog</w:t>
      </w:r>
      <w:r>
        <w:rPr>
          <w:rFonts w:ascii="Times New Roman" w:eastAsia="Times New Roman" w:hAnsi="Times New Roman" w:cs="Times New Roman"/>
          <w:noProof/>
          <w:sz w:val="24"/>
          <w:szCs w:val="24"/>
        </w:rPr>
        <w:t>ies such as artificial intelligence or 3D printing technologies therefore remains low at 1% and 2% respectively in 2018</w:t>
      </w:r>
      <w:r>
        <w:rPr>
          <w:rStyle w:val="FootnoteReference"/>
          <w:rFonts w:ascii="Times New Roman" w:eastAsia="Times New Roman" w:hAnsi="Times New Roman" w:cs="Times New Roman"/>
          <w:noProof/>
          <w:sz w:val="24"/>
          <w:szCs w:val="24"/>
        </w:rPr>
        <w:footnoteReference w:id="21"/>
      </w:r>
      <w:r>
        <w:rPr>
          <w:rFonts w:ascii="Times New Roman" w:eastAsia="Times New Roman" w:hAnsi="Times New Roman" w:cs="Times New Roman"/>
          <w:noProof/>
          <w:sz w:val="24"/>
          <w:szCs w:val="24"/>
        </w:rPr>
        <w:t>. More established advanced technologies such as cloud computing services and big data analytics are being used by a larger share of ent</w:t>
      </w:r>
      <w:r>
        <w:rPr>
          <w:rFonts w:ascii="Times New Roman" w:eastAsia="Times New Roman" w:hAnsi="Times New Roman" w:cs="Times New Roman"/>
          <w:noProof/>
          <w:sz w:val="24"/>
          <w:szCs w:val="24"/>
        </w:rPr>
        <w:t>erprises (7% and 13% respectively in 2019). Greece has expressed interest in investing on advanced technologies and signed the declaration on Quantum Communication Infrastructure (in December 2019)</w:t>
      </w:r>
      <w:r>
        <w:rPr>
          <w:rStyle w:val="FootnoteReference"/>
          <w:rFonts w:ascii="Times New Roman" w:eastAsia="Times New Roman" w:hAnsi="Times New Roman" w:cs="Times New Roman"/>
          <w:noProof/>
          <w:sz w:val="24"/>
          <w:szCs w:val="24"/>
        </w:rPr>
        <w:footnoteReference w:id="22"/>
      </w:r>
      <w:r>
        <w:rPr>
          <w:rFonts w:ascii="Times New Roman" w:eastAsia="Times New Roman" w:hAnsi="Times New Roman" w:cs="Times New Roman"/>
          <w:noProof/>
          <w:sz w:val="24"/>
          <w:szCs w:val="24"/>
        </w:rPr>
        <w:t>. It is currently developing a national strategy on AI, wh</w:t>
      </w:r>
      <w:r>
        <w:rPr>
          <w:rFonts w:ascii="Times New Roman" w:eastAsia="Times New Roman" w:hAnsi="Times New Roman" w:cs="Times New Roman"/>
          <w:noProof/>
          <w:sz w:val="24"/>
          <w:szCs w:val="24"/>
        </w:rPr>
        <w:t xml:space="preserve">ile a strategy towards Industry 4.0 is still missing.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Greece is significantly lagging behind the rest of the EU regarding the digitalisation of urban public transport and other smart and sustainable city initiatives.</w:t>
      </w:r>
      <w:r>
        <w:rPr>
          <w:rFonts w:ascii="Times New Roman" w:eastAsia="Times New Roman" w:hAnsi="Times New Roman" w:cs="Times New Roman"/>
          <w:noProof/>
          <w:sz w:val="24"/>
          <w:szCs w:val="24"/>
        </w:rPr>
        <w:t xml:space="preserve"> The digital transformation of Urban Tr</w:t>
      </w:r>
      <w:r>
        <w:rPr>
          <w:rFonts w:ascii="Times New Roman" w:eastAsia="Times New Roman" w:hAnsi="Times New Roman" w:cs="Times New Roman"/>
          <w:noProof/>
          <w:sz w:val="24"/>
          <w:szCs w:val="24"/>
        </w:rPr>
        <w:t>ansport Organisation of Athens and Thessaloniki (OASA and OASTH respectively), would be necessary in order to make public transport more attractive and other, smaller municipalities are also lacking as regards integrated public transport systems. Making le</w:t>
      </w:r>
      <w:r>
        <w:rPr>
          <w:rFonts w:ascii="Times New Roman" w:eastAsia="Times New Roman" w:hAnsi="Times New Roman" w:cs="Times New Roman"/>
          <w:noProof/>
          <w:sz w:val="24"/>
          <w:szCs w:val="24"/>
        </w:rPr>
        <w:t>ss polluting public transport alternatives more attractive would also contribute to the country’s green transition. Other elements of smart and sustainable city initiatives such as big data analytics technologies, Artificial Intelligence, smart water utili</w:t>
      </w:r>
      <w:r>
        <w:rPr>
          <w:rFonts w:ascii="Times New Roman" w:eastAsia="Times New Roman" w:hAnsi="Times New Roman" w:cs="Times New Roman"/>
          <w:noProof/>
          <w:sz w:val="24"/>
          <w:szCs w:val="24"/>
        </w:rPr>
        <w:t>ties, traffic management, waste management solutions, smart lighting and smart energy solutions, urban planning, improved social participation in decision making, improved service delivery to vulnerable groups, local urban centre improvements, and the impr</w:t>
      </w:r>
      <w:r>
        <w:rPr>
          <w:rFonts w:ascii="Times New Roman" w:eastAsia="Times New Roman" w:hAnsi="Times New Roman" w:cs="Times New Roman"/>
          <w:noProof/>
          <w:sz w:val="24"/>
          <w:szCs w:val="24"/>
        </w:rPr>
        <w:t>oved availability of digital resources, training and skill upgrading are relatively limited. More activities based on the principles of the EU Living-in.eu declaration would further improve the life of citizens, with investments in smart data platforms and</w:t>
      </w:r>
      <w:r>
        <w:rPr>
          <w:rFonts w:ascii="Times New Roman" w:eastAsia="Times New Roman" w:hAnsi="Times New Roman" w:cs="Times New Roman"/>
          <w:noProof/>
          <w:sz w:val="24"/>
          <w:szCs w:val="24"/>
        </w:rPr>
        <w:t xml:space="preserve"> advanced digital services.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Regarding rural communities and the agricultural sector, connectivity and skills for farming communities will be key to achieve the digital transformation</w:t>
      </w:r>
      <w:r>
        <w:rPr>
          <w:rFonts w:ascii="Times New Roman" w:eastAsia="Times New Roman" w:hAnsi="Times New Roman" w:cs="Times New Roman"/>
          <w:noProof/>
          <w:sz w:val="24"/>
          <w:szCs w:val="24"/>
        </w:rPr>
        <w:t xml:space="preserve">. Knowledge and innovation have a key role to play in helping farmers and </w:t>
      </w:r>
      <w:r>
        <w:rPr>
          <w:rFonts w:ascii="Times New Roman" w:eastAsia="Times New Roman" w:hAnsi="Times New Roman" w:cs="Times New Roman"/>
          <w:noProof/>
          <w:sz w:val="24"/>
          <w:szCs w:val="24"/>
        </w:rPr>
        <w:t>rural communities meet future challenges. Innovation support services as well as full broadband coverage in rural areas are needed to enable the development of digital skills through appropriate training. Advisory services and operational groups will be es</w:t>
      </w:r>
      <w:r>
        <w:rPr>
          <w:rFonts w:ascii="Times New Roman" w:eastAsia="Times New Roman" w:hAnsi="Times New Roman" w:cs="Times New Roman"/>
          <w:noProof/>
          <w:sz w:val="24"/>
          <w:szCs w:val="24"/>
        </w:rPr>
        <w:t>sential to respond to the growing information needs of farms regarding economic, environmental as well as social aspects. Further actions have to be undertaken to increase knowledge flows and strengthen links between research and practice, including the cr</w:t>
      </w:r>
      <w:r>
        <w:rPr>
          <w:rFonts w:ascii="Times New Roman" w:eastAsia="Times New Roman" w:hAnsi="Times New Roman" w:cs="Times New Roman"/>
          <w:noProof/>
          <w:sz w:val="24"/>
          <w:szCs w:val="24"/>
        </w:rPr>
        <w:t>eation of innovation support services, e-infrastructures, workshops and platforms for disseminating information.</w:t>
      </w:r>
    </w:p>
    <w:p w:rsidR="00176373" w:rsidRDefault="00E474D1">
      <w:pPr>
        <w:pStyle w:val="paragraph"/>
        <w:keepNext/>
        <w:rPr>
          <w:noProof/>
        </w:rPr>
      </w:pPr>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DESI 2020 - relative performance by dimension</w:t>
      </w:r>
    </w:p>
    <w:p w:rsidR="00176373" w:rsidRDefault="00E474D1">
      <w:pPr>
        <w:jc w:val="center"/>
        <w:rPr>
          <w:rFonts w:ascii="Times New Roman" w:eastAsia="Times New Roman" w:hAnsi="Times New Roman" w:cs="Times New Roman"/>
          <w:noProof/>
          <w:sz w:val="24"/>
          <w:szCs w:val="24"/>
        </w:rPr>
      </w:pPr>
      <w:r>
        <w:rPr>
          <w:noProof/>
          <w:lang w:eastAsia="en-GB"/>
        </w:rPr>
        <w:drawing>
          <wp:inline distT="0" distB="0" distL="0" distR="0">
            <wp:extent cx="5141286" cy="3427200"/>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1286" cy="3427200"/>
                    </a:xfrm>
                    <a:prstGeom prst="rect">
                      <a:avLst/>
                    </a:prstGeom>
                    <a:noFill/>
                    <a:ln>
                      <a:noFill/>
                    </a:ln>
                  </pic:spPr>
                </pic:pic>
              </a:graphicData>
            </a:graphic>
          </wp:inline>
        </w:drawing>
      </w:r>
    </w:p>
    <w:p w:rsidR="00176373" w:rsidRDefault="00E474D1">
      <w:pPr>
        <w:rPr>
          <w:rFonts w:ascii="Times New Roman" w:eastAsia="Times New Roman" w:hAnsi="Times New Roman" w:cs="Times New Roman"/>
          <w:i/>
          <w:noProof/>
          <w:sz w:val="20"/>
          <w:szCs w:val="20"/>
        </w:rPr>
      </w:pPr>
      <w:r>
        <w:rPr>
          <w:rFonts w:ascii="Times New Roman" w:eastAsia="Times New Roman" w:hAnsi="Times New Roman" w:cs="Times New Roman"/>
          <w:i/>
          <w:noProof/>
          <w:sz w:val="20"/>
          <w:szCs w:val="20"/>
        </w:rPr>
        <w:t xml:space="preserve">Note: EU aggregate corresponds to EU28, based on 2020 DESI </w:t>
      </w:r>
      <w:r>
        <w:rPr>
          <w:rFonts w:ascii="Times New Roman" w:eastAsia="Times New Roman" w:hAnsi="Times New Roman" w:cs="Times New Roman"/>
          <w:i/>
          <w:noProof/>
          <w:sz w:val="20"/>
          <w:szCs w:val="20"/>
        </w:rPr>
        <w:t>report.</w:t>
      </w:r>
    </w:p>
    <w:p w:rsidR="00176373" w:rsidRDefault="00E474D1">
      <w:pPr>
        <w:rPr>
          <w:rFonts w:ascii="Times New Roman" w:eastAsia="Times New Roman" w:hAnsi="Times New Roman" w:cs="Times New Roman"/>
          <w:i/>
          <w:noProof/>
          <w:sz w:val="20"/>
          <w:szCs w:val="20"/>
        </w:rPr>
      </w:pPr>
      <w:r>
        <w:rPr>
          <w:rFonts w:ascii="Times New Roman" w:eastAsia="Times New Roman" w:hAnsi="Times New Roman" w:cs="Times New Roman"/>
          <w:i/>
          <w:iCs/>
          <w:noProof/>
          <w:sz w:val="20"/>
          <w:szCs w:val="20"/>
        </w:rPr>
        <w:t xml:space="preserve">Source: Greece’s ranking in the Digital Economy and Society Index 2020. </w:t>
      </w:r>
      <w:hyperlink r:id="rId23" w:history="1">
        <w:r>
          <w:rPr>
            <w:rStyle w:val="Hyperlink"/>
            <w:rFonts w:ascii="Times New Roman" w:eastAsia="Times New Roman" w:hAnsi="Times New Roman" w:cs="Times New Roman"/>
            <w:i/>
            <w:iCs/>
            <w:noProof/>
            <w:sz w:val="20"/>
            <w:szCs w:val="20"/>
          </w:rPr>
          <w:t>https://ec.europa.eu/digital-single-market/en/scoreboard/greece</w:t>
        </w:r>
      </w:hyperlink>
      <w:r>
        <w:rPr>
          <w:rFonts w:ascii="Times New Roman" w:eastAsia="Times New Roman" w:hAnsi="Times New Roman" w:cs="Times New Roman"/>
          <w:i/>
          <w:iCs/>
          <w:noProof/>
          <w:sz w:val="20"/>
          <w:szCs w:val="20"/>
        </w:rPr>
        <w:t xml:space="preserve"> </w:t>
      </w:r>
    </w:p>
    <w:p w:rsidR="00176373" w:rsidRDefault="00E474D1">
      <w:pPr>
        <w:jc w:val="both"/>
        <w:rPr>
          <w:rFonts w:ascii="Times New Roman" w:hAnsi="Times New Roman" w:cs="Times New Roman"/>
          <w:noProof/>
          <w:sz w:val="24"/>
          <w:szCs w:val="24"/>
        </w:rPr>
      </w:pPr>
      <w:r>
        <w:rPr>
          <w:rFonts w:ascii="Times New Roman" w:eastAsia="Times New Roman" w:hAnsi="Times New Roman" w:cs="Times New Roman"/>
          <w:b/>
          <w:bCs/>
          <w:noProof/>
          <w:sz w:val="24"/>
          <w:szCs w:val="24"/>
        </w:rPr>
        <w:t>Greece has set out an ambitious</w:t>
      </w:r>
      <w:r>
        <w:rPr>
          <w:rFonts w:ascii="Times New Roman" w:eastAsia="Times New Roman" w:hAnsi="Times New Roman" w:cs="Times New Roman"/>
          <w:b/>
          <w:bCs/>
          <w:noProof/>
          <w:sz w:val="24"/>
          <w:szCs w:val="24"/>
        </w:rPr>
        <w:t xml:space="preserve"> reform agenda in its draft national digital strategy. </w:t>
      </w:r>
      <w:r>
        <w:rPr>
          <w:rFonts w:ascii="Times New Roman" w:eastAsia="Times New Roman" w:hAnsi="Times New Roman" w:cs="Times New Roman"/>
          <w:noProof/>
          <w:sz w:val="24"/>
          <w:szCs w:val="24"/>
        </w:rPr>
        <w:t>The new digital strategy (“Digital Bible”), which is under revision following its release for public consultation, presents over 450 projects focused on connectivity, digital upskilling, e-Commerce and</w:t>
      </w:r>
      <w:r>
        <w:rPr>
          <w:rFonts w:ascii="Times New Roman" w:eastAsia="Times New Roman" w:hAnsi="Times New Roman" w:cs="Times New Roman"/>
          <w:noProof/>
          <w:sz w:val="24"/>
          <w:szCs w:val="24"/>
        </w:rPr>
        <w:t xml:space="preserve"> enhancing the interoperability and robustness of public IT systems. The new Ministry for Digital Governance is overseeing the work on the new digital strategy and is pursuing the objective to implement the ‘digital by default’ principle in Greece by 2023.</w:t>
      </w:r>
      <w:r>
        <w:rPr>
          <w:rFonts w:ascii="Times New Roman" w:eastAsia="Times New Roman" w:hAnsi="Times New Roman" w:cs="Times New Roman"/>
          <w:noProof/>
          <w:sz w:val="24"/>
          <w:szCs w:val="24"/>
        </w:rPr>
        <w:t xml:space="preserve"> </w:t>
      </w:r>
    </w:p>
    <w:p w:rsidR="00176373" w:rsidRDefault="00E474D1">
      <w:pPr>
        <w:pStyle w:val="paragraph"/>
        <w:keepNext/>
        <w:rPr>
          <w:noProof/>
        </w:rPr>
      </w:pPr>
      <w:r>
        <w:rPr>
          <w:noProof/>
        </w:rPr>
        <w:t xml:space="preserve">Box </w:t>
      </w:r>
      <w:r>
        <w:rPr>
          <w:noProof/>
        </w:rPr>
        <w:fldChar w:fldCharType="begin"/>
      </w:r>
      <w:r>
        <w:rPr>
          <w:noProof/>
        </w:rPr>
        <w:instrText xml:space="preserve"> SEQ Box \* ARABIC </w:instrText>
      </w:r>
      <w:r>
        <w:rPr>
          <w:noProof/>
        </w:rPr>
        <w:fldChar w:fldCharType="separate"/>
      </w:r>
      <w:r>
        <w:rPr>
          <w:noProof/>
        </w:rPr>
        <w:t>1</w:t>
      </w:r>
      <w:r>
        <w:rPr>
          <w:noProof/>
        </w:rPr>
        <w:fldChar w:fldCharType="end"/>
      </w:r>
      <w:r>
        <w:rPr>
          <w:noProof/>
        </w:rPr>
        <w:t xml:space="preserve"> Progress towards the Sustainable Development Goals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176373">
        <w:tc>
          <w:tcPr>
            <w:tcW w:w="9350" w:type="dxa"/>
          </w:tcPr>
          <w:p w:rsidR="00176373" w:rsidRDefault="00E474D1">
            <w:pPr>
              <w:jc w:val="both"/>
              <w:rPr>
                <w:rFonts w:ascii="Times New Roman" w:hAnsi="Times New Roman" w:cs="Times New Roman"/>
                <w:noProof/>
                <w:lang w:eastAsia="en-GB"/>
              </w:rPr>
            </w:pPr>
            <w:r>
              <w:rPr>
                <w:rFonts w:ascii="Times New Roman" w:hAnsi="Times New Roman" w:cs="Times New Roman"/>
                <w:b/>
                <w:bCs/>
                <w:noProof/>
                <w:lang w:eastAsia="en-GB"/>
              </w:rPr>
              <w:t>The</w:t>
            </w:r>
            <w:r>
              <w:rPr>
                <w:rFonts w:ascii="Times New Roman" w:hAnsi="Times New Roman" w:cs="Times New Roman"/>
                <w:b/>
                <w:noProof/>
                <w:lang w:eastAsia="en-GB"/>
              </w:rPr>
              <w:t xml:space="preserve"> objectives of the Sustainable Development Goals (SDGs) are integrated in the European Semester since the 2020 cycle.</w:t>
            </w:r>
            <w:r>
              <w:rPr>
                <w:rFonts w:ascii="Times New Roman" w:hAnsi="Times New Roman" w:cs="Times New Roman"/>
                <w:noProof/>
                <w:lang w:eastAsia="en-GB"/>
              </w:rPr>
              <w:t xml:space="preserve"> This provides a strong commitment towards sustainabili</w:t>
            </w:r>
            <w:r>
              <w:rPr>
                <w:rFonts w:ascii="Times New Roman" w:hAnsi="Times New Roman" w:cs="Times New Roman"/>
                <w:noProof/>
                <w:lang w:eastAsia="en-GB"/>
              </w:rPr>
              <w:t>ty in coordination of economic and employment policies in the EU. In that respect, this section outlines Greece’s performance with respect to SDGs with particular relevance for the four dimensions underpinning the 2021 Annual Sustainable Growth Strategy an</w:t>
            </w:r>
            <w:r>
              <w:rPr>
                <w:rFonts w:ascii="Times New Roman" w:hAnsi="Times New Roman" w:cs="Times New Roman"/>
                <w:noProof/>
                <w:lang w:eastAsia="en-GB"/>
              </w:rPr>
              <w:t>d of relevance to the recovery and resilience plans (green transition, fairness, digital transition and productivity, and macroeconomic stability), indicating possible areas where investments and reforms in line with the objectives of the Recovery and Resi</w:t>
            </w:r>
            <w:r>
              <w:rPr>
                <w:rFonts w:ascii="Times New Roman" w:hAnsi="Times New Roman" w:cs="Times New Roman"/>
                <w:noProof/>
                <w:lang w:eastAsia="en-GB"/>
              </w:rPr>
              <w:t>lience Facility could further accelerate the progress on the SDGs.</w:t>
            </w:r>
          </w:p>
          <w:p w:rsidR="00176373" w:rsidRDefault="00E474D1">
            <w:pPr>
              <w:jc w:val="both"/>
              <w:rPr>
                <w:rFonts w:ascii="Times New Roman" w:hAnsi="Times New Roman" w:cs="Times New Roman"/>
                <w:b/>
                <w:noProof/>
                <w:lang w:eastAsia="en-GB"/>
              </w:rPr>
            </w:pPr>
            <w:r>
              <w:rPr>
                <w:rFonts w:ascii="Times New Roman" w:hAnsi="Times New Roman" w:cs="Times New Roman"/>
                <w:b/>
                <w:bCs/>
                <w:noProof/>
                <w:lang w:eastAsia="en-GB"/>
              </w:rPr>
              <w:t>Sustainable Development Goals and the four dimensions underpinning the Annual Sustainable Growth Strategy</w:t>
            </w:r>
            <w:r>
              <w:rPr>
                <w:rFonts w:ascii="Times New Roman" w:hAnsi="Times New Roman" w:cs="Times New Roman"/>
                <w:b/>
                <w:noProof/>
                <w:lang w:eastAsia="en-GB"/>
              </w:rPr>
              <w:t xml:space="preserve"> </w:t>
            </w:r>
          </w:p>
          <w:p w:rsidR="00176373" w:rsidRDefault="00E474D1">
            <w:pPr>
              <w:jc w:val="both"/>
              <w:rPr>
                <w:rFonts w:ascii="Times New Roman" w:hAnsi="Times New Roman" w:cs="Times New Roman"/>
                <w:noProof/>
                <w:lang w:eastAsia="en-GB"/>
              </w:rPr>
            </w:pPr>
            <w:r>
              <w:rPr>
                <w:rFonts w:ascii="Times New Roman" w:hAnsi="Times New Roman" w:cs="Times New Roman"/>
                <w:noProof/>
                <w:lang w:eastAsia="en-GB"/>
              </w:rPr>
              <w:drawing>
                <wp:inline distT="0" distB="0" distL="0" distR="0">
                  <wp:extent cx="5730240" cy="3649287"/>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rotWithShape="1">
                          <a:blip r:embed="rId24">
                            <a:extLst>
                              <a:ext uri="{28A0092B-C50C-407E-A947-70E740481C1C}">
                                <a14:useLocalDpi xmlns:a14="http://schemas.microsoft.com/office/drawing/2010/main" val="0"/>
                              </a:ext>
                            </a:extLst>
                          </a:blip>
                          <a:srcRect t="13836" b="20844"/>
                          <a:stretch/>
                        </pic:blipFill>
                        <pic:spPr bwMode="auto">
                          <a:xfrm>
                            <a:off x="0" y="0"/>
                            <a:ext cx="5731510" cy="3650096"/>
                          </a:xfrm>
                          <a:prstGeom prst="rect">
                            <a:avLst/>
                          </a:prstGeom>
                          <a:ln>
                            <a:noFill/>
                          </a:ln>
                          <a:extLst>
                            <a:ext uri="{53640926-AAD7-44D8-BBD7-CCE9431645EC}">
                              <a14:shadowObscured xmlns:a14="http://schemas.microsoft.com/office/drawing/2010/main"/>
                            </a:ext>
                          </a:extLst>
                        </pic:spPr>
                      </pic:pic>
                    </a:graphicData>
                  </a:graphic>
                </wp:inline>
              </w:drawing>
            </w:r>
          </w:p>
          <w:p w:rsidR="00176373" w:rsidRDefault="00E474D1">
            <w:pPr>
              <w:jc w:val="both"/>
              <w:rPr>
                <w:rFonts w:ascii="Times New Roman" w:hAnsi="Times New Roman" w:cs="Times New Roman"/>
                <w:noProof/>
                <w:lang w:eastAsia="en-GB"/>
              </w:rPr>
            </w:pPr>
            <w:r>
              <w:rPr>
                <w:rFonts w:ascii="Times New Roman" w:hAnsi="Times New Roman" w:cs="Times New Roman"/>
                <w:b/>
                <w:bCs/>
                <w:noProof/>
                <w:lang w:eastAsia="en-GB"/>
              </w:rPr>
              <w:t xml:space="preserve">In an EU context, Greece has made substantial progress towards meeting the </w:t>
            </w:r>
            <w:r>
              <w:rPr>
                <w:rFonts w:ascii="Times New Roman" w:hAnsi="Times New Roman" w:cs="Times New Roman"/>
                <w:b/>
                <w:bCs/>
                <w:noProof/>
                <w:lang w:eastAsia="en-GB"/>
              </w:rPr>
              <w:t>Sustainable Development Goals (SDGs) over the past years starting from a relatively low position</w:t>
            </w:r>
            <w:r>
              <w:rPr>
                <w:rFonts w:ascii="Times New Roman" w:hAnsi="Times New Roman" w:cs="Times New Roman"/>
                <w:noProof/>
                <w:lang w:eastAsia="en-GB"/>
              </w:rPr>
              <w:t>. By comparison with the EU average performance, Greece has taken important steps based on several headline indicators included in the EU SDG indicator set used</w:t>
            </w:r>
            <w:r>
              <w:rPr>
                <w:rFonts w:ascii="Times New Roman" w:hAnsi="Times New Roman" w:cs="Times New Roman"/>
                <w:noProof/>
                <w:lang w:eastAsia="en-GB"/>
              </w:rPr>
              <w:t xml:space="preserve"> by </w:t>
            </w:r>
            <w:hyperlink r:id="rId25">
              <w:r>
                <w:rPr>
                  <w:rStyle w:val="Hyperlink"/>
                  <w:rFonts w:ascii="Times New Roman" w:hAnsi="Times New Roman" w:cs="Times New Roman"/>
                  <w:noProof/>
                  <w:lang w:eastAsia="en-GB"/>
                </w:rPr>
                <w:t>Eurostat for monitoring progress towards the SDGs in an EU</w:t>
              </w:r>
            </w:hyperlink>
            <w:r>
              <w:rPr>
                <w:rFonts w:ascii="Times New Roman" w:hAnsi="Times New Roman" w:cs="Times New Roman"/>
                <w:noProof/>
                <w:lang w:eastAsia="en-GB"/>
              </w:rPr>
              <w:t>. However, in several cases, this has been due to the relati</w:t>
            </w:r>
            <w:r>
              <w:rPr>
                <w:rFonts w:ascii="Times New Roman" w:hAnsi="Times New Roman" w:cs="Times New Roman"/>
                <w:noProof/>
                <w:lang w:eastAsia="en-GB"/>
              </w:rPr>
              <w:t>vely low starting position of Greece compared to the EU as a whole</w:t>
            </w:r>
            <w:r>
              <w:rPr>
                <w:rFonts w:ascii="Times New Roman" w:hAnsi="Times New Roman" w:cs="Times New Roman"/>
                <w:noProof/>
                <w:vertAlign w:val="superscript"/>
                <w:lang w:eastAsia="en-GB"/>
              </w:rPr>
              <w:footnoteReference w:id="23"/>
            </w:r>
            <w:r>
              <w:rPr>
                <w:rFonts w:ascii="Times New Roman" w:hAnsi="Times New Roman" w:cs="Times New Roman"/>
                <w:noProof/>
                <w:lang w:eastAsia="en-GB"/>
              </w:rPr>
              <w:t xml:space="preserve">. </w:t>
            </w:r>
          </w:p>
          <w:p w:rsidR="00176373" w:rsidRDefault="00E474D1">
            <w:pPr>
              <w:jc w:val="both"/>
              <w:rPr>
                <w:rFonts w:ascii="Times New Roman" w:hAnsi="Times New Roman" w:cs="Times New Roman"/>
                <w:noProof/>
                <w:lang w:eastAsia="en-GB"/>
              </w:rPr>
            </w:pPr>
            <w:r>
              <w:rPr>
                <w:rFonts w:ascii="Times New Roman" w:hAnsi="Times New Roman" w:cs="Times New Roman"/>
                <w:b/>
                <w:bCs/>
                <w:noProof/>
                <w:lang w:eastAsia="en-GB"/>
              </w:rPr>
              <w:t>Greece has made progress with meeting certain environmental objectives that are relevant for the green transition</w:t>
            </w:r>
            <w:r>
              <w:rPr>
                <w:rFonts w:ascii="Times New Roman" w:hAnsi="Times New Roman" w:cs="Times New Roman"/>
                <w:b/>
                <w:noProof/>
                <w:lang w:eastAsia="en-GB"/>
              </w:rPr>
              <w:t>.</w:t>
            </w:r>
            <w:r>
              <w:rPr>
                <w:rFonts w:ascii="Times New Roman" w:hAnsi="Times New Roman" w:cs="Times New Roman"/>
                <w:noProof/>
                <w:lang w:eastAsia="en-GB"/>
              </w:rPr>
              <w:t xml:space="preserve"> In the area of affordable and clean energy (SDG 7), Greece has fared pa</w:t>
            </w:r>
            <w:r>
              <w:rPr>
                <w:rFonts w:ascii="Times New Roman" w:hAnsi="Times New Roman" w:cs="Times New Roman"/>
                <w:noProof/>
                <w:lang w:eastAsia="en-GB"/>
              </w:rPr>
              <w:t>rticularly well in reducing the greenhouse gas emissions intensity (by 23% between 2014 and 2019). However, their level remain above the EU average. Access to affordable energy, an area where Greece lagged for long significantly behind other EU Member Stat</w:t>
            </w:r>
            <w:r>
              <w:rPr>
                <w:rFonts w:ascii="Times New Roman" w:hAnsi="Times New Roman" w:cs="Times New Roman"/>
                <w:noProof/>
                <w:lang w:eastAsia="en-GB"/>
              </w:rPr>
              <w:t>es (with almost 1/3 of population being unable to keep their home adequately warm in 2014) has also improved markedly in more recent years, although at almost 17.9% in 2019, the share of affected households remains well above the EU average (6.9%). Perform</w:t>
            </w:r>
            <w:r>
              <w:rPr>
                <w:rFonts w:ascii="Times New Roman" w:hAnsi="Times New Roman" w:cs="Times New Roman"/>
                <w:noProof/>
                <w:lang w:eastAsia="en-GB"/>
              </w:rPr>
              <w:t>ance with regard to SDG 12 (responsible consumption and production) has been mixed. While resource productivity in Greece increased by 37% between 2014 and 2019, it remains below the EU average, while average CO</w:t>
            </w:r>
            <w:r>
              <w:rPr>
                <w:rFonts w:ascii="Times New Roman" w:hAnsi="Times New Roman" w:cs="Times New Roman"/>
                <w:noProof/>
                <w:vertAlign w:val="subscript"/>
                <w:lang w:eastAsia="en-GB"/>
              </w:rPr>
              <w:t>2</w:t>
            </w:r>
            <w:r>
              <w:rPr>
                <w:rFonts w:ascii="Times New Roman" w:hAnsi="Times New Roman" w:cs="Times New Roman"/>
                <w:noProof/>
                <w:lang w:eastAsia="en-GB"/>
              </w:rPr>
              <w:t xml:space="preserve"> emissions per km from new passenger cars in</w:t>
            </w:r>
            <w:r>
              <w:rPr>
                <w:rFonts w:ascii="Times New Roman" w:hAnsi="Times New Roman" w:cs="Times New Roman"/>
                <w:noProof/>
                <w:lang w:eastAsia="en-GB"/>
              </w:rPr>
              <w:t xml:space="preserve"> Greece saw a 7% increase during the same period, when in the EU they went down marginally. On the positive side, the circular material use rate (percentage of material input for domestic use) increased by three times (from 1.4% to 4.2%), but remains below</w:t>
            </w:r>
            <w:r>
              <w:rPr>
                <w:rFonts w:ascii="Times New Roman" w:hAnsi="Times New Roman" w:cs="Times New Roman"/>
                <w:noProof/>
                <w:lang w:eastAsia="en-GB"/>
              </w:rPr>
              <w:t xml:space="preserve"> the EU average (11.9% in 2019), while generation of waste excluding major mineral wastes dropped by around 23% when it increased marginally in the EU. Some steps were also taken towards meeting climate action goals (SDGs 13) as reflected in the dramatic i</w:t>
            </w:r>
            <w:r>
              <w:rPr>
                <w:rFonts w:ascii="Times New Roman" w:hAnsi="Times New Roman" w:cs="Times New Roman"/>
                <w:noProof/>
                <w:lang w:eastAsia="en-GB"/>
              </w:rPr>
              <w:t xml:space="preserve">ncrease of the share of renewable energy in gross final energy consumption that by 2019 had reached the EU average (19.7%), albeit starting from a lower level. </w:t>
            </w:r>
          </w:p>
          <w:p w:rsidR="00176373" w:rsidRDefault="00E474D1">
            <w:pPr>
              <w:jc w:val="both"/>
              <w:rPr>
                <w:rFonts w:ascii="Times New Roman" w:hAnsi="Times New Roman" w:cs="Times New Roman"/>
                <w:noProof/>
                <w:lang w:eastAsia="en-GB"/>
              </w:rPr>
            </w:pPr>
            <w:r>
              <w:rPr>
                <w:rFonts w:ascii="Times New Roman" w:hAnsi="Times New Roman" w:cs="Times New Roman"/>
                <w:b/>
                <w:bCs/>
                <w:noProof/>
                <w:lang w:eastAsia="en-GB"/>
              </w:rPr>
              <w:t>In the area of labour market and social policy, progress has been mixed</w:t>
            </w:r>
            <w:r>
              <w:rPr>
                <w:rFonts w:ascii="Times New Roman" w:hAnsi="Times New Roman" w:cs="Times New Roman"/>
                <w:b/>
                <w:noProof/>
                <w:lang w:eastAsia="en-GB"/>
              </w:rPr>
              <w:t>.</w:t>
            </w:r>
            <w:r>
              <w:rPr>
                <w:rFonts w:ascii="Times New Roman" w:hAnsi="Times New Roman" w:cs="Times New Roman"/>
                <w:bCs/>
                <w:noProof/>
                <w:lang w:eastAsia="en-GB"/>
              </w:rPr>
              <w:t xml:space="preserve"> </w:t>
            </w:r>
            <w:r>
              <w:rPr>
                <w:rFonts w:ascii="Times New Roman" w:hAnsi="Times New Roman" w:cs="Times New Roman"/>
                <w:noProof/>
                <w:lang w:eastAsia="en-GB"/>
              </w:rPr>
              <w:t>The unfavourable trend</w:t>
            </w:r>
            <w:r>
              <w:rPr>
                <w:rFonts w:ascii="Times New Roman" w:hAnsi="Times New Roman" w:cs="Times New Roman"/>
                <w:noProof/>
                <w:lang w:eastAsia="en-GB"/>
              </w:rPr>
              <w:t xml:space="preserve"> in poverty rates and long-term unemployment, which reached a peak in 2013, had been reversed by the economic recovery that ensued after the decade-long financial crisis. The recovery has also supported job creation (SDGs 1, 2, 8). Nevertheless, given Gree</w:t>
            </w:r>
            <w:r>
              <w:rPr>
                <w:rFonts w:ascii="Times New Roman" w:hAnsi="Times New Roman" w:cs="Times New Roman"/>
                <w:noProof/>
                <w:lang w:eastAsia="en-GB"/>
              </w:rPr>
              <w:t>ce’s relatively weaker starting position, its labour and social situation remains less favourable than in the EU as a whole based on almost all indicators. In the same vein, fairness aspects, such as gender equality (SDGs 5, 10), have shown some signs of i</w:t>
            </w:r>
            <w:r>
              <w:rPr>
                <w:rFonts w:ascii="Times New Roman" w:hAnsi="Times New Roman" w:cs="Times New Roman"/>
                <w:noProof/>
                <w:lang w:eastAsia="en-GB"/>
              </w:rPr>
              <w:t xml:space="preserve">mprovement, but remain less positive than in the EU as a whole, given Greece’s still large gender gap in terms of employment and pay and the more prominent underrepresentation of women in economic and political life. Meanwhile, a number of good health and </w:t>
            </w:r>
            <w:r>
              <w:rPr>
                <w:rFonts w:ascii="Times New Roman" w:hAnsi="Times New Roman" w:cs="Times New Roman"/>
                <w:noProof/>
                <w:lang w:eastAsia="en-GB"/>
              </w:rPr>
              <w:t>wellbeing indicators (SDG 3) have remained relatively stable or even deteriorated in Greece during the reference period (such as smoking prevalence or people killed in accidents at work) as opposed to the positive trend that was observed in the EU as a who</w:t>
            </w:r>
            <w:r>
              <w:rPr>
                <w:rFonts w:ascii="Times New Roman" w:hAnsi="Times New Roman" w:cs="Times New Roman"/>
                <w:noProof/>
                <w:lang w:eastAsia="en-GB"/>
              </w:rPr>
              <w:t>le. Despite improving during 2014-2019, access to health care also remains an issue, with 8.1% of the population aged 16 or above reporting unmet medical needs in 2019 due to cost, distance or waiting times as opposed to only 1.7% in the EU as a whole.</w:t>
            </w:r>
          </w:p>
          <w:p w:rsidR="00176373" w:rsidRDefault="00E474D1">
            <w:pPr>
              <w:jc w:val="both"/>
              <w:rPr>
                <w:rFonts w:ascii="Times New Roman" w:hAnsi="Times New Roman" w:cs="Times New Roman"/>
                <w:noProof/>
                <w:lang w:eastAsia="en-GB"/>
              </w:rPr>
            </w:pPr>
            <w:r>
              <w:rPr>
                <w:rFonts w:ascii="Times New Roman" w:hAnsi="Times New Roman" w:cs="Times New Roman"/>
                <w:b/>
                <w:bCs/>
                <w:noProof/>
                <w:lang w:eastAsia="en-GB"/>
              </w:rPr>
              <w:t>Obj</w:t>
            </w:r>
            <w:r>
              <w:rPr>
                <w:rFonts w:ascii="Times New Roman" w:hAnsi="Times New Roman" w:cs="Times New Roman"/>
                <w:b/>
                <w:bCs/>
                <w:noProof/>
                <w:lang w:eastAsia="en-GB"/>
              </w:rPr>
              <w:t>ectives to promote the digital transition, productivity and macroeconomic stability are gradually being pursued.</w:t>
            </w:r>
            <w:r>
              <w:rPr>
                <w:rFonts w:ascii="Times New Roman" w:hAnsi="Times New Roman" w:cs="Times New Roman"/>
                <w:noProof/>
                <w:lang w:eastAsia="en-GB"/>
              </w:rPr>
              <w:t xml:space="preserve"> Positive performance in several aspects of the education and R&amp;D system such as early school leaving, tertiary education attainment, adult lear</w:t>
            </w:r>
            <w:r>
              <w:rPr>
                <w:rFonts w:ascii="Times New Roman" w:hAnsi="Times New Roman" w:cs="Times New Roman"/>
                <w:noProof/>
                <w:lang w:eastAsia="en-GB"/>
              </w:rPr>
              <w:t>ning, and basic digital skills (SDG 4), as well as higher R&amp;D production (SDG 9) has supported the digital transformation of the economy and society and reverted the negative trend in productivity. Macroeconomic stability (SDG 8) improved during the five y</w:t>
            </w:r>
            <w:r>
              <w:rPr>
                <w:rFonts w:ascii="Times New Roman" w:hAnsi="Times New Roman" w:cs="Times New Roman"/>
                <w:noProof/>
                <w:lang w:eastAsia="en-GB"/>
              </w:rPr>
              <w:t xml:space="preserve">ears prior to the pandemic for which data are available, mainly thanks to the general labour market and economic recovery and the strengthening of institutions as reflected in improved perceptions of citizens about personal security and the justice system </w:t>
            </w:r>
            <w:r>
              <w:rPr>
                <w:rFonts w:ascii="Times New Roman" w:hAnsi="Times New Roman" w:cs="Times New Roman"/>
                <w:noProof/>
                <w:lang w:eastAsia="en-GB"/>
              </w:rPr>
              <w:t>(SDG 16).</w:t>
            </w:r>
          </w:p>
          <w:p w:rsidR="00176373" w:rsidRDefault="00E474D1">
            <w:pPr>
              <w:jc w:val="both"/>
              <w:rPr>
                <w:rFonts w:ascii="Times New Roman" w:hAnsi="Times New Roman" w:cs="Times New Roman"/>
                <w:i/>
                <w:noProof/>
                <w:lang w:eastAsia="en-GB"/>
              </w:rPr>
            </w:pPr>
            <w:r>
              <w:rPr>
                <w:rFonts w:ascii="Times New Roman" w:hAnsi="Times New Roman" w:cs="Times New Roman"/>
                <w:b/>
                <w:bCs/>
                <w:noProof/>
                <w:lang w:eastAsia="en-GB"/>
              </w:rPr>
              <w:t>Financing under the Greek recovery and resilience plan can further support progress towards the SDGs and the four dimensions underpinning the Annual Sustainable Growth Survey</w:t>
            </w:r>
            <w:r>
              <w:rPr>
                <w:rFonts w:ascii="Times New Roman" w:hAnsi="Times New Roman" w:cs="Times New Roman"/>
                <w:bCs/>
                <w:noProof/>
                <w:lang w:eastAsia="en-GB"/>
              </w:rPr>
              <w:t xml:space="preserve">. </w:t>
            </w:r>
            <w:r>
              <w:rPr>
                <w:rFonts w:ascii="Times New Roman" w:hAnsi="Times New Roman" w:cs="Times New Roman"/>
                <w:noProof/>
                <w:lang w:eastAsia="en-GB"/>
              </w:rPr>
              <w:t>The proposed wide-range and thorough reforms and investments in the gr</w:t>
            </w:r>
            <w:r>
              <w:rPr>
                <w:rFonts w:ascii="Times New Roman" w:hAnsi="Times New Roman" w:cs="Times New Roman"/>
                <w:noProof/>
                <w:lang w:eastAsia="en-GB"/>
              </w:rPr>
              <w:t xml:space="preserve">een and digital transition, social inclusion and macroeconomic stability are expected to further contribute to meeting the respective SDGs. Substantial EU funds already support actions in line with the Sustainable Development Goals in Greece. The European </w:t>
            </w:r>
            <w:r>
              <w:rPr>
                <w:rFonts w:ascii="Times New Roman" w:hAnsi="Times New Roman" w:cs="Times New Roman"/>
                <w:noProof/>
                <w:lang w:eastAsia="en-GB"/>
              </w:rPr>
              <w:t>Structural and Investment Funds support 13 out the 17 SDGs and up to 92% of the funds’ expenditure is contributing to meeting the respective objectives.</w:t>
            </w:r>
          </w:p>
        </w:tc>
      </w:tr>
    </w:tbl>
    <w:p w:rsidR="00176373" w:rsidRDefault="00176373">
      <w:pPr>
        <w:rPr>
          <w:rFonts w:ascii="Times New Roman" w:eastAsia="Times New Roman" w:hAnsi="Times New Roman" w:cs="Times New Roman"/>
          <w:b/>
          <w:smallCaps/>
          <w:noProof/>
          <w:sz w:val="24"/>
          <w:szCs w:val="20"/>
          <w:lang w:eastAsia="en-GB"/>
        </w:rPr>
      </w:pPr>
      <w:bookmarkStart w:id="139" w:name="_Toc62455198"/>
      <w:bookmarkStart w:id="140" w:name="_Toc62818213"/>
      <w:bookmarkStart w:id="141" w:name="_Toc62818760"/>
      <w:bookmarkStart w:id="142" w:name="_Toc63417215"/>
      <w:bookmarkStart w:id="143" w:name="_Toc63418905"/>
      <w:bookmarkStart w:id="144" w:name="_Toc63418930"/>
      <w:bookmarkStart w:id="145" w:name="_Toc64281616"/>
      <w:bookmarkStart w:id="146" w:name="_Toc72170706"/>
      <w:bookmarkStart w:id="147" w:name="_Toc72176834"/>
      <w:bookmarkStart w:id="148" w:name="_Toc72179405"/>
      <w:bookmarkStart w:id="149" w:name="_Toc72176043"/>
      <w:bookmarkStart w:id="150" w:name="_Toc72181716"/>
      <w:bookmarkStart w:id="151" w:name="_Toc72178565"/>
      <w:bookmarkStart w:id="152" w:name="_Toc72182452"/>
      <w:bookmarkStart w:id="153" w:name="_Toc72183449"/>
      <w:bookmarkStart w:id="154" w:name="_Toc72187263"/>
      <w:bookmarkStart w:id="155" w:name="_Toc71665328"/>
      <w:bookmarkStart w:id="156" w:name="_Toc71740457"/>
      <w:bookmarkStart w:id="157" w:name="_Toc71792452"/>
      <w:bookmarkStart w:id="158" w:name="_Toc72158503"/>
    </w:p>
    <w:p w:rsidR="00176373" w:rsidRDefault="00E474D1">
      <w:pPr>
        <w:pStyle w:val="Heading1"/>
        <w:numPr>
          <w:ilvl w:val="0"/>
          <w:numId w:val="10"/>
        </w:numPr>
        <w:rPr>
          <w:i/>
          <w:noProof/>
        </w:rPr>
      </w:pPr>
      <w:bookmarkStart w:id="159" w:name="_Toc72326486"/>
      <w:bookmarkStart w:id="160" w:name="_Toc72326517"/>
      <w:bookmarkStart w:id="161" w:name="_Toc74305320"/>
      <w:r>
        <w:rPr>
          <w:noProof/>
        </w:rPr>
        <w:t>Objectives, structure and governance of the plan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9"/>
      <w:bookmarkEnd w:id="160"/>
      <w:bookmarkEnd w:id="161"/>
      <w:r>
        <w:rPr>
          <w:noProof/>
        </w:rPr>
        <w:t xml:space="preserve"> </w:t>
      </w:r>
      <w:bookmarkEnd w:id="155"/>
      <w:bookmarkEnd w:id="156"/>
      <w:bookmarkEnd w:id="157"/>
      <w:bookmarkEnd w:id="158"/>
    </w:p>
    <w:p w:rsidR="00176373" w:rsidRDefault="00E474D1">
      <w:pPr>
        <w:pStyle w:val="Heading2"/>
        <w:numPr>
          <w:ilvl w:val="1"/>
          <w:numId w:val="10"/>
        </w:numPr>
        <w:rPr>
          <w:i/>
          <w:noProof/>
        </w:rPr>
      </w:pPr>
      <w:bookmarkStart w:id="162" w:name="_Toc72170707"/>
      <w:bookmarkStart w:id="163" w:name="_Toc72176835"/>
      <w:bookmarkStart w:id="164" w:name="_Toc72179406"/>
      <w:bookmarkStart w:id="165" w:name="_Toc72176044"/>
      <w:bookmarkStart w:id="166" w:name="_Toc72181717"/>
      <w:bookmarkStart w:id="167" w:name="_Toc72178566"/>
      <w:bookmarkStart w:id="168" w:name="_Toc72182453"/>
      <w:bookmarkStart w:id="169" w:name="_Toc72183450"/>
      <w:bookmarkStart w:id="170" w:name="_Toc72187264"/>
      <w:bookmarkStart w:id="171" w:name="_Toc72326487"/>
      <w:bookmarkStart w:id="172" w:name="_Toc72326518"/>
      <w:bookmarkStart w:id="173" w:name="_Toc74305321"/>
      <w:r>
        <w:rPr>
          <w:noProof/>
        </w:rPr>
        <w:t>Overall strategy of the plan</w:t>
      </w:r>
      <w:bookmarkEnd w:id="162"/>
      <w:bookmarkEnd w:id="163"/>
      <w:bookmarkEnd w:id="164"/>
      <w:bookmarkEnd w:id="165"/>
      <w:bookmarkEnd w:id="166"/>
      <w:bookmarkEnd w:id="167"/>
      <w:bookmarkEnd w:id="168"/>
      <w:bookmarkEnd w:id="169"/>
      <w:bookmarkEnd w:id="170"/>
      <w:bookmarkEnd w:id="171"/>
      <w:bookmarkEnd w:id="172"/>
      <w:bookmarkEnd w:id="173"/>
      <w:r>
        <w:rPr>
          <w:noProof/>
        </w:rPr>
        <w:t xml:space="preserve"> </w:t>
      </w:r>
      <w:bookmarkStart w:id="174" w:name="_Toc62455199"/>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Greece’s recovery and</w:t>
      </w:r>
      <w:r>
        <w:rPr>
          <w:rFonts w:ascii="Times New Roman" w:eastAsia="Times New Roman" w:hAnsi="Times New Roman" w:cs="Times New Roman"/>
          <w:b/>
          <w:bCs/>
          <w:noProof/>
          <w:sz w:val="24"/>
          <w:szCs w:val="24"/>
        </w:rPr>
        <w:t xml:space="preserve"> resilience plan introduces reforms and investments that aim at a considerable improvement in economic activity, technologies and institutions.</w:t>
      </w:r>
      <w:r>
        <w:rPr>
          <w:rFonts w:ascii="Times New Roman" w:eastAsia="Times New Roman" w:hAnsi="Times New Roman" w:cs="Times New Roman"/>
          <w:noProof/>
          <w:sz w:val="24"/>
          <w:szCs w:val="24"/>
        </w:rPr>
        <w:t xml:space="preserve"> These measures aspire to direct the country towards a more extroverted, competitive, green, and digital economic</w:t>
      </w:r>
      <w:r>
        <w:rPr>
          <w:rFonts w:ascii="Times New Roman" w:eastAsia="Times New Roman" w:hAnsi="Times New Roman" w:cs="Times New Roman"/>
          <w:noProof/>
          <w:sz w:val="24"/>
          <w:szCs w:val="24"/>
        </w:rPr>
        <w:t xml:space="preserve"> model. The plan also aims at facilitating cohesion and justice, while establishing a more efficient public administration and a resilient and inclusive social safety net. Greece anticipates that the proposed measures will result in the creation of new and</w:t>
      </w:r>
      <w:r>
        <w:rPr>
          <w:rFonts w:ascii="Times New Roman" w:eastAsia="Times New Roman" w:hAnsi="Times New Roman" w:cs="Times New Roman"/>
          <w:noProof/>
          <w:sz w:val="24"/>
          <w:szCs w:val="24"/>
        </w:rPr>
        <w:t xml:space="preserve"> permanent jobs, and in a lasting increase of real GDP, while contributing to addressing challenges identified in the relevant Country Specific Recommendations. In this context, the plan is structured around four pillars, encompassing a total of eighteen c</w:t>
      </w:r>
      <w:r>
        <w:rPr>
          <w:rFonts w:ascii="Times New Roman" w:eastAsia="Times New Roman" w:hAnsi="Times New Roman" w:cs="Times New Roman"/>
          <w:noProof/>
          <w:sz w:val="24"/>
          <w:szCs w:val="24"/>
        </w:rPr>
        <w:t>omponents: (i) Green Transition (four components); (ii) Digital Transformation (three components); (iii) Employment, skills and social cohesion (four components); (iv) Private investment and transformation of the economy (seven components). The timeline fo</w:t>
      </w:r>
      <w:r>
        <w:rPr>
          <w:rFonts w:ascii="Times New Roman" w:eastAsia="Times New Roman" w:hAnsi="Times New Roman" w:cs="Times New Roman"/>
          <w:noProof/>
          <w:sz w:val="24"/>
          <w:szCs w:val="24"/>
        </w:rPr>
        <w:t>r the implementation of the plan ranges from the fourth quarter of 2020 to the third quarter of 2026, while the disbursements are proportionally distributed throughout the lifetime of the facility.</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green transition pillar focuses on energy efficiency a</w:t>
      </w:r>
      <w:r>
        <w:rPr>
          <w:rFonts w:ascii="Times New Roman" w:eastAsia="Times New Roman" w:hAnsi="Times New Roman" w:cs="Times New Roman"/>
          <w:b/>
          <w:bCs/>
          <w:noProof/>
          <w:sz w:val="24"/>
          <w:szCs w:val="24"/>
        </w:rPr>
        <w:t>nd buildings renovation, renewables, electro-mobility, climate resilience, and environmental protection.</w:t>
      </w:r>
      <w:r>
        <w:rPr>
          <w:rFonts w:ascii="Times New Roman" w:eastAsia="Times New Roman" w:hAnsi="Times New Roman" w:cs="Times New Roman"/>
          <w:noProof/>
          <w:sz w:val="24"/>
          <w:szCs w:val="24"/>
        </w:rPr>
        <w:t xml:space="preserve"> The objective of component 1.1 (Power Up) is to increase the resilience of the electricity network, its capacity and its energy storage capabilities, t</w:t>
      </w:r>
      <w:r>
        <w:rPr>
          <w:rFonts w:ascii="Times New Roman" w:eastAsia="Times New Roman" w:hAnsi="Times New Roman" w:cs="Times New Roman"/>
          <w:noProof/>
          <w:sz w:val="24"/>
          <w:szCs w:val="24"/>
        </w:rPr>
        <w:t>hus allowing for greater penetration of renewable energy sources in the energy mix. Measures aim to reduce energy costs, phase-out oil-fired power generation, and increase the potential of the islands to support electricity generation from renewables. Comp</w:t>
      </w:r>
      <w:r>
        <w:rPr>
          <w:rFonts w:ascii="Times New Roman" w:eastAsia="Times New Roman" w:hAnsi="Times New Roman" w:cs="Times New Roman"/>
          <w:noProof/>
          <w:sz w:val="24"/>
          <w:szCs w:val="24"/>
        </w:rPr>
        <w:t>onent 1.2 (Renovate) introduces reforms and investments in urban and spatial planning, as well as in the renovation of residential, commercial, industrial and public buildings to improve energy performance and reduce the carbon footprint. Component 1.3 (Re</w:t>
      </w:r>
      <w:r>
        <w:rPr>
          <w:rFonts w:ascii="Times New Roman" w:eastAsia="Times New Roman" w:hAnsi="Times New Roman" w:cs="Times New Roman"/>
          <w:noProof/>
          <w:sz w:val="24"/>
          <w:szCs w:val="24"/>
        </w:rPr>
        <w:t>charge and refuel) contains actions that enable the installation and operation of electric vehicle charging equipment, and promotes investments to establish the required infrastructure. To enhance environmental protection and resilience in natural risks, c</w:t>
      </w:r>
      <w:r>
        <w:rPr>
          <w:rFonts w:ascii="Times New Roman" w:eastAsia="Times New Roman" w:hAnsi="Times New Roman" w:cs="Times New Roman"/>
          <w:noProof/>
          <w:sz w:val="24"/>
          <w:szCs w:val="24"/>
        </w:rPr>
        <w:t>omponent 1.4 (Sustainable use of resources, climate resilience and environmental protection) describes measures related to reforestation and biodiversity protection, improvements in the national irrigation network, wastewater and water management, and prev</w:t>
      </w:r>
      <w:r>
        <w:rPr>
          <w:rFonts w:ascii="Times New Roman" w:eastAsia="Times New Roman" w:hAnsi="Times New Roman" w:cs="Times New Roman"/>
          <w:noProof/>
          <w:sz w:val="24"/>
          <w:szCs w:val="24"/>
        </w:rPr>
        <w:t>ention and coordination of actions against natural disasters and climate change phenomena.</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digital transformation pillar aims at improving network infrastructures and facilitating the digital transition in the public and private sectors.</w:t>
      </w:r>
      <w:r>
        <w:rPr>
          <w:rFonts w:ascii="Times New Roman" w:eastAsia="Times New Roman" w:hAnsi="Times New Roman" w:cs="Times New Roman"/>
          <w:noProof/>
          <w:sz w:val="24"/>
          <w:szCs w:val="24"/>
        </w:rPr>
        <w:t xml:space="preserve"> In an effort t</w:t>
      </w:r>
      <w:r>
        <w:rPr>
          <w:rFonts w:ascii="Times New Roman" w:eastAsia="Times New Roman" w:hAnsi="Times New Roman" w:cs="Times New Roman"/>
          <w:noProof/>
          <w:sz w:val="24"/>
          <w:szCs w:val="24"/>
        </w:rPr>
        <w:t>o accelerate connectivity, a key prerequisite for digital transition, the main objectives of component 2.1 (Connect) are the facilitation of fibre optic infrastructure in buildings, the switch to fast broadband connections and 5G technology, and the utilis</w:t>
      </w:r>
      <w:r>
        <w:rPr>
          <w:rFonts w:ascii="Times New Roman" w:eastAsia="Times New Roman" w:hAnsi="Times New Roman" w:cs="Times New Roman"/>
          <w:noProof/>
          <w:sz w:val="24"/>
          <w:szCs w:val="24"/>
        </w:rPr>
        <w:t>ation of space technologies and applications. Taking into consideration current challenges, component 2.2 (Modernise) includes the incorporation of new technologies, tools and infrastructure in the public sector, and the provision of improved services to c</w:t>
      </w:r>
      <w:r>
        <w:rPr>
          <w:rFonts w:ascii="Times New Roman" w:eastAsia="Times New Roman" w:hAnsi="Times New Roman" w:cs="Times New Roman"/>
          <w:noProof/>
          <w:sz w:val="24"/>
          <w:szCs w:val="24"/>
        </w:rPr>
        <w:t>itizens and businesses. It aims at increasing interoperability between systems and data, cybersecurity and data governance strategies and policies, and extended use of advanced technologies, such as cloud computing, artificial intelligence and big data. Co</w:t>
      </w:r>
      <w:r>
        <w:rPr>
          <w:rFonts w:ascii="Times New Roman" w:eastAsia="Times New Roman" w:hAnsi="Times New Roman" w:cs="Times New Roman"/>
          <w:noProof/>
          <w:sz w:val="24"/>
          <w:szCs w:val="24"/>
        </w:rPr>
        <w:t>mponent 2.3 (Digitalisation of businesses) focuses on increasing the digital maturity of businesses by creating a digital infrastructure through funding and digital awareness schemes, creating the appropriate digital business ecosystem (industrial platform</w:t>
      </w:r>
      <w:r>
        <w:rPr>
          <w:rFonts w:ascii="Times New Roman" w:eastAsia="Times New Roman" w:hAnsi="Times New Roman" w:cs="Times New Roman"/>
          <w:noProof/>
          <w:sz w:val="24"/>
          <w:szCs w:val="24"/>
        </w:rPr>
        <w:t xml:space="preserve"> and data spaces), encouraging investments in modern digital technologies (e.g. using tax incentives), and upgrading the cash registers and Point of Sale (POS) ecosystem.</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third pillar focuses on labour market, education and training, healthcare sustain</w:t>
      </w:r>
      <w:r>
        <w:rPr>
          <w:rFonts w:ascii="Times New Roman" w:eastAsia="Times New Roman" w:hAnsi="Times New Roman" w:cs="Times New Roman"/>
          <w:b/>
          <w:bCs/>
          <w:noProof/>
          <w:sz w:val="24"/>
          <w:szCs w:val="24"/>
        </w:rPr>
        <w:t>ability, and access to social policies.</w:t>
      </w:r>
      <w:r>
        <w:rPr>
          <w:rFonts w:ascii="Times New Roman" w:eastAsia="Times New Roman" w:hAnsi="Times New Roman" w:cs="Times New Roman"/>
          <w:noProof/>
          <w:sz w:val="24"/>
          <w:szCs w:val="24"/>
        </w:rPr>
        <w:t xml:space="preserve"> Component 3.1 (Increasing job creation and participation in the labour market) introduces labour market policy reforms to enhance job creation, improve job quality, strengthen economic and social resilience, promote </w:t>
      </w:r>
      <w:r>
        <w:rPr>
          <w:rFonts w:ascii="Times New Roman" w:eastAsia="Times New Roman" w:hAnsi="Times New Roman" w:cs="Times New Roman"/>
          <w:noProof/>
          <w:sz w:val="24"/>
          <w:szCs w:val="24"/>
        </w:rPr>
        <w:t>labour market inclusion, and reduce inequalities, poverty and exclusion. The aim of component 3.2 (Education, vocational education, training, and skills) is to increase long term employment and productivity through reforms and investments in skills, lifelo</w:t>
      </w:r>
      <w:r>
        <w:rPr>
          <w:rFonts w:ascii="Times New Roman" w:eastAsia="Times New Roman" w:hAnsi="Times New Roman" w:cs="Times New Roman"/>
          <w:noProof/>
          <w:sz w:val="24"/>
          <w:szCs w:val="24"/>
        </w:rPr>
        <w:t>ng learning, vocational education and training, research performance of universities, and digitalisation of all levels of education. Component 3.3’s (Improve resilience, accessibility and sustainability of healthcare) main building blocks include redesigni</w:t>
      </w:r>
      <w:r>
        <w:rPr>
          <w:rFonts w:ascii="Times New Roman" w:eastAsia="Times New Roman" w:hAnsi="Times New Roman" w:cs="Times New Roman"/>
          <w:noProof/>
          <w:sz w:val="24"/>
          <w:szCs w:val="24"/>
        </w:rPr>
        <w:t>ng the health system through organisational reforms, optimising financial resources, reforming the primary health system, and reorienting health services. Finally, measures in component 3.4 (Increase access to effective and inclusive social policies) perta</w:t>
      </w:r>
      <w:r>
        <w:rPr>
          <w:rFonts w:ascii="Times New Roman" w:eastAsia="Times New Roman" w:hAnsi="Times New Roman" w:cs="Times New Roman"/>
          <w:noProof/>
          <w:sz w:val="24"/>
          <w:szCs w:val="24"/>
        </w:rPr>
        <w:t>in to active inclusion of vulnerable population groups, reinforcing early childhood education and care, and combating discrimination.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fourth pillar combines measures to strengthen public administration, justice, and the financial system, promote resear</w:t>
      </w:r>
      <w:r>
        <w:rPr>
          <w:rFonts w:ascii="Times New Roman" w:eastAsia="Times New Roman" w:hAnsi="Times New Roman" w:cs="Times New Roman"/>
          <w:b/>
          <w:bCs/>
          <w:noProof/>
          <w:sz w:val="24"/>
          <w:szCs w:val="24"/>
        </w:rPr>
        <w:t>ch and innovation, enhance competitiveness in key sectors, and facilitate private investment.</w:t>
      </w:r>
      <w:r>
        <w:rPr>
          <w:rFonts w:ascii="Times New Roman" w:eastAsia="Times New Roman" w:hAnsi="Times New Roman" w:cs="Times New Roman"/>
          <w:noProof/>
          <w:sz w:val="24"/>
          <w:szCs w:val="24"/>
        </w:rPr>
        <w:t xml:space="preserve"> Components 4.1 (Making taxes more growth friendly, and improving tax administration and tax collection) and 4.2 (Modernise the public administration) describe tax</w:t>
      </w:r>
      <w:r>
        <w:rPr>
          <w:rFonts w:ascii="Times New Roman" w:eastAsia="Times New Roman" w:hAnsi="Times New Roman" w:cs="Times New Roman"/>
          <w:noProof/>
          <w:sz w:val="24"/>
          <w:szCs w:val="24"/>
        </w:rPr>
        <w:t xml:space="preserve"> policy and tax administration measures (including digitalisation) to contribute to the fight against tax evasion, as well as actions in selected areas of public administration, fight against corruption, public finance management, and public procurement. C</w:t>
      </w:r>
      <w:r>
        <w:rPr>
          <w:rFonts w:ascii="Times New Roman" w:eastAsia="Times New Roman" w:hAnsi="Times New Roman" w:cs="Times New Roman"/>
          <w:noProof/>
          <w:sz w:val="24"/>
          <w:szCs w:val="24"/>
        </w:rPr>
        <w:t xml:space="preserve">omponent 4.3 (Improve the efficiency of the justice system) aims at accelerating and digitalising judicial processes, while upgrading relevant infrastructures. Component 4.4 (Strengthen the financial sector and capital markets) includes a set of financial </w:t>
      </w:r>
      <w:r>
        <w:rPr>
          <w:rFonts w:ascii="Times New Roman" w:eastAsia="Times New Roman" w:hAnsi="Times New Roman" w:cs="Times New Roman"/>
          <w:noProof/>
          <w:sz w:val="24"/>
          <w:szCs w:val="24"/>
        </w:rPr>
        <w:t>system reforms, mainly to address private indebtedness, tackle information asymmetries between lenders and borrowers, as well as public sector entities and banks, and strengthen capital markets. Component 4.5 (Promote research and innovation) seeks to incr</w:t>
      </w:r>
      <w:r>
        <w:rPr>
          <w:rFonts w:ascii="Times New Roman" w:eastAsia="Times New Roman" w:hAnsi="Times New Roman" w:cs="Times New Roman"/>
          <w:noProof/>
          <w:sz w:val="24"/>
          <w:szCs w:val="24"/>
        </w:rPr>
        <w:t>ease R&amp;I public and private investment, strengthen the links between science and business, and develop R&amp;D infrastructure through a series of investments and reforms. A group of measures aiming to improve the competitiveness of key sectors of the Greek eco</w:t>
      </w:r>
      <w:r>
        <w:rPr>
          <w:rFonts w:ascii="Times New Roman" w:eastAsia="Times New Roman" w:hAnsi="Times New Roman" w:cs="Times New Roman"/>
          <w:noProof/>
          <w:sz w:val="24"/>
          <w:szCs w:val="24"/>
        </w:rPr>
        <w:t>nomy, namely tourism, culture, agriculture, aquaculture, manufacturing, and transport, are provided in component 4.6 (Modernise and improve resilience of key economic sectors) as recently promoted by the Commission Communication “Updating the 2020 New Indu</w:t>
      </w:r>
      <w:r>
        <w:rPr>
          <w:rFonts w:ascii="Times New Roman" w:eastAsia="Times New Roman" w:hAnsi="Times New Roman" w:cs="Times New Roman"/>
          <w:noProof/>
          <w:sz w:val="24"/>
          <w:szCs w:val="24"/>
        </w:rPr>
        <w:t>strial Strategy: Building a stronger Single Market for Europe’s recovery”</w:t>
      </w:r>
      <w:r>
        <w:rPr>
          <w:rStyle w:val="FootnoteReference"/>
          <w:rFonts w:ascii="Times New Roman" w:eastAsia="Times New Roman" w:hAnsi="Times New Roman" w:cs="Times New Roman"/>
          <w:noProof/>
          <w:sz w:val="24"/>
          <w:szCs w:val="24"/>
        </w:rPr>
        <w:footnoteReference w:id="24"/>
      </w:r>
      <w:r>
        <w:rPr>
          <w:rFonts w:ascii="Times New Roman" w:eastAsia="Times New Roman" w:hAnsi="Times New Roman" w:cs="Times New Roman"/>
          <w:noProof/>
          <w:sz w:val="24"/>
          <w:szCs w:val="24"/>
        </w:rPr>
        <w:t>. Component 4.7 (Improve competitiveness and promote private investment and trade) regards reforms that target at the improvement of the business environment and the simplification o</w:t>
      </w:r>
      <w:r>
        <w:rPr>
          <w:rFonts w:ascii="Times New Roman" w:eastAsia="Times New Roman" w:hAnsi="Times New Roman" w:cs="Times New Roman"/>
          <w:noProof/>
          <w:sz w:val="24"/>
          <w:szCs w:val="24"/>
        </w:rPr>
        <w:t>f the regulatory framework, complemented by the provision of financial incentives to the private economy, using RRF loans (see below).</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RRF loans are intended to incentivise private investment in transformative sectors of the economy.</w:t>
      </w:r>
      <w:r>
        <w:rPr>
          <w:rFonts w:ascii="Times New Roman" w:eastAsia="Times New Roman" w:hAnsi="Times New Roman" w:cs="Times New Roman"/>
          <w:noProof/>
          <w:sz w:val="24"/>
          <w:szCs w:val="24"/>
        </w:rPr>
        <w:t xml:space="preserve"> The reforms included i</w:t>
      </w:r>
      <w:r>
        <w:rPr>
          <w:rFonts w:ascii="Times New Roman" w:eastAsia="Times New Roman" w:hAnsi="Times New Roman" w:cs="Times New Roman"/>
          <w:noProof/>
          <w:sz w:val="24"/>
          <w:szCs w:val="24"/>
        </w:rPr>
        <w:t xml:space="preserve">n component 4.7 are complemented by Greece’s proposal to use RRF loans to increase private investment in five strategic areas, namely a) </w:t>
      </w:r>
      <w:r>
        <w:rPr>
          <w:rFonts w:ascii="Times New Roman" w:hAnsi="Times New Roman" w:cs="Times New Roman"/>
          <w:noProof/>
          <w:sz w:val="24"/>
          <w:szCs w:val="24"/>
        </w:rPr>
        <w:t>green transition, b) digital transformation, c) research and development, d) economies of scale through mergers, acquis</w:t>
      </w:r>
      <w:r>
        <w:rPr>
          <w:rFonts w:ascii="Times New Roman" w:hAnsi="Times New Roman" w:cs="Times New Roman"/>
          <w:noProof/>
          <w:sz w:val="24"/>
          <w:szCs w:val="24"/>
        </w:rPr>
        <w:t xml:space="preserve">itions and partnerships, and e) trade promotion, using three different channels. First, </w:t>
      </w:r>
      <w:r>
        <w:rPr>
          <w:rFonts w:ascii="Times New Roman" w:eastAsia="Times New Roman" w:hAnsi="Times New Roman" w:cs="Times New Roman"/>
          <w:noProof/>
          <w:sz w:val="24"/>
          <w:szCs w:val="24"/>
        </w:rPr>
        <w:t>funding will be provided through corporate bond purchases or syndicated loans alongside financial institutions and commercial banks, with a small participation by the b</w:t>
      </w:r>
      <w:r>
        <w:rPr>
          <w:rFonts w:ascii="Times New Roman" w:eastAsia="Times New Roman" w:hAnsi="Times New Roman" w:cs="Times New Roman"/>
          <w:noProof/>
          <w:sz w:val="24"/>
          <w:szCs w:val="24"/>
        </w:rPr>
        <w:t>eneficiaries. Second, the proposal includes the establishment of an equity platform targeting start-ups, scale-ups and dynamic SMEs in important sectors of the Greek economy. Third, the proposal includes the utilisation of a part of Greece’s InvestEU natio</w:t>
      </w:r>
      <w:r>
        <w:rPr>
          <w:rFonts w:ascii="Times New Roman" w:eastAsia="Times New Roman" w:hAnsi="Times New Roman" w:cs="Times New Roman"/>
          <w:noProof/>
          <w:sz w:val="24"/>
          <w:szCs w:val="24"/>
        </w:rPr>
        <w:t>nal compartment.</w:t>
      </w: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Pr>
          <w:noProof/>
        </w:rPr>
        <w:t xml:space="preserve"> Components and associated costs</w:t>
      </w:r>
    </w:p>
    <w:tbl>
      <w:tblPr>
        <w:tblW w:w="9345" w:type="dxa"/>
        <w:tblLayout w:type="fixed"/>
        <w:tblLook w:val="04A0" w:firstRow="1" w:lastRow="0" w:firstColumn="1" w:lastColumn="0" w:noHBand="0" w:noVBand="1"/>
      </w:tblPr>
      <w:tblGrid>
        <w:gridCol w:w="7095"/>
        <w:gridCol w:w="2250"/>
      </w:tblGrid>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176373" w:rsidRDefault="00E474D1">
            <w:pPr>
              <w:spacing w:before="60" w:after="60" w:line="240" w:lineRule="auto"/>
              <w:rPr>
                <w:rFonts w:ascii="Times New Roman" w:eastAsia="Calibri" w:hAnsi="Times New Roman" w:cs="Times New Roman"/>
                <w:noProof/>
              </w:rPr>
            </w:pPr>
            <w:r>
              <w:rPr>
                <w:rFonts w:ascii="Times New Roman" w:eastAsia="EC Square Sans Pro" w:hAnsi="Times New Roman" w:cs="Times New Roman"/>
                <w:b/>
                <w:bCs/>
                <w:noProof/>
                <w:u w:val="single"/>
              </w:rPr>
              <w:t>Component</w:t>
            </w:r>
            <w:r>
              <w:rPr>
                <w:rFonts w:ascii="Times New Roman" w:eastAsia="Calibri" w:hAnsi="Times New Roman" w:cs="Times New Roman"/>
                <w:noProof/>
              </w:rPr>
              <w:t xml:space="preserv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rsidR="00176373" w:rsidRDefault="00E474D1">
            <w:pPr>
              <w:spacing w:before="60" w:after="60" w:line="240" w:lineRule="auto"/>
              <w:jc w:val="right"/>
              <w:rPr>
                <w:rFonts w:ascii="Times New Roman" w:eastAsia="Calibri" w:hAnsi="Times New Roman" w:cs="Times New Roman"/>
                <w:noProof/>
                <w:u w:val="single"/>
              </w:rPr>
            </w:pPr>
            <w:r>
              <w:rPr>
                <w:rFonts w:ascii="Times New Roman" w:eastAsia="EC Square Sans Pro" w:hAnsi="Times New Roman" w:cs="Times New Roman"/>
                <w:b/>
                <w:bCs/>
                <w:noProof/>
                <w:u w:val="single"/>
              </w:rPr>
              <w:t>Costs (EUR million)</w:t>
            </w:r>
            <w:r>
              <w:rPr>
                <w:rFonts w:ascii="Times New Roman" w:eastAsia="Calibri" w:hAnsi="Times New Roman" w:cs="Times New Roman"/>
                <w:noProof/>
              </w:rPr>
              <w:t xml:space="preserve"> </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1.1 Power Up</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1 200</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1.2 Renovate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2 711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1.3 Recharge and refuel</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520</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1.4 Sustainable use of resources, climate resilience and environmental </w:t>
            </w:r>
            <w:r>
              <w:rPr>
                <w:rFonts w:ascii="Times New Roman" w:eastAsia="EC Square Sans Pro" w:hAnsi="Times New Roman" w:cs="Times New Roman"/>
                <w:noProof/>
              </w:rPr>
              <w:t>protection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1 763</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Total Costs Pillar 1: Green Transition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6 194</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2.1 Connect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522</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2.2 Modernise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1 281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2.3 Digitalisation of businesses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375</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Total Costs Pillar 2: Digital Transformation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2 178</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3.1 Increasing job creation and participation in the labour market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776</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3.2 Education, vocational education, training, and skills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2 311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3.3 Improve resilience, accessibility and sustainability of healthcare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1 486</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3.4 Increase access to effective and </w:t>
            </w:r>
            <w:r>
              <w:rPr>
                <w:rFonts w:ascii="Times New Roman" w:eastAsia="EC Square Sans Pro" w:hAnsi="Times New Roman" w:cs="Times New Roman"/>
                <w:noProof/>
              </w:rPr>
              <w:t>inclusive social policies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611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 xml:space="preserve">Total Costs Pillar 3: Employment, skills and social cohesion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5 184</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4.1 Making taxes more growth friendly, and improving tax administration and tax collection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187</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4.2 Modernise the public administration, including through </w:t>
            </w:r>
            <w:r>
              <w:rPr>
                <w:rFonts w:ascii="Times New Roman" w:eastAsia="EC Square Sans Pro" w:hAnsi="Times New Roman" w:cs="Times New Roman"/>
                <w:noProof/>
              </w:rPr>
              <w:t>speeding up the implementation of public investments, improving the public procurement framework, capacity building measures and fighting corruption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189</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4.3 Improve the efficiency of the justice system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251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4.4 Strengthen the financial sector and capital</w:t>
            </w:r>
            <w:r>
              <w:rPr>
                <w:rFonts w:ascii="Times New Roman" w:eastAsia="EC Square Sans Pro" w:hAnsi="Times New Roman" w:cs="Times New Roman"/>
                <w:noProof/>
              </w:rPr>
              <w:t xml:space="preserve"> markets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21</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4.5 Promote research and innovation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444</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4.6 Modernise and improve resilience of key economic sectors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3 743</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 xml:space="preserve">4.7 Improve competitiveness and promote private investment and trade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5</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noProof/>
              </w:rPr>
            </w:pPr>
            <w:r>
              <w:rPr>
                <w:rFonts w:ascii="Times New Roman" w:eastAsia="EC Square Sans Pro" w:hAnsi="Times New Roman" w:cs="Times New Roman"/>
                <w:noProof/>
              </w:rPr>
              <w:t>Technical Assistance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76373" w:rsidRDefault="00E474D1">
            <w:pPr>
              <w:spacing w:before="60" w:after="60" w:line="240" w:lineRule="auto"/>
              <w:jc w:val="right"/>
              <w:rPr>
                <w:rFonts w:ascii="Times New Roman" w:eastAsia="EC Square Sans Pro" w:hAnsi="Times New Roman" w:cs="Times New Roman"/>
                <w:noProof/>
              </w:rPr>
            </w:pPr>
            <w:r>
              <w:rPr>
                <w:rFonts w:ascii="Times New Roman" w:eastAsia="EC Square Sans Pro" w:hAnsi="Times New Roman" w:cs="Times New Roman"/>
                <w:noProof/>
              </w:rPr>
              <w:t>40</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 xml:space="preserve">Total Costs Pillar 4: Private </w:t>
            </w:r>
            <w:r>
              <w:rPr>
                <w:rFonts w:ascii="Times New Roman" w:eastAsia="EC Square Sans Pro" w:hAnsi="Times New Roman" w:cs="Times New Roman"/>
                <w:b/>
                <w:bCs/>
                <w:noProof/>
              </w:rPr>
              <w:t>investment and transformation of the economy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4 880</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Total Costs all Pillars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18 436</w:t>
            </w:r>
          </w:p>
        </w:tc>
      </w:tr>
      <w:tr w:rsidR="00176373">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rPr>
                <w:rFonts w:ascii="Times New Roman" w:eastAsia="EC Square Sans Pro" w:hAnsi="Times New Roman" w:cs="Times New Roman"/>
                <w:b/>
                <w:bCs/>
                <w:noProof/>
              </w:rPr>
            </w:pPr>
            <w:r>
              <w:rPr>
                <w:rFonts w:ascii="Times New Roman" w:eastAsia="EC Square Sans Pro" w:hAnsi="Times New Roman" w:cs="Times New Roman"/>
                <w:b/>
                <w:bCs/>
                <w:noProof/>
              </w:rPr>
              <w:t>RRF Loan Facility</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76373" w:rsidRDefault="00E474D1">
            <w:pPr>
              <w:spacing w:before="60" w:after="60" w:line="240" w:lineRule="auto"/>
              <w:jc w:val="right"/>
              <w:rPr>
                <w:rFonts w:ascii="Times New Roman" w:eastAsia="EC Square Sans Pro" w:hAnsi="Times New Roman" w:cs="Times New Roman"/>
                <w:b/>
                <w:bCs/>
                <w:noProof/>
              </w:rPr>
            </w:pPr>
            <w:r>
              <w:rPr>
                <w:rFonts w:ascii="Times New Roman" w:eastAsia="EC Square Sans Pro" w:hAnsi="Times New Roman" w:cs="Times New Roman"/>
                <w:b/>
                <w:bCs/>
                <w:noProof/>
              </w:rPr>
              <w:t>12 728 (loans)</w:t>
            </w:r>
          </w:p>
        </w:tc>
      </w:tr>
    </w:tbl>
    <w:p w:rsidR="00176373" w:rsidRDefault="00E474D1">
      <w:pPr>
        <w:pStyle w:val="Heading2"/>
        <w:numPr>
          <w:ilvl w:val="1"/>
          <w:numId w:val="10"/>
        </w:numPr>
        <w:rPr>
          <w:i/>
          <w:noProof/>
        </w:rPr>
      </w:pPr>
      <w:bookmarkStart w:id="175" w:name="_Toc66388702"/>
      <w:bookmarkStart w:id="176" w:name="_Toc72326488"/>
      <w:bookmarkStart w:id="177" w:name="_Toc72326519"/>
      <w:bookmarkStart w:id="178" w:name="_Toc74305322"/>
      <w:bookmarkStart w:id="179" w:name="_Toc62818215"/>
      <w:bookmarkStart w:id="180" w:name="_Toc62818762"/>
      <w:bookmarkStart w:id="181" w:name="_Toc63417217"/>
      <w:bookmarkStart w:id="182" w:name="_Toc63418907"/>
      <w:bookmarkStart w:id="183" w:name="_Toc63418932"/>
      <w:bookmarkStart w:id="184" w:name="_Toc64281618"/>
      <w:bookmarkStart w:id="185" w:name="_Toc71665330"/>
      <w:bookmarkStart w:id="186" w:name="_Toc71740459"/>
      <w:bookmarkStart w:id="187" w:name="_Toc71792454"/>
      <w:bookmarkStart w:id="188" w:name="_Toc72158505"/>
      <w:bookmarkStart w:id="189" w:name="_Toc72170708"/>
      <w:bookmarkStart w:id="190" w:name="_Toc72176836"/>
      <w:bookmarkStart w:id="191" w:name="_Toc72179407"/>
      <w:bookmarkStart w:id="192" w:name="_Toc72176045"/>
      <w:bookmarkStart w:id="193" w:name="_Toc72181718"/>
      <w:bookmarkStart w:id="194" w:name="_Toc72178567"/>
      <w:bookmarkStart w:id="195" w:name="_Toc72182454"/>
      <w:bookmarkStart w:id="196" w:name="_Toc72183451"/>
      <w:bookmarkStart w:id="197" w:name="_Toc72187265"/>
      <w:bookmarkEnd w:id="175"/>
      <w:r>
        <w:rPr>
          <w:noProof/>
        </w:rPr>
        <w:t>Implementation aspects of the plan</w:t>
      </w:r>
      <w:bookmarkEnd w:id="176"/>
      <w:bookmarkEnd w:id="177"/>
      <w:bookmarkEnd w:id="178"/>
      <w:r>
        <w:rPr>
          <w:noProof/>
        </w:rPr>
        <w:t xml:space="preserve">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176373" w:rsidRDefault="00E474D1">
      <w:pPr>
        <w:pStyle w:val="headingitalics"/>
        <w:rPr>
          <w:noProof/>
        </w:rPr>
      </w:pPr>
      <w:bookmarkStart w:id="198" w:name="_Toc86690906"/>
      <w:r>
        <w:rPr>
          <w:noProof/>
        </w:rPr>
        <w:t>Consistency with other programmes</w:t>
      </w:r>
      <w:bookmarkEnd w:id="198"/>
    </w:p>
    <w:p w:rsidR="00176373" w:rsidRDefault="00E474D1">
      <w:pPr>
        <w:spacing w:after="120"/>
        <w:jc w:val="both"/>
        <w:rPr>
          <w:rFonts w:ascii="Times New Roman" w:eastAsia="Times New Roman" w:hAnsi="Times New Roman" w:cs="Times New Roman"/>
          <w:noProof/>
          <w:sz w:val="24"/>
          <w:szCs w:val="24"/>
          <w:highlight w:val="yellow"/>
        </w:rPr>
      </w:pPr>
      <w:r>
        <w:rPr>
          <w:rFonts w:ascii="Times New Roman" w:eastAsia="Times New Roman" w:hAnsi="Times New Roman" w:cs="Times New Roman"/>
          <w:b/>
          <w:bCs/>
          <w:noProof/>
          <w:sz w:val="24"/>
          <w:szCs w:val="24"/>
        </w:rPr>
        <w:t>The recovery and resilience plan provides detailed justification for</w:t>
      </w:r>
      <w:r>
        <w:rPr>
          <w:rFonts w:ascii="Times New Roman" w:eastAsia="Times New Roman" w:hAnsi="Times New Roman" w:cs="Times New Roman"/>
          <w:b/>
          <w:bCs/>
          <w:noProof/>
          <w:sz w:val="24"/>
          <w:szCs w:val="24"/>
        </w:rPr>
        <w:t xml:space="preserve"> its alignment to the goals, priorities and policy and reform recommendations of other national broad plans.</w:t>
      </w:r>
      <w:r>
        <w:rPr>
          <w:rFonts w:ascii="Times New Roman" w:eastAsia="Times New Roman" w:hAnsi="Times New Roman" w:cs="Times New Roman"/>
          <w:noProof/>
          <w:sz w:val="24"/>
          <w:szCs w:val="24"/>
        </w:rPr>
        <w:t xml:space="preserve"> The recovery and resilience plan is part of the National Plan of Government Policies (NPGP) 2021. It is also interlinked and consistent with reform</w:t>
      </w:r>
      <w:r>
        <w:rPr>
          <w:rFonts w:ascii="Times New Roman" w:eastAsia="Times New Roman" w:hAnsi="Times New Roman" w:cs="Times New Roman"/>
          <w:noProof/>
          <w:sz w:val="24"/>
          <w:szCs w:val="24"/>
        </w:rPr>
        <w:t>s from the National Reform Plan (NRP). In some instances, the reforms from the plan are broader than the corresponding ones presented in other national documents, covering more fields. The plan states that reforms that are listed only in the plan and are n</w:t>
      </w:r>
      <w:r>
        <w:rPr>
          <w:rFonts w:ascii="Times New Roman" w:eastAsia="Times New Roman" w:hAnsi="Times New Roman" w:cs="Times New Roman"/>
          <w:noProof/>
          <w:sz w:val="24"/>
          <w:szCs w:val="24"/>
        </w:rPr>
        <w:t xml:space="preserve">ew to the NRP, range between 5-10% of the NRP (less than 15 reforms), but will be added to the NRP on its regular revision.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is consistent with the National Energy and Climate Plan</w:t>
      </w:r>
      <w:r>
        <w:rPr>
          <w:rFonts w:ascii="Times New Roman" w:eastAsia="Times New Roman" w:hAnsi="Times New Roman" w:cs="Times New Roman"/>
          <w:noProof/>
          <w:sz w:val="24"/>
          <w:szCs w:val="24"/>
        </w:rPr>
        <w:t>, which includes reforms and investments th</w:t>
      </w:r>
      <w:r>
        <w:rPr>
          <w:rFonts w:ascii="Times New Roman" w:eastAsia="Times New Roman" w:hAnsi="Times New Roman" w:cs="Times New Roman"/>
          <w:noProof/>
          <w:sz w:val="24"/>
          <w:szCs w:val="24"/>
        </w:rPr>
        <w:t>at will facilitate reaching climate and energy targets for 2030 and paving the path towards climate neutrality by 2050. Notably, the “Green Transition” pillar of the plan supports the transition towards a low-carbon energy system, with increased participat</w:t>
      </w:r>
      <w:r>
        <w:rPr>
          <w:rFonts w:ascii="Times New Roman" w:eastAsia="Times New Roman" w:hAnsi="Times New Roman" w:cs="Times New Roman"/>
          <w:noProof/>
          <w:sz w:val="24"/>
          <w:szCs w:val="24"/>
        </w:rPr>
        <w:t>ion of renewable energy sources in energy consumption, improved energy efficiency of the domestic building stock (household, public and commercial buildings), and a “greener” and more sustainable transport system (with emphasis on the use of electromobilit</w:t>
      </w:r>
      <w:r>
        <w:rPr>
          <w:rFonts w:ascii="Times New Roman" w:eastAsia="Times New Roman" w:hAnsi="Times New Roman" w:cs="Times New Roman"/>
          <w:noProof/>
          <w:sz w:val="24"/>
          <w:szCs w:val="24"/>
        </w:rPr>
        <w:t xml:space="preserve">y and electric vehicles).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recovery and resilience plan is consistent with the National Transport Strategic Plan</w:t>
      </w:r>
      <w:r>
        <w:rPr>
          <w:rFonts w:ascii="Times New Roman" w:eastAsia="Times New Roman" w:hAnsi="Times New Roman" w:cs="Times New Roman"/>
          <w:noProof/>
          <w:sz w:val="24"/>
          <w:szCs w:val="24"/>
        </w:rPr>
        <w:t>, as it acknowledges the importance of developing modern, sustainable, accessible and climate change resilient transport infrastructur</w:t>
      </w:r>
      <w:r>
        <w:rPr>
          <w:rFonts w:ascii="Times New Roman" w:eastAsia="Times New Roman" w:hAnsi="Times New Roman" w:cs="Times New Roman"/>
          <w:noProof/>
          <w:sz w:val="24"/>
          <w:szCs w:val="24"/>
        </w:rPr>
        <w:t>es. It acknowledges the enhancement of resilience against threats and risks of any kind as a crucial element of economic and societal development and progress. As a result, it incorporates the strategic guidelines, objectives and detailed targets of the Na</w:t>
      </w:r>
      <w:r>
        <w:rPr>
          <w:rFonts w:ascii="Times New Roman" w:eastAsia="Times New Roman" w:hAnsi="Times New Roman" w:cs="Times New Roman"/>
          <w:noProof/>
          <w:sz w:val="24"/>
          <w:szCs w:val="24"/>
        </w:rPr>
        <w:t>tional Plan for Crisis Management and Hazard Mitigation.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also takes into account the objectives and priorities presented in the draft National and Territorial Just Transition Plans and facilitates the just and viable socio-economic transition of t</w:t>
      </w:r>
      <w:r>
        <w:rPr>
          <w:rFonts w:ascii="Times New Roman" w:eastAsia="Times New Roman" w:hAnsi="Times New Roman" w:cs="Times New Roman"/>
          <w:b/>
          <w:bCs/>
          <w:noProof/>
          <w:sz w:val="24"/>
          <w:szCs w:val="24"/>
        </w:rPr>
        <w:t>he coal-dependent areas through dedicated reforms and investments.</w:t>
      </w:r>
      <w:r>
        <w:rPr>
          <w:rFonts w:ascii="Times New Roman" w:eastAsia="Times New Roman" w:hAnsi="Times New Roman" w:cs="Times New Roman"/>
          <w:noProof/>
          <w:sz w:val="24"/>
          <w:szCs w:val="24"/>
        </w:rPr>
        <w:t xml:space="preserve"> The “Green Transition” pillar, and specifically Component 1.1, includes investments for the restoration, rehabilitation and upgrading of lignite zones in Western Macedonia and Megalopolis, </w:t>
      </w:r>
      <w:r>
        <w:rPr>
          <w:rFonts w:ascii="Times New Roman" w:eastAsia="Times New Roman" w:hAnsi="Times New Roman" w:cs="Times New Roman"/>
          <w:noProof/>
          <w:sz w:val="24"/>
          <w:szCs w:val="24"/>
        </w:rPr>
        <w:t>to accommodate new uses according to the five growth pillars detailed in the draft Just Transition Plan: (i) clean energy, (ii) smart agricultural production, (iii) sustainable tourism, (iv) industry, handicrafts and trade, and (v) technology and education</w:t>
      </w:r>
      <w:r>
        <w:rPr>
          <w:rFonts w:ascii="Times New Roman" w:eastAsia="Times New Roman" w:hAnsi="Times New Roman" w:cs="Times New Roman"/>
          <w:noProof/>
          <w:sz w:val="24"/>
          <w:szCs w:val="24"/>
        </w:rPr>
        <w:t>. These works are expected to create new jobs for the local workforce, as well as a range of novel growth opportunities.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is also designed to operate in consistency, complementarity, and cooperation with the new Greek Partne</w:t>
      </w:r>
      <w:r>
        <w:rPr>
          <w:rFonts w:ascii="Times New Roman" w:eastAsia="Times New Roman" w:hAnsi="Times New Roman" w:cs="Times New Roman"/>
          <w:b/>
          <w:bCs/>
          <w:noProof/>
          <w:sz w:val="24"/>
          <w:szCs w:val="24"/>
        </w:rPr>
        <w:t>rship Agreement for the Development Framework for the 2021-2027 Programming Period of the Cohesion Policy funds</w:t>
      </w:r>
      <w:r>
        <w:rPr>
          <w:rFonts w:ascii="Times New Roman" w:eastAsia="Times New Roman" w:hAnsi="Times New Roman" w:cs="Times New Roman"/>
          <w:noProof/>
          <w:sz w:val="24"/>
          <w:szCs w:val="24"/>
        </w:rPr>
        <w:t>, and its sectoral and regional programmes. On the one hand, the plan incorporates the strategic directions, objectives and priorities of the new</w:t>
      </w:r>
      <w:r>
        <w:rPr>
          <w:rFonts w:ascii="Times New Roman" w:eastAsia="Times New Roman" w:hAnsi="Times New Roman" w:cs="Times New Roman"/>
          <w:noProof/>
          <w:sz w:val="24"/>
          <w:szCs w:val="24"/>
        </w:rPr>
        <w:t xml:space="preserve"> draft Partnership Agreement, while on the other hand it draws from and builds on the outcomes and the experience from implementing the Partnership Agreement for the previous MFF period (2014 – 2020). Along with the Common Agricultural Policy, the three in</w:t>
      </w:r>
      <w:r>
        <w:rPr>
          <w:rFonts w:ascii="Times New Roman" w:eastAsia="Times New Roman" w:hAnsi="Times New Roman" w:cs="Times New Roman"/>
          <w:noProof/>
          <w:sz w:val="24"/>
          <w:szCs w:val="24"/>
        </w:rPr>
        <w:t>struments contribute the bulk of investment funds to be deployed in the Greek economy in the following nine years. The new Partnership Agreement for the 2021 – 2027 Programming Period, currently in draft form, is structured around five key Policy Objective</w:t>
      </w:r>
      <w:r>
        <w:rPr>
          <w:rFonts w:ascii="Times New Roman" w:eastAsia="Times New Roman" w:hAnsi="Times New Roman" w:cs="Times New Roman"/>
          <w:noProof/>
          <w:sz w:val="24"/>
          <w:szCs w:val="24"/>
        </w:rPr>
        <w:t>s (PO) and a Special Objective linked to the Just Transition Fund, presented in a manner consistent with the strategic priorities, the goals and the respective components of the recovery and resilience plan. Throughout the implementation, it will be import</w:t>
      </w:r>
      <w:r>
        <w:rPr>
          <w:rFonts w:ascii="Times New Roman" w:eastAsia="Times New Roman" w:hAnsi="Times New Roman" w:cs="Times New Roman"/>
          <w:noProof/>
          <w:sz w:val="24"/>
          <w:szCs w:val="24"/>
        </w:rPr>
        <w:t>ant to ensure appropriate coordination between the Recovery and Resilience Plan and the operational programmes co-financed by the Cohesion Policy funds, exploit synergies and avoid overlaps in order to maximise impact of the investments and safeguard effic</w:t>
      </w:r>
      <w:r>
        <w:rPr>
          <w:rFonts w:ascii="Times New Roman" w:eastAsia="Times New Roman" w:hAnsi="Times New Roman" w:cs="Times New Roman"/>
          <w:noProof/>
          <w:sz w:val="24"/>
          <w:szCs w:val="24"/>
        </w:rPr>
        <w:t>iency.</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pillars of “Green Transition,” “Digital Transformation”, “Private investments and transformation of the economy” and “Employment, skills and social cohesion” comprise investments and reforms which contribute directly and indirectly to job creati</w:t>
      </w:r>
      <w:r>
        <w:rPr>
          <w:rFonts w:ascii="Times New Roman" w:eastAsia="Times New Roman" w:hAnsi="Times New Roman" w:cs="Times New Roman"/>
          <w:b/>
          <w:bCs/>
          <w:noProof/>
          <w:sz w:val="24"/>
          <w:szCs w:val="24"/>
        </w:rPr>
        <w:t>on, to enhancing youth employment and interact with the Youth Guarantee Implementation Plan</w:t>
      </w:r>
      <w:r>
        <w:rPr>
          <w:rFonts w:ascii="Times New Roman" w:eastAsia="Times New Roman" w:hAnsi="Times New Roman" w:cs="Times New Roman"/>
          <w:noProof/>
          <w:sz w:val="24"/>
          <w:szCs w:val="24"/>
        </w:rPr>
        <w:t>. Reforms and investments included in the “Employment, skills and social cohesion” pillar aim at increasing long-term employment, employability and labour productivi</w:t>
      </w:r>
      <w:r>
        <w:rPr>
          <w:rFonts w:ascii="Times New Roman" w:eastAsia="Times New Roman" w:hAnsi="Times New Roman" w:cs="Times New Roman"/>
          <w:noProof/>
          <w:sz w:val="24"/>
          <w:szCs w:val="24"/>
        </w:rPr>
        <w:t>ty through labour market reforms, modernization of active and passive labour market policies (including measures targeted to the young unemployed individuals), upgrading the mechanisms for diagnosis of labour market needs, and reforming and digitalizing th</w:t>
      </w:r>
      <w:r>
        <w:rPr>
          <w:rFonts w:ascii="Times New Roman" w:eastAsia="Times New Roman" w:hAnsi="Times New Roman" w:cs="Times New Roman"/>
          <w:noProof/>
          <w:sz w:val="24"/>
          <w:szCs w:val="24"/>
        </w:rPr>
        <w:t>e Public Employment Service (OAED). These reforms and investments are related to the goals and priorities of the National Youth Guarantee Implementation Plan, and complement its activities, while they are expected to operate as complements in mitigating th</w:t>
      </w:r>
      <w:r>
        <w:rPr>
          <w:rFonts w:ascii="Times New Roman" w:eastAsia="Times New Roman" w:hAnsi="Times New Roman" w:cs="Times New Roman"/>
          <w:noProof/>
          <w:sz w:val="24"/>
          <w:szCs w:val="24"/>
        </w:rPr>
        <w:t>e employment and social impact of the COVID-19 pandemic.</w:t>
      </w:r>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Consistency with the challenges and priorities identified in the most recent euro area recommendation</w:t>
      </w:r>
      <w:r>
        <w:rPr>
          <w:rStyle w:val="FootnoteReference"/>
          <w:rFonts w:ascii="Times New Roman" w:eastAsia="Times New Roman" w:hAnsi="Times New Roman" w:cs="Times New Roman"/>
          <w:i/>
          <w:iCs/>
          <w:noProof/>
          <w:sz w:val="24"/>
          <w:szCs w:val="24"/>
        </w:rPr>
        <w:footnoteReference w:id="25"/>
      </w:r>
      <w:r>
        <w:rPr>
          <w:rFonts w:ascii="Times New Roman" w:eastAsia="Times New Roman" w:hAnsi="Times New Roman" w:cs="Times New Roman"/>
          <w:i/>
          <w:iCs/>
          <w:noProof/>
          <w:sz w:val="24"/>
          <w:szCs w:val="24"/>
        </w:rPr>
        <w:t xml:space="preserve"> </w:t>
      </w:r>
    </w:p>
    <w:p w:rsidR="00176373" w:rsidRDefault="00E474D1">
      <w:pPr>
        <w:spacing w:before="240" w:after="240"/>
        <w:jc w:val="both"/>
        <w:rPr>
          <w:rFonts w:ascii="Times New Roman" w:hAnsi="Times New Roman" w:cs="Times New Roman"/>
          <w:b/>
          <w:noProof/>
          <w:sz w:val="24"/>
          <w:szCs w:val="24"/>
        </w:rPr>
      </w:pPr>
      <w:r>
        <w:rPr>
          <w:rFonts w:ascii="Times New Roman" w:hAnsi="Times New Roman" w:cs="Times New Roman"/>
          <w:b/>
          <w:bCs/>
          <w:noProof/>
          <w:sz w:val="24"/>
          <w:szCs w:val="24"/>
        </w:rPr>
        <w:t>The Recovery and Resilience Plan is also consistent with the challenges and priorities identifi</w:t>
      </w:r>
      <w:r>
        <w:rPr>
          <w:rFonts w:ascii="Times New Roman" w:hAnsi="Times New Roman" w:cs="Times New Roman"/>
          <w:b/>
          <w:bCs/>
          <w:noProof/>
          <w:sz w:val="24"/>
          <w:szCs w:val="24"/>
        </w:rPr>
        <w:t xml:space="preserve">ed in the most recent euro area recommendations and the European Flagships identified in the Annual Sustainable Growth Strategy. </w:t>
      </w:r>
      <w:r>
        <w:rPr>
          <w:rFonts w:ascii="Times New Roman" w:hAnsi="Times New Roman" w:cs="Times New Roman"/>
          <w:noProof/>
          <w:sz w:val="24"/>
          <w:szCs w:val="24"/>
        </w:rPr>
        <w:t xml:space="preserve">In particular, the Recovery and Resilience Plan includes reforms linked to improving the business environment, the efficiency of the public administration, and the quality and efficiency of the justice system through component 4.7 (Improve competitiveness </w:t>
      </w:r>
      <w:r>
        <w:rPr>
          <w:rFonts w:ascii="Times New Roman" w:hAnsi="Times New Roman" w:cs="Times New Roman"/>
          <w:noProof/>
          <w:sz w:val="24"/>
          <w:szCs w:val="24"/>
        </w:rPr>
        <w:t>and promote private investment and trade), component 2.2 (Modernise), component 4.2 (Modernise the Public Administration) and component 4.3 (Improve the efficiency of the Justice System). Reforms regarding the anti-money laundering framework, fight against</w:t>
      </w:r>
      <w:r>
        <w:rPr>
          <w:rFonts w:ascii="Times New Roman" w:hAnsi="Times New Roman" w:cs="Times New Roman"/>
          <w:noProof/>
          <w:sz w:val="24"/>
          <w:szCs w:val="24"/>
        </w:rPr>
        <w:t xml:space="preserve"> corruption and securing tax collection capacity are addressed through component 4.1 (Making taxes more growth friendly, and improving tax administration and tax collection) and component 4.2 (Modernise the Public Administration), which will enhance the </w:t>
      </w:r>
      <w:r>
        <w:rPr>
          <w:rFonts w:ascii="Times New Roman" w:hAnsi="Times New Roman" w:cs="Times New Roman"/>
          <w:noProof/>
          <w:color w:val="333333"/>
          <w:sz w:val="24"/>
          <w:szCs w:val="24"/>
          <w:highlight w:val="white"/>
        </w:rPr>
        <w:t>AM</w:t>
      </w:r>
      <w:r>
        <w:rPr>
          <w:rFonts w:ascii="Times New Roman" w:hAnsi="Times New Roman" w:cs="Times New Roman"/>
          <w:noProof/>
          <w:color w:val="333333"/>
          <w:sz w:val="24"/>
          <w:szCs w:val="24"/>
          <w:highlight w:val="white"/>
        </w:rPr>
        <w:t>L/CFT framework, as well as</w:t>
      </w:r>
      <w:r>
        <w:rPr>
          <w:rFonts w:ascii="Times New Roman" w:hAnsi="Times New Roman" w:cs="Times New Roman"/>
          <w:noProof/>
          <w:sz w:val="24"/>
          <w:szCs w:val="24"/>
        </w:rPr>
        <w:t xml:space="preserve"> modernize and digitalise the relevant infrastructures and databases. In this context, EU directives have already been embedded in the Greek law to enhance transparency, expand the application of anti-money laundering and counter</w:t>
      </w:r>
      <w:r>
        <w:rPr>
          <w:rFonts w:ascii="Times New Roman" w:hAnsi="Times New Roman" w:cs="Times New Roman"/>
          <w:noProof/>
          <w:sz w:val="24"/>
          <w:szCs w:val="24"/>
        </w:rPr>
        <w:t xml:space="preserve"> terrorism financing, such as through the transposition of the AMLD5 in October 2020 (Law 4734/2020 amending Law 4557/2018).</w:t>
      </w:r>
    </w:p>
    <w:p w:rsidR="00176373" w:rsidRDefault="00E474D1">
      <w:pPr>
        <w:pStyle w:val="headingitalics"/>
        <w:rPr>
          <w:noProof/>
        </w:rPr>
      </w:pPr>
      <w:bookmarkStart w:id="199" w:name="_Toc30800443"/>
      <w:bookmarkStart w:id="200" w:name="_Toc72326489"/>
      <w:bookmarkStart w:id="201" w:name="_Toc72326520"/>
      <w:r>
        <w:rPr>
          <w:noProof/>
        </w:rPr>
        <w:t>National arrangements for the implementation of the plan</w:t>
      </w:r>
      <w:bookmarkEnd w:id="199"/>
      <w:bookmarkEnd w:id="200"/>
      <w:bookmarkEnd w:id="201"/>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implementation of the recovery and resilience plan will be coordinated</w:t>
      </w:r>
      <w:r>
        <w:rPr>
          <w:rFonts w:ascii="Times New Roman" w:eastAsia="Times New Roman" w:hAnsi="Times New Roman" w:cs="Times New Roman"/>
          <w:b/>
          <w:bCs/>
          <w:noProof/>
          <w:sz w:val="24"/>
          <w:szCs w:val="24"/>
        </w:rPr>
        <w:t xml:space="preserve"> by the dedicated Coordination Agency (RRF). </w:t>
      </w:r>
      <w:r>
        <w:rPr>
          <w:rFonts w:ascii="Times New Roman" w:eastAsia="Times New Roman" w:hAnsi="Times New Roman" w:cs="Times New Roman"/>
          <w:noProof/>
          <w:sz w:val="24"/>
          <w:szCs w:val="24"/>
        </w:rPr>
        <w:t>A tailored-made Management and Control System (hereafter MCS) has been set-up to control the implementation of the plan. The System is developed under the direct management of the Recovery and Resilience Facilit</w:t>
      </w:r>
      <w:r>
        <w:rPr>
          <w:rFonts w:ascii="Times New Roman" w:eastAsia="Times New Roman" w:hAnsi="Times New Roman" w:cs="Times New Roman"/>
          <w:noProof/>
          <w:sz w:val="24"/>
          <w:szCs w:val="24"/>
        </w:rPr>
        <w:t xml:space="preserve">y Coordination Agency, which has the overall responsibility for the implementation of the national recovery and resilience plan and constitutes the single point of contact (“the coordinator”) between the Greek Authorities and the European Commission (EC). </w:t>
      </w:r>
      <w:r>
        <w:rPr>
          <w:rFonts w:ascii="Times New Roman" w:eastAsia="Times New Roman" w:hAnsi="Times New Roman" w:cs="Times New Roman"/>
          <w:noProof/>
          <w:sz w:val="24"/>
          <w:szCs w:val="24"/>
        </w:rPr>
        <w:t xml:space="preserve">(See also section 4.8). </w:t>
      </w:r>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plan foresees the use of the Recovery and Resilience Facility to support and strengthen the management and control system of the Recovery and Resilience Facility Coordination Agency</w:t>
      </w:r>
      <w:r>
        <w:rPr>
          <w:rFonts w:ascii="Times New Roman" w:eastAsia="Times New Roman" w:hAnsi="Times New Roman" w:cs="Times New Roman"/>
          <w:noProof/>
          <w:sz w:val="24"/>
          <w:szCs w:val="24"/>
        </w:rPr>
        <w:t xml:space="preserve"> to meet the increased obligations of th</w:t>
      </w:r>
      <w:r>
        <w:rPr>
          <w:rFonts w:ascii="Times New Roman" w:eastAsia="Times New Roman" w:hAnsi="Times New Roman" w:cs="Times New Roman"/>
          <w:noProof/>
          <w:sz w:val="24"/>
          <w:szCs w:val="24"/>
        </w:rPr>
        <w:t>e national plan and to enable its efficient and effective implementation. The financial support of specific activities, such as the close monitoring of projects’ progress, audits and on-the-spot inspections, certifications, provision of information and pub</w:t>
      </w:r>
      <w:r>
        <w:rPr>
          <w:rFonts w:ascii="Times New Roman" w:eastAsia="Times New Roman" w:hAnsi="Times New Roman" w:cs="Times New Roman"/>
          <w:noProof/>
          <w:sz w:val="24"/>
          <w:szCs w:val="24"/>
        </w:rPr>
        <w:t>licity actions, is considered essential for the achievement of the recovery and resilience plan’s purposes.</w:t>
      </w:r>
    </w:p>
    <w:p w:rsidR="00176373" w:rsidRDefault="00E474D1">
      <w:pPr>
        <w:pStyle w:val="headingitalics"/>
        <w:rPr>
          <w:noProof/>
        </w:rPr>
      </w:pPr>
      <w:bookmarkStart w:id="202" w:name="_Toc915157953"/>
      <w:r>
        <w:rPr>
          <w:noProof/>
        </w:rPr>
        <w:t>Gender equality and equal opportunities for all</w:t>
      </w:r>
      <w:bookmarkEnd w:id="202"/>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Regarding the gender equality and equal opportunities for all, the plan addresses the needs of women</w:t>
      </w:r>
      <w:r>
        <w:rPr>
          <w:rFonts w:ascii="Times New Roman" w:eastAsia="Times New Roman" w:hAnsi="Times New Roman" w:cs="Times New Roman"/>
          <w:b/>
          <w:bCs/>
          <w:noProof/>
          <w:sz w:val="24"/>
          <w:szCs w:val="24"/>
        </w:rPr>
        <w:t xml:space="preserve"> and several disadvantaged groups, particularly via the measures proposed under pillar 3 (employment, skills, and social cohesion). </w:t>
      </w:r>
      <w:r>
        <w:rPr>
          <w:rFonts w:ascii="Times New Roman" w:eastAsia="Times New Roman" w:hAnsi="Times New Roman" w:cs="Times New Roman"/>
          <w:noProof/>
          <w:sz w:val="24"/>
          <w:szCs w:val="24"/>
        </w:rPr>
        <w:t>In 2020 the labour market participation rate of women in Greece was 51.8%, against 70.7% for men. Female labour market parti</w:t>
      </w:r>
      <w:r>
        <w:rPr>
          <w:rFonts w:ascii="Times New Roman" w:eastAsia="Times New Roman" w:hAnsi="Times New Roman" w:cs="Times New Roman"/>
          <w:noProof/>
          <w:sz w:val="24"/>
          <w:szCs w:val="24"/>
        </w:rPr>
        <w:t>cipation in Greece is one of the lowest among EU Member States, and significantly lower than the European average (66.8%). The third pillar of the Greek plan includes policies and measures strengthening the work life balance for both genders, and promoting</w:t>
      </w:r>
      <w:r>
        <w:rPr>
          <w:rFonts w:ascii="Times New Roman" w:eastAsia="Times New Roman" w:hAnsi="Times New Roman" w:cs="Times New Roman"/>
          <w:noProof/>
          <w:sz w:val="24"/>
          <w:szCs w:val="24"/>
        </w:rPr>
        <w:t xml:space="preserve"> female labour participation, in particular through investment in childcare. The creation of new childcare units (with emphasis on places for infants and children up to 2.5 years old), the creation of childcare facilities in private companies and developme</w:t>
      </w:r>
      <w:r>
        <w:rPr>
          <w:rFonts w:ascii="Times New Roman" w:eastAsia="Times New Roman" w:hAnsi="Times New Roman" w:cs="Times New Roman"/>
          <w:noProof/>
          <w:sz w:val="24"/>
          <w:szCs w:val="24"/>
        </w:rPr>
        <w:t>nt of a comprehensive learning curriculum will increase the coverage and quality of childcare services, thus enhancing equal opportunities for women to remain in the labour market. Equal opportunities are further addressed by labour market activation progr</w:t>
      </w:r>
      <w:r>
        <w:rPr>
          <w:rFonts w:ascii="Times New Roman" w:eastAsia="Times New Roman" w:hAnsi="Times New Roman" w:cs="Times New Roman"/>
          <w:noProof/>
          <w:sz w:val="24"/>
          <w:szCs w:val="24"/>
        </w:rPr>
        <w:t xml:space="preserve">ammes for vulnerable groups such as persons with disabilities, migrants and guaranteed minimum income recipients as well as by initiatives to promote diversity awareness. Furthermore, the third pillar of the plan includes the strengthening of the Equality </w:t>
      </w:r>
      <w:r>
        <w:rPr>
          <w:rFonts w:ascii="Times New Roman" w:eastAsia="Times New Roman" w:hAnsi="Times New Roman" w:cs="Times New Roman"/>
          <w:noProof/>
          <w:sz w:val="24"/>
          <w:szCs w:val="24"/>
        </w:rPr>
        <w:t>Observatory of the Ministry of Labour and Social Affairs, in order to support data collection and data processing, with a view to better describe inequalities and discrimination. This will also facilitate the assessment of progress made in the field of equ</w:t>
      </w:r>
      <w:r>
        <w:rPr>
          <w:rFonts w:ascii="Times New Roman" w:eastAsia="Times New Roman" w:hAnsi="Times New Roman" w:cs="Times New Roman"/>
          <w:noProof/>
          <w:sz w:val="24"/>
          <w:szCs w:val="24"/>
        </w:rPr>
        <w:t>ality and equal opportunities for all.</w:t>
      </w:r>
    </w:p>
    <w:p w:rsidR="00176373" w:rsidRDefault="00E474D1">
      <w:pPr>
        <w:pStyle w:val="headingitalics"/>
        <w:rPr>
          <w:noProof/>
        </w:rPr>
      </w:pPr>
      <w:r>
        <w:rPr>
          <w:noProof/>
        </w:rPr>
        <w:t xml:space="preserve">Consultation process </w:t>
      </w:r>
    </w:p>
    <w:p w:rsidR="00176373" w:rsidRDefault="00E474D1">
      <w:pPr>
        <w:pStyle w:val="headingitalics"/>
        <w:rPr>
          <w:rFonts w:eastAsia="Times New Roman" w:cs="Times New Roman"/>
          <w:i w:val="0"/>
          <w:noProof/>
        </w:rPr>
      </w:pPr>
      <w:r>
        <w:rPr>
          <w:rFonts w:eastAsia="Times New Roman" w:cs="Times New Roman"/>
          <w:b/>
          <w:bCs/>
          <w:i w:val="0"/>
          <w:iCs w:val="0"/>
          <w:noProof/>
        </w:rPr>
        <w:t>Greece carried out a consultation process before submitting their Recovery and Resilience Plan.</w:t>
      </w:r>
      <w:r>
        <w:rPr>
          <w:rFonts w:eastAsia="Times New Roman" w:cs="Times New Roman"/>
          <w:i w:val="0"/>
          <w:iCs w:val="0"/>
          <w:noProof/>
        </w:rPr>
        <w:t xml:space="preserve"> In line with the principle of good governance, Greece carried out a stakeholder consultation after </w:t>
      </w:r>
      <w:r>
        <w:rPr>
          <w:rFonts w:eastAsia="Times New Roman" w:cs="Times New Roman"/>
          <w:i w:val="0"/>
          <w:iCs w:val="0"/>
          <w:noProof/>
        </w:rPr>
        <w:t>the submission of the draft plan to the Commission in November 2020, and posted it on the Ministry of Finance’s website. The authorities received contributions and opinions on the reforms and investment from the local and regional authorities, industry, NG</w:t>
      </w:r>
      <w:r>
        <w:rPr>
          <w:rFonts w:eastAsia="Times New Roman" w:cs="Times New Roman"/>
          <w:i w:val="0"/>
          <w:iCs w:val="0"/>
          <w:noProof/>
        </w:rPr>
        <w:t>Os, social partners, Economic and Social Committee of Greece and other economic associations, totalling 24 bodies. A summary of the public consultation was published following</w:t>
      </w:r>
      <w:r>
        <w:rPr>
          <w:rFonts w:eastAsia="Times New Roman" w:cs="Times New Roman"/>
          <w:i w:val="0"/>
          <w:noProof/>
        </w:rPr>
        <w:t xml:space="preserve"> the input collected in the consultation process and the comments received from t</w:t>
      </w:r>
      <w:r>
        <w:rPr>
          <w:rFonts w:eastAsia="Times New Roman" w:cs="Times New Roman"/>
          <w:i w:val="0"/>
          <w:noProof/>
        </w:rPr>
        <w:t xml:space="preserve">he European Commission, the plan was redrafted and endorsed by the Council of Ministers </w:t>
      </w:r>
      <w:r>
        <w:rPr>
          <w:rFonts w:eastAsia="Times New Roman" w:cs="Times New Roman"/>
          <w:i w:val="0"/>
          <w:iCs w:val="0"/>
          <w:noProof/>
        </w:rPr>
        <w:t>at</w:t>
      </w:r>
      <w:r>
        <w:rPr>
          <w:rFonts w:eastAsia="Times New Roman" w:cs="Times New Roman"/>
          <w:i w:val="0"/>
          <w:noProof/>
        </w:rPr>
        <w:t xml:space="preserve"> the end of March</w:t>
      </w:r>
      <w:r>
        <w:rPr>
          <w:rFonts w:eastAsia="Times New Roman" w:cs="Times New Roman"/>
          <w:i w:val="0"/>
          <w:iCs w:val="0"/>
          <w:noProof/>
        </w:rPr>
        <w:t xml:space="preserve"> 2021</w:t>
      </w:r>
      <w:r>
        <w:rPr>
          <w:rFonts w:eastAsia="Times New Roman" w:cs="Times New Roman"/>
          <w:i w:val="0"/>
          <w:noProof/>
        </w:rPr>
        <w:t>. Then, it was presented to the public by the Prime Minister and a presentation was posted on the dedicated webpage</w:t>
      </w:r>
      <w:r>
        <w:rPr>
          <w:rStyle w:val="FootnoteReference"/>
          <w:rFonts w:eastAsia="Times New Roman" w:cs="Times New Roman"/>
          <w:i w:val="0"/>
          <w:iCs w:val="0"/>
          <w:noProof/>
        </w:rPr>
        <w:t xml:space="preserve"> </w:t>
      </w:r>
      <w:r>
        <w:rPr>
          <w:rStyle w:val="FootnoteReference"/>
          <w:rFonts w:eastAsia="Times New Roman" w:cs="Times New Roman"/>
          <w:i w:val="0"/>
          <w:iCs w:val="0"/>
          <w:noProof/>
        </w:rPr>
        <w:footnoteReference w:id="26"/>
      </w:r>
      <w:r>
        <w:rPr>
          <w:rFonts w:eastAsia="Times New Roman" w:cs="Times New Roman"/>
          <w:i w:val="0"/>
          <w:noProof/>
        </w:rPr>
        <w:t xml:space="preserve">. </w:t>
      </w:r>
      <w:r>
        <w:rPr>
          <w:rFonts w:eastAsia="Times New Roman" w:cs="Times New Roman"/>
          <w:i w:val="0"/>
          <w:iCs w:val="0"/>
          <w:noProof/>
        </w:rPr>
        <w:t>Greece then submitted a s</w:t>
      </w:r>
      <w:r>
        <w:rPr>
          <w:rFonts w:eastAsia="Times New Roman" w:cs="Times New Roman"/>
          <w:i w:val="0"/>
          <w:iCs w:val="0"/>
          <w:noProof/>
        </w:rPr>
        <w:t xml:space="preserve">ummary of the updated draft plan for discussion in the Parliament a few weeks prior to the official submission. </w:t>
      </w:r>
      <w:r>
        <w:rPr>
          <w:rFonts w:eastAsia="Times New Roman" w:cs="Times New Roman"/>
          <w:i w:val="0"/>
          <w:noProof/>
        </w:rPr>
        <w:t xml:space="preserve">It is foreseen that </w:t>
      </w:r>
      <w:r>
        <w:rPr>
          <w:rFonts w:eastAsia="Times New Roman" w:cs="Times New Roman"/>
          <w:i w:val="0"/>
          <w:iCs w:val="0"/>
          <w:noProof/>
        </w:rPr>
        <w:t>the plan will be</w:t>
      </w:r>
      <w:r>
        <w:rPr>
          <w:rFonts w:eastAsia="Times New Roman" w:cs="Times New Roman"/>
          <w:i w:val="0"/>
          <w:noProof/>
        </w:rPr>
        <w:t xml:space="preserve"> introduced before the Parliament to be debated and </w:t>
      </w:r>
      <w:r>
        <w:rPr>
          <w:rFonts w:eastAsia="Times New Roman" w:cs="Times New Roman"/>
          <w:i w:val="0"/>
          <w:iCs w:val="0"/>
          <w:noProof/>
        </w:rPr>
        <w:t xml:space="preserve">put into law, after the adoption of the Council </w:t>
      </w:r>
      <w:r>
        <w:rPr>
          <w:rFonts w:eastAsia="Times New Roman" w:cs="Times New Roman"/>
          <w:i w:val="0"/>
          <w:iCs w:val="0"/>
          <w:noProof/>
        </w:rPr>
        <w:t>Implementing Decision.</w:t>
      </w:r>
      <w:r>
        <w:rPr>
          <w:rFonts w:eastAsia="Times New Roman" w:cs="Times New Roman"/>
          <w:i w:val="0"/>
          <w:noProof/>
        </w:rPr>
        <w:t xml:space="preserve"> Additional consultation with key stakeholders is foreseen, with a view to further engaging them in the implementation phase. At the same time, a series of public events are being planned to increase ownership of the Plan.</w:t>
      </w:r>
    </w:p>
    <w:p w:rsidR="00176373" w:rsidRDefault="00E474D1">
      <w:pPr>
        <w:pStyle w:val="headingitalics"/>
        <w:rPr>
          <w:noProof/>
        </w:rPr>
      </w:pPr>
      <w:r>
        <w:rPr>
          <w:noProof/>
        </w:rPr>
        <w:t>Technical s</w:t>
      </w:r>
      <w:r>
        <w:rPr>
          <w:noProof/>
        </w:rPr>
        <w:t xml:space="preserve">upport and InvestEU </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noProof/>
          <w:sz w:val="24"/>
          <w:szCs w:val="24"/>
        </w:rPr>
        <w:t xml:space="preserve">Greece is planning to use the Recovery and Resilience Facility to request technical support from the Commission through the Technical Support Instrument (TSI), Horizon Policy Support Facility and to </w:t>
      </w:r>
      <w:r>
        <w:rPr>
          <w:rFonts w:ascii="Times New Roman" w:eastAsia="Times New Roman" w:hAnsi="Times New Roman" w:cs="Times New Roman"/>
          <w:b/>
          <w:noProof/>
          <w:sz w:val="24"/>
          <w:szCs w:val="24"/>
          <w:lang w:val="en-IE"/>
        </w:rPr>
        <w:t xml:space="preserve">finance the national compartment of </w:t>
      </w:r>
      <w:r>
        <w:rPr>
          <w:rFonts w:ascii="Times New Roman" w:eastAsia="Times New Roman" w:hAnsi="Times New Roman" w:cs="Times New Roman"/>
          <w:b/>
          <w:noProof/>
          <w:sz w:val="24"/>
          <w:szCs w:val="24"/>
          <w:lang w:val="en-IE"/>
        </w:rPr>
        <w:t>InvestEU.</w:t>
      </w:r>
      <w:r>
        <w:rPr>
          <w:rFonts w:ascii="Times New Roman" w:eastAsia="Times New Roman" w:hAnsi="Times New Roman" w:cs="Times New Roman"/>
          <w:i/>
          <w:noProof/>
          <w:sz w:val="24"/>
          <w:szCs w:val="24"/>
        </w:rPr>
        <w:t xml:space="preserve"> </w:t>
      </w:r>
      <w:r>
        <w:rPr>
          <w:rFonts w:ascii="Times New Roman" w:eastAsia="Times New Roman" w:hAnsi="Times New Roman" w:cs="Times New Roman"/>
          <w:noProof/>
          <w:sz w:val="24"/>
          <w:szCs w:val="24"/>
        </w:rPr>
        <w:t>Greece plans to request technical support from the Commission through the Technical Support Instrument (TSI), with the support of the Recovery and Resilience Facility, according to Article 7(2) of the RRF Regulation. The technical assistance is e</w:t>
      </w:r>
      <w:r>
        <w:rPr>
          <w:rFonts w:ascii="Times New Roman" w:eastAsia="Times New Roman" w:hAnsi="Times New Roman" w:cs="Times New Roman"/>
          <w:noProof/>
          <w:sz w:val="24"/>
          <w:szCs w:val="24"/>
        </w:rPr>
        <w:t>xpected to increase the resilience and response capacity of the Greek healthcare system by modernising the quality of healthcare management framework, in particular by supporting the drafting of National Strategy for Quality Assurance, Patient Safety and P</w:t>
      </w:r>
      <w:r>
        <w:rPr>
          <w:rFonts w:ascii="Times New Roman" w:eastAsia="Times New Roman" w:hAnsi="Times New Roman" w:cs="Times New Roman"/>
          <w:noProof/>
          <w:sz w:val="24"/>
          <w:szCs w:val="24"/>
        </w:rPr>
        <w:t>atient Engagement. The total estimated cost for the technical support requested to support these organizational reforms in the health system is EUR 0.5 million.</w:t>
      </w:r>
      <w:r>
        <w:rPr>
          <w:noProof/>
        </w:rPr>
        <w:t xml:space="preserve"> </w:t>
      </w:r>
      <w:r>
        <w:rPr>
          <w:rFonts w:ascii="Times New Roman" w:eastAsia="Times New Roman" w:hAnsi="Times New Roman" w:cs="Times New Roman"/>
          <w:noProof/>
          <w:sz w:val="24"/>
          <w:szCs w:val="24"/>
          <w:lang w:val="en-IE"/>
        </w:rPr>
        <w:t>Greece is also planning to use the Recovery and Resiliency Facility loans to finance the Member</w:t>
      </w:r>
      <w:r>
        <w:rPr>
          <w:rFonts w:ascii="Times New Roman" w:eastAsia="Times New Roman" w:hAnsi="Times New Roman" w:cs="Times New Roman"/>
          <w:noProof/>
          <w:sz w:val="24"/>
          <w:szCs w:val="24"/>
          <w:lang w:val="en-IE"/>
        </w:rPr>
        <w:t>s State compartment of InvestEU for an amount of EUR 500 million. This is alongside the other ways of using the RRF loans, via international financial institutions, commercial banks and an equity platform. Sectoral support for the design, implementation an</w:t>
      </w:r>
      <w:r>
        <w:rPr>
          <w:rFonts w:ascii="Times New Roman" w:eastAsia="Times New Roman" w:hAnsi="Times New Roman" w:cs="Times New Roman"/>
          <w:noProof/>
          <w:sz w:val="24"/>
          <w:szCs w:val="24"/>
          <w:lang w:val="en-IE"/>
        </w:rPr>
        <w:t>d evaluation of research and innovation policy reforms will also be available via the Horizon Policy Support Facility.</w:t>
      </w:r>
    </w:p>
    <w:p w:rsidR="00176373" w:rsidRDefault="00E474D1">
      <w:pPr>
        <w:jc w:val="both"/>
        <w:rPr>
          <w:rFonts w:ascii="Times New Roman" w:eastAsia="Times New Roman" w:hAnsi="Times New Roman" w:cs="Times New Roman"/>
          <w:noProof/>
          <w:sz w:val="24"/>
        </w:rPr>
      </w:pPr>
      <w:r>
        <w:rPr>
          <w:rFonts w:ascii="Times New Roman" w:eastAsia="Times New Roman" w:hAnsi="Times New Roman" w:cs="Times New Roman"/>
          <w:b/>
          <w:noProof/>
          <w:sz w:val="24"/>
        </w:rPr>
        <w:t>The Technical Support Instrument (TSI) provides expertise in building capacities to implement the plan in a number of areas.</w:t>
      </w:r>
      <w:r>
        <w:rPr>
          <w:rFonts w:ascii="Times New Roman" w:eastAsia="Times New Roman" w:hAnsi="Times New Roman" w:cs="Times New Roman"/>
          <w:noProof/>
          <w:sz w:val="24"/>
        </w:rPr>
        <w:t xml:space="preserve"> These areas </w:t>
      </w:r>
      <w:r>
        <w:rPr>
          <w:rFonts w:ascii="Times New Roman" w:eastAsia="Times New Roman" w:hAnsi="Times New Roman" w:cs="Times New Roman"/>
          <w:noProof/>
          <w:sz w:val="24"/>
        </w:rPr>
        <w:t>are clean energy, digital transformation, state aid, health system reform, non-formal education, customs, financial literacy, as well as for the overall implementation of the plan.</w:t>
      </w:r>
    </w:p>
    <w:p w:rsidR="00176373" w:rsidRDefault="00E474D1">
      <w:pPr>
        <w:pStyle w:val="headingitalics"/>
        <w:rPr>
          <w:noProof/>
        </w:rPr>
      </w:pPr>
      <w:r>
        <w:rPr>
          <w:noProof/>
        </w:rPr>
        <w:t>Security self-assessment</w:t>
      </w:r>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plan includes a security-self assessment</w:t>
      </w:r>
      <w:r>
        <w:rPr>
          <w:rFonts w:ascii="Times New Roman" w:eastAsia="Times New Roman" w:hAnsi="Times New Roman" w:cs="Times New Roman"/>
          <w:b/>
          <w:bCs/>
          <w:noProof/>
          <w:sz w:val="24"/>
          <w:szCs w:val="24"/>
        </w:rPr>
        <w:t xml:space="preserve"> for investments in </w:t>
      </w:r>
      <w:r>
        <w:rPr>
          <w:rFonts w:ascii="Times New Roman" w:eastAsia="Times New Roman" w:hAnsi="Times New Roman" w:cs="Times New Roman"/>
          <w:b/>
          <w:bCs/>
          <w:noProof/>
          <w:sz w:val="24"/>
          <w:szCs w:val="24"/>
          <w:lang w:val="en-IE"/>
        </w:rPr>
        <w:t>digital capacities and connectivity</w:t>
      </w:r>
      <w:r>
        <w:rPr>
          <w:rFonts w:ascii="Times New Roman" w:eastAsia="Times New Roman" w:hAnsi="Times New Roman" w:cs="Times New Roman"/>
          <w:noProof/>
          <w:sz w:val="24"/>
          <w:szCs w:val="24"/>
          <w:lang w:val="en-IE"/>
        </w:rPr>
        <w:t>, in line with the</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en-IE"/>
        </w:rPr>
        <w:t>Article 18</w:t>
      </w:r>
      <w:r>
        <w:rPr>
          <w:rFonts w:ascii="Times New Roman" w:eastAsia="Times New Roman" w:hAnsi="Times New Roman" w:cs="Times New Roman"/>
          <w:noProof/>
          <w:sz w:val="24"/>
          <w:szCs w:val="24"/>
        </w:rPr>
        <w:t xml:space="preserve">(4)(g) </w:t>
      </w:r>
      <w:r>
        <w:rPr>
          <w:rFonts w:ascii="Times New Roman" w:eastAsia="Times New Roman" w:hAnsi="Times New Roman" w:cs="Times New Roman"/>
          <w:noProof/>
          <w:sz w:val="24"/>
          <w:szCs w:val="24"/>
          <w:lang w:val="en-IE"/>
        </w:rPr>
        <w:t xml:space="preserve">of the RRF Regulation. As regards investment in connectivity, in particular in 5G networks, the plan identifies the relevant security issues. It also details how </w:t>
      </w:r>
      <w:r>
        <w:rPr>
          <w:rFonts w:ascii="Times New Roman" w:eastAsia="Times New Roman" w:hAnsi="Times New Roman" w:cs="Times New Roman"/>
          <w:noProof/>
          <w:sz w:val="24"/>
          <w:szCs w:val="24"/>
          <w:lang w:val="en-IE"/>
        </w:rPr>
        <w:t>those will be addressed, based on the common objective criteria included in the EU toolbox for 5G networks Cybersecurity. Strategic measures mentioned in the security self-assessment would need to be closely monitored during the implementation of the plan.</w:t>
      </w:r>
    </w:p>
    <w:p w:rsidR="00176373" w:rsidRDefault="00E474D1">
      <w:pPr>
        <w:pStyle w:val="headingitalics"/>
        <w:rPr>
          <w:noProof/>
        </w:rPr>
      </w:pPr>
      <w:r>
        <w:rPr>
          <w:noProof/>
        </w:rPr>
        <w:t>Cross-border and multi-country projects</w:t>
      </w:r>
    </w:p>
    <w:p w:rsidR="00176373" w:rsidRDefault="00E474D1">
      <w:pPr>
        <w:spacing w:after="120"/>
        <w:jc w:val="both"/>
        <w:rPr>
          <w:rFonts w:ascii="Times New Roman" w:eastAsia="Times New Roman" w:hAnsi="Times New Roman" w:cs="Times New Roman"/>
          <w:noProof/>
          <w:sz w:val="24"/>
          <w:szCs w:val="24"/>
          <w:highlight w:val="yellow"/>
          <w:lang w:val="en-IE"/>
        </w:rPr>
      </w:pPr>
      <w:r>
        <w:rPr>
          <w:rFonts w:ascii="Times New Roman" w:eastAsia="Times New Roman" w:hAnsi="Times New Roman" w:cs="Times New Roman"/>
          <w:b/>
          <w:bCs/>
          <w:noProof/>
          <w:sz w:val="24"/>
          <w:szCs w:val="24"/>
          <w:lang w:val="en-IE"/>
        </w:rPr>
        <w:t>The plan includes several cross-border and multi-country projects</w:t>
      </w:r>
      <w:r>
        <w:rPr>
          <w:rFonts w:ascii="Times New Roman" w:eastAsia="Times New Roman" w:hAnsi="Times New Roman" w:cs="Times New Roman"/>
          <w:noProof/>
          <w:sz w:val="24"/>
          <w:szCs w:val="24"/>
          <w:lang w:val="en-IE"/>
        </w:rPr>
        <w:t xml:space="preserve">, mainly under the digital pillar (see section 4.6). There are investment projects related to the digital and R&amp;D, </w:t>
      </w:r>
      <w:r>
        <w:rPr>
          <w:rFonts w:ascii="Times New Roman" w:eastAsia="Times New Roman" w:hAnsi="Times New Roman" w:cs="Times New Roman"/>
          <w:noProof/>
          <w:sz w:val="24"/>
          <w:szCs w:val="24"/>
        </w:rPr>
        <w:t>such as the ‘5G corridors’ investme</w:t>
      </w:r>
      <w:r>
        <w:rPr>
          <w:rFonts w:ascii="Times New Roman" w:eastAsia="Times New Roman" w:hAnsi="Times New Roman" w:cs="Times New Roman"/>
          <w:noProof/>
          <w:sz w:val="24"/>
          <w:szCs w:val="24"/>
        </w:rPr>
        <w:t xml:space="preserve">nt, that will also support the cross-border corridor Thessaloniki-Sofia-Belgrade and the ‘Small satellites’ investment, that will ensure interoperability with EuroQCI. In addition, the ‘Submarine fiber cables’ investment project will </w:t>
      </w:r>
      <w:r>
        <w:rPr>
          <w:rFonts w:ascii="Times New Roman" w:eastAsia="Times New Roman" w:hAnsi="Times New Roman" w:cs="Times New Roman"/>
          <w:noProof/>
          <w:sz w:val="24"/>
          <w:szCs w:val="24"/>
          <w:lang w:val="en-IE"/>
        </w:rPr>
        <w:t>support the installati</w:t>
      </w:r>
      <w:r>
        <w:rPr>
          <w:rFonts w:ascii="Times New Roman" w:eastAsia="Times New Roman" w:hAnsi="Times New Roman" w:cs="Times New Roman"/>
          <w:noProof/>
          <w:sz w:val="24"/>
          <w:szCs w:val="24"/>
          <w:lang w:val="en-IE"/>
        </w:rPr>
        <w:t>on of submarine fibre cables to interconnect mainland Greece with its islands and with Cyprus. The plan also includes investing in a new high performance computing system (upgrading the existing one of the National Infrastructures for Research and Technolo</w:t>
      </w:r>
      <w:r>
        <w:rPr>
          <w:rFonts w:ascii="Times New Roman" w:eastAsia="Times New Roman" w:hAnsi="Times New Roman" w:cs="Times New Roman"/>
          <w:noProof/>
          <w:sz w:val="24"/>
          <w:szCs w:val="24"/>
          <w:lang w:val="en-IE"/>
        </w:rPr>
        <w:t>gy) and its interconnection with the EuroHPC supercomputers; the creation of a national Cybersecurity Operations Centre and its networking with similar centres of other Member States. It further includes the framework of the European Common Data Infrastruc</w:t>
      </w:r>
      <w:r>
        <w:rPr>
          <w:rFonts w:ascii="Times New Roman" w:eastAsia="Times New Roman" w:hAnsi="Times New Roman" w:cs="Times New Roman"/>
          <w:noProof/>
          <w:sz w:val="24"/>
          <w:szCs w:val="24"/>
          <w:lang w:val="en-IE"/>
        </w:rPr>
        <w:t xml:space="preserve">ture Services </w:t>
      </w:r>
      <w:r>
        <w:rPr>
          <w:rFonts w:ascii="Times New Roman" w:eastAsia="Times New Roman" w:hAnsi="Times New Roman" w:cs="Times New Roman"/>
          <w:noProof/>
          <w:sz w:val="24"/>
          <w:szCs w:val="24"/>
        </w:rPr>
        <w:t>and the interoperability of the cloud,</w:t>
      </w:r>
      <w:r>
        <w:rPr>
          <w:rFonts w:ascii="Times New Roman" w:eastAsia="Times New Roman" w:hAnsi="Times New Roman" w:cs="Times New Roman"/>
          <w:noProof/>
          <w:sz w:val="24"/>
          <w:szCs w:val="24"/>
          <w:lang w:val="en-IE"/>
        </w:rPr>
        <w:t xml:space="preserve"> i.e. the Supply of Central Cloud Computing Infrastructure and Services.</w:t>
      </w:r>
    </w:p>
    <w:p w:rsidR="00176373" w:rsidRDefault="00E474D1">
      <w:pPr>
        <w:spacing w:after="120"/>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Communication strategy</w:t>
      </w:r>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Communication Strategy described in the plan consists of</w:t>
      </w:r>
      <w:r>
        <w:rPr>
          <w:rFonts w:ascii="Times New Roman" w:eastAsia="Times New Roman" w:hAnsi="Times New Roman" w:cs="Times New Roman"/>
          <w:noProof/>
          <w:sz w:val="24"/>
          <w:szCs w:val="24"/>
        </w:rPr>
        <w:t xml:space="preserve">: </w:t>
      </w:r>
    </w:p>
    <w:p w:rsidR="00176373" w:rsidRDefault="00E474D1">
      <w:pPr>
        <w:pStyle w:val="ListParagraph"/>
        <w:numPr>
          <w:ilvl w:val="0"/>
          <w:numId w:val="1"/>
        </w:num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Coherent and effective information to </w:t>
      </w:r>
      <w:r>
        <w:rPr>
          <w:rFonts w:ascii="Times New Roman" w:eastAsia="Times New Roman" w:hAnsi="Times New Roman" w:cs="Times New Roman"/>
          <w:b/>
          <w:bCs/>
          <w:noProof/>
          <w:sz w:val="24"/>
          <w:szCs w:val="24"/>
        </w:rPr>
        <w:t>multiple audiences</w:t>
      </w:r>
      <w:r>
        <w:rPr>
          <w:rFonts w:ascii="Times New Roman" w:eastAsia="Times New Roman" w:hAnsi="Times New Roman" w:cs="Times New Roman"/>
          <w:noProof/>
          <w:sz w:val="24"/>
          <w:szCs w:val="24"/>
        </w:rPr>
        <w:t xml:space="preserve"> regarding the reforms and investments undertaken by Greece under the Recovery and Resilience Facility, giving emphasis to audiences that «need to know» specific information to respond to the opportunities, obligations, etc. connected to </w:t>
      </w:r>
      <w:r>
        <w:rPr>
          <w:rFonts w:ascii="Times New Roman" w:eastAsia="Times New Roman" w:hAnsi="Times New Roman" w:cs="Times New Roman"/>
          <w:noProof/>
          <w:sz w:val="24"/>
          <w:szCs w:val="24"/>
        </w:rPr>
        <w:t xml:space="preserve">the national recovery and resilience plan (people directly </w:t>
      </w:r>
      <w:r>
        <w:rPr>
          <w:rFonts w:ascii="Times New Roman" w:eastAsia="Times New Roman" w:hAnsi="Times New Roman" w:cs="Times New Roman"/>
          <w:b/>
          <w:bCs/>
          <w:noProof/>
          <w:sz w:val="24"/>
          <w:szCs w:val="24"/>
        </w:rPr>
        <w:t>affected</w:t>
      </w:r>
      <w:r>
        <w:rPr>
          <w:rFonts w:ascii="Times New Roman" w:eastAsia="Times New Roman" w:hAnsi="Times New Roman" w:cs="Times New Roman"/>
          <w:noProof/>
          <w:sz w:val="24"/>
          <w:szCs w:val="24"/>
        </w:rPr>
        <w:t xml:space="preserve"> by investments or reforms included in the plan), including the wide dissemination of funding opportunities for potential recipients.</w:t>
      </w:r>
    </w:p>
    <w:p w:rsidR="00176373" w:rsidRDefault="00E474D1">
      <w:pPr>
        <w:pStyle w:val="ListParagraph"/>
        <w:numPr>
          <w:ilvl w:val="0"/>
          <w:numId w:val="1"/>
        </w:num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Increasing awareness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bCs/>
          <w:noProof/>
          <w:sz w:val="24"/>
          <w:szCs w:val="24"/>
        </w:rPr>
        <w:t>of the plan’s objectives</w:t>
      </w:r>
      <w:r>
        <w:rPr>
          <w:rFonts w:ascii="Times New Roman" w:eastAsia="Times New Roman" w:hAnsi="Times New Roman" w:cs="Times New Roman"/>
          <w:noProof/>
          <w:sz w:val="24"/>
          <w:szCs w:val="24"/>
        </w:rPr>
        <w:t xml:space="preserve">, tangible benefits, and impact on citizens’ daily life. </w:t>
      </w:r>
    </w:p>
    <w:p w:rsidR="00176373" w:rsidRDefault="00E474D1">
      <w:pPr>
        <w:pStyle w:val="ListParagraph"/>
        <w:numPr>
          <w:ilvl w:val="0"/>
          <w:numId w:val="1"/>
        </w:num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Information access on funded projects and reforms of the plan</w:t>
      </w:r>
      <w:r>
        <w:rPr>
          <w:rFonts w:ascii="Times New Roman" w:eastAsia="Times New Roman" w:hAnsi="Times New Roman" w:cs="Times New Roman"/>
          <w:noProof/>
          <w:sz w:val="24"/>
          <w:szCs w:val="24"/>
        </w:rPr>
        <w:t xml:space="preserve">, facilitating the opportunity of any interested citizen or group to follow up on its implementation and thus promote the efficiency and </w:t>
      </w:r>
      <w:r>
        <w:rPr>
          <w:rFonts w:ascii="Times New Roman" w:eastAsia="Times New Roman" w:hAnsi="Times New Roman" w:cs="Times New Roman"/>
          <w:noProof/>
          <w:sz w:val="24"/>
          <w:szCs w:val="24"/>
        </w:rPr>
        <w:t>transparency inherent to the national recovery and resilience plan, throughout the implementation period.</w:t>
      </w:r>
    </w:p>
    <w:p w:rsidR="00176373" w:rsidRDefault="00E474D1">
      <w:pPr>
        <w:pStyle w:val="ListParagraph"/>
        <w:numPr>
          <w:ilvl w:val="0"/>
          <w:numId w:val="1"/>
        </w:num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Informing, coordinating and supporting recipients to design and implement their own communication actions by providing guidelines, monitoring, and net</w:t>
      </w:r>
      <w:r>
        <w:rPr>
          <w:rFonts w:ascii="Times New Roman" w:eastAsia="Times New Roman" w:hAnsi="Times New Roman" w:cs="Times New Roman"/>
          <w:b/>
          <w:bCs/>
          <w:noProof/>
          <w:sz w:val="24"/>
          <w:szCs w:val="24"/>
        </w:rPr>
        <w:t>working.</w:t>
      </w:r>
    </w:p>
    <w:p w:rsidR="00176373" w:rsidRDefault="00E474D1">
      <w:pPr>
        <w:pStyle w:val="ListParagraph"/>
        <w:numPr>
          <w:ilvl w:val="0"/>
          <w:numId w:val="1"/>
        </w:num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Introducing a citizen focused approach by telling project stories “on the ground” or locally to </w:t>
      </w:r>
      <w:r>
        <w:rPr>
          <w:rFonts w:ascii="Times New Roman" w:eastAsia="Times New Roman" w:hAnsi="Times New Roman" w:cs="Times New Roman"/>
          <w:b/>
          <w:bCs/>
          <w:noProof/>
          <w:sz w:val="24"/>
          <w:szCs w:val="24"/>
        </w:rPr>
        <w:t>mobilize community participation</w:t>
      </w:r>
      <w:r>
        <w:rPr>
          <w:rFonts w:ascii="Times New Roman" w:eastAsia="Times New Roman" w:hAnsi="Times New Roman" w:cs="Times New Roman"/>
          <w:noProof/>
          <w:sz w:val="24"/>
          <w:szCs w:val="24"/>
        </w:rPr>
        <w:t xml:space="preserve"> and build up a sense of ownership of the plan.</w:t>
      </w:r>
    </w:p>
    <w:p w:rsidR="00176373" w:rsidRDefault="00E474D1">
      <w:pPr>
        <w:pStyle w:val="ListParagraph"/>
        <w:numPr>
          <w:ilvl w:val="0"/>
          <w:numId w:val="1"/>
        </w:num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Ensuring</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bCs/>
          <w:noProof/>
          <w:sz w:val="24"/>
          <w:szCs w:val="24"/>
        </w:rPr>
        <w:t>the visibility of EU funding</w:t>
      </w:r>
      <w:r>
        <w:rPr>
          <w:rFonts w:ascii="Times New Roman" w:eastAsia="Times New Roman" w:hAnsi="Times New Roman" w:cs="Times New Roman"/>
          <w:noProof/>
          <w:sz w:val="24"/>
          <w:szCs w:val="24"/>
        </w:rPr>
        <w:t xml:space="preserve"> and provide the opportunity to ci</w:t>
      </w:r>
      <w:r>
        <w:rPr>
          <w:rFonts w:ascii="Times New Roman" w:eastAsia="Times New Roman" w:hAnsi="Times New Roman" w:cs="Times New Roman"/>
          <w:noProof/>
          <w:sz w:val="24"/>
          <w:szCs w:val="24"/>
        </w:rPr>
        <w:t>tizens to fairly judge the difference made in their lives by the Recovery and Resilience Facility as both a national and an EU policy instrument.</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 dedicated website for the national recovery and resilience plan and the related projects will be established</w:t>
      </w:r>
      <w:r>
        <w:rPr>
          <w:rFonts w:ascii="Times New Roman" w:eastAsia="Times New Roman" w:hAnsi="Times New Roman" w:cs="Times New Roman"/>
          <w:b/>
          <w:bCs/>
          <w:noProof/>
          <w:sz w:val="24"/>
          <w:szCs w:val="24"/>
        </w:rPr>
        <w:t xml:space="preserve"> in order to provide a single-entry point for all interested parties (institutional organisations, recipients, enterprises, media, general public) who wish to get information.</w:t>
      </w:r>
      <w:r>
        <w:rPr>
          <w:rFonts w:ascii="Times New Roman" w:eastAsia="Times New Roman" w:hAnsi="Times New Roman" w:cs="Times New Roman"/>
          <w:noProof/>
          <w:sz w:val="24"/>
          <w:szCs w:val="24"/>
        </w:rPr>
        <w:t xml:space="preserve"> In an effort to increase the visibility of the plan and the EU role and funding,</w:t>
      </w:r>
      <w:r>
        <w:rPr>
          <w:rFonts w:ascii="Times New Roman" w:eastAsia="Times New Roman" w:hAnsi="Times New Roman" w:cs="Times New Roman"/>
          <w:noProof/>
          <w:sz w:val="24"/>
          <w:szCs w:val="24"/>
        </w:rPr>
        <w:t xml:space="preserve"> the Communication Strategy will integrate multiple activities/channels, such as communication through traditional media and with a strong public relations communication strategy, through Digital Campaigns on different platforms. Moreover, the Communicatio</w:t>
      </w:r>
      <w:r>
        <w:rPr>
          <w:rFonts w:ascii="Times New Roman" w:eastAsia="Times New Roman" w:hAnsi="Times New Roman" w:cs="Times New Roman"/>
          <w:noProof/>
          <w:sz w:val="24"/>
          <w:szCs w:val="24"/>
        </w:rPr>
        <w:t>n Strategy seeks to bring the recovery and resilience plan closer to the citizens by translating technical terms into simple, clear and reliable messages.</w:t>
      </w:r>
    </w:p>
    <w:p w:rsidR="00176373" w:rsidRDefault="00E474D1">
      <w:pPr>
        <w:spacing w:after="120"/>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State aid</w:t>
      </w:r>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State aid and competition rules fully apply to the measures funded by the Recovery and Resi</w:t>
      </w:r>
      <w:r>
        <w:rPr>
          <w:rFonts w:ascii="Times New Roman" w:eastAsia="Times New Roman" w:hAnsi="Times New Roman" w:cs="Times New Roman"/>
          <w:b/>
          <w:bCs/>
          <w:noProof/>
          <w:sz w:val="24"/>
          <w:szCs w:val="24"/>
        </w:rPr>
        <w:t xml:space="preserve">lience Facility. </w:t>
      </w:r>
      <w:r>
        <w:rPr>
          <w:rFonts w:ascii="Times New Roman" w:eastAsia="Times New Roman" w:hAnsi="Times New Roman" w:cs="Times New Roman"/>
          <w:noProof/>
          <w:sz w:val="24"/>
          <w:szCs w:val="24"/>
        </w:rPr>
        <w:t>Union funds channelled through the authorities of Member States, like the RRF funds, become State resources and can constitute State aid if all the other criteria of Article 107(1) TFEU are met. When this is the case and State aid is prese</w:t>
      </w:r>
      <w:r>
        <w:rPr>
          <w:rFonts w:ascii="Times New Roman" w:eastAsia="Times New Roman" w:hAnsi="Times New Roman" w:cs="Times New Roman"/>
          <w:noProof/>
          <w:sz w:val="24"/>
          <w:szCs w:val="24"/>
        </w:rPr>
        <w:t>nt, these measures must be notified and approved by the Commission before Member States can grant the aid, unless those measures are covered by an existing aid scheme or comply with the applicable conditions of a block exemption regulation, in particular t</w:t>
      </w:r>
      <w:r>
        <w:rPr>
          <w:rFonts w:ascii="Times New Roman" w:eastAsia="Times New Roman" w:hAnsi="Times New Roman" w:cs="Times New Roman"/>
          <w:noProof/>
          <w:sz w:val="24"/>
          <w:szCs w:val="24"/>
        </w:rPr>
        <w:t>he General Block Exemption Regulation (GBER) declaring certain categories of aid compatible with the internal market in application of Articles 107 and 108 TFEU</w:t>
      </w:r>
      <w:r>
        <w:rPr>
          <w:rStyle w:val="FootnoteReference"/>
          <w:rFonts w:ascii="Times New Roman" w:eastAsia="Times New Roman" w:hAnsi="Times New Roman" w:cs="Times New Roman"/>
          <w:noProof/>
          <w:sz w:val="24"/>
          <w:szCs w:val="24"/>
        </w:rPr>
        <w:footnoteReference w:id="27"/>
      </w:r>
      <w:r>
        <w:rPr>
          <w:rFonts w:ascii="Times New Roman" w:eastAsia="Times New Roman" w:hAnsi="Times New Roman" w:cs="Times New Roman"/>
          <w:noProof/>
          <w:sz w:val="24"/>
          <w:szCs w:val="24"/>
        </w:rPr>
        <w:t>. When State aid is present and it requires notification, it is the duty of the Member State to</w:t>
      </w:r>
      <w:r>
        <w:rPr>
          <w:rFonts w:ascii="Times New Roman" w:eastAsia="Times New Roman" w:hAnsi="Times New Roman" w:cs="Times New Roman"/>
          <w:noProof/>
          <w:sz w:val="24"/>
          <w:szCs w:val="24"/>
        </w:rPr>
        <w:t xml:space="preserve"> notify State aid measures to the Commission before granting them, in compliance with Article 108(3) TFEU. In this respect, the State aid analysis carried out by Greece in the recovery and resilience plan cannot be deemed a State aid notification. In as fa</w:t>
      </w:r>
      <w:r>
        <w:rPr>
          <w:rFonts w:ascii="Times New Roman" w:eastAsia="Times New Roman" w:hAnsi="Times New Roman" w:cs="Times New Roman"/>
          <w:noProof/>
          <w:sz w:val="24"/>
          <w:szCs w:val="24"/>
        </w:rPr>
        <w:t>r as Greece considers that a specific measure contained in the recovery and resilience plan entails de minimis aid or aid exempted from the notification requirement, it is the responsibility of Greece to ensure full compliance with the applicable rules.</w:t>
      </w:r>
    </w:p>
    <w:p w:rsidR="00176373" w:rsidRDefault="00E474D1">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Ir</w:t>
      </w:r>
      <w:r>
        <w:rPr>
          <w:rFonts w:ascii="Times New Roman" w:eastAsia="Times New Roman" w:hAnsi="Times New Roman" w:cs="Times New Roman"/>
          <w:noProof/>
          <w:sz w:val="24"/>
          <w:szCs w:val="24"/>
        </w:rPr>
        <w:t>respective of whether they comply with the EU’s State aid regime, measures taken under this framework should be compatible with the EU’s international obligations, in particular under World Trade Organization rules.</w:t>
      </w:r>
    </w:p>
    <w:p w:rsidR="00176373" w:rsidRDefault="00176373">
      <w:pPr>
        <w:spacing w:after="120"/>
        <w:jc w:val="both"/>
        <w:rPr>
          <w:rFonts w:ascii="Times New Roman" w:eastAsia="Times New Roman" w:hAnsi="Times New Roman" w:cs="Times New Roman"/>
          <w:noProof/>
          <w:sz w:val="24"/>
          <w:szCs w:val="24"/>
        </w:rPr>
      </w:pPr>
      <w:bookmarkStart w:id="203" w:name="_Toc71705271"/>
      <w:bookmarkStart w:id="204" w:name="_Toc71730930"/>
      <w:bookmarkStart w:id="205" w:name="_Toc71736536"/>
      <w:bookmarkStart w:id="206" w:name="_Toc71737025"/>
      <w:bookmarkEnd w:id="203"/>
      <w:bookmarkEnd w:id="204"/>
      <w:bookmarkEnd w:id="205"/>
      <w:bookmarkEnd w:id="206"/>
    </w:p>
    <w:p w:rsidR="00176373" w:rsidRDefault="00E474D1">
      <w:pPr>
        <w:rPr>
          <w:rFonts w:ascii="Times New Roman" w:eastAsia="Times New Roman" w:hAnsi="Times New Roman" w:cs="Times New Roman"/>
          <w:b/>
          <w:smallCaps/>
          <w:noProof/>
          <w:sz w:val="24"/>
          <w:szCs w:val="20"/>
          <w:lang w:eastAsia="en-GB"/>
        </w:rPr>
      </w:pPr>
      <w:bookmarkStart w:id="207" w:name="_Toc62818220"/>
      <w:bookmarkStart w:id="208" w:name="_Toc62818767"/>
      <w:bookmarkStart w:id="209" w:name="_Toc63417218"/>
      <w:bookmarkStart w:id="210" w:name="_Toc63418908"/>
      <w:bookmarkStart w:id="211" w:name="_Toc63418933"/>
      <w:bookmarkStart w:id="212" w:name="_Toc64281619"/>
      <w:bookmarkStart w:id="213" w:name="_Toc71665331"/>
      <w:bookmarkStart w:id="214" w:name="_Toc71740460"/>
      <w:bookmarkStart w:id="215" w:name="_Toc71792455"/>
      <w:bookmarkStart w:id="216" w:name="_Toc72158506"/>
      <w:bookmarkStart w:id="217" w:name="_Toc72170709"/>
      <w:bookmarkStart w:id="218" w:name="_Toc72176837"/>
      <w:bookmarkStart w:id="219" w:name="_Toc72179408"/>
      <w:bookmarkStart w:id="220" w:name="_Toc72176046"/>
      <w:bookmarkStart w:id="221" w:name="_Toc72181719"/>
      <w:bookmarkStart w:id="222" w:name="_Toc72178568"/>
      <w:bookmarkStart w:id="223" w:name="_Toc72182455"/>
      <w:bookmarkStart w:id="224" w:name="_Toc72183452"/>
      <w:bookmarkStart w:id="225" w:name="_Toc72187266"/>
      <w:r>
        <w:rPr>
          <w:noProof/>
        </w:rPr>
        <w:br w:type="page"/>
      </w:r>
    </w:p>
    <w:p w:rsidR="00176373" w:rsidRDefault="00E474D1">
      <w:pPr>
        <w:pStyle w:val="Heading1"/>
        <w:numPr>
          <w:ilvl w:val="0"/>
          <w:numId w:val="10"/>
        </w:numPr>
        <w:rPr>
          <w:rFonts w:eastAsiaTheme="minorEastAsia"/>
          <w:noProof/>
        </w:rPr>
      </w:pPr>
      <w:bookmarkStart w:id="226" w:name="_Toc72326490"/>
      <w:bookmarkStart w:id="227" w:name="_Toc72326521"/>
      <w:bookmarkStart w:id="228" w:name="_Toc74305323"/>
      <w:r>
        <w:rPr>
          <w:noProof/>
        </w:rPr>
        <w:t>Summary of the assessment of the plan</w:t>
      </w:r>
      <w:bookmarkEnd w:id="17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176373" w:rsidRDefault="00E474D1">
      <w:pPr>
        <w:pStyle w:val="Heading2"/>
        <w:numPr>
          <w:ilvl w:val="1"/>
          <w:numId w:val="10"/>
        </w:numPr>
        <w:rPr>
          <w:noProof/>
        </w:rPr>
      </w:pPr>
      <w:bookmarkStart w:id="229" w:name="_Toc62455200"/>
      <w:bookmarkStart w:id="230" w:name="_Toc72326491"/>
      <w:bookmarkStart w:id="231" w:name="_Toc72326522"/>
      <w:bookmarkStart w:id="232" w:name="_Toc74305324"/>
      <w:bookmarkStart w:id="233" w:name="_Toc63417219"/>
      <w:bookmarkStart w:id="234" w:name="_Toc63418909"/>
      <w:bookmarkStart w:id="235" w:name="_Toc63418934"/>
      <w:bookmarkStart w:id="236" w:name="_Toc64281620"/>
      <w:bookmarkStart w:id="237" w:name="_Toc71665332"/>
      <w:bookmarkStart w:id="238" w:name="_Toc71740461"/>
      <w:bookmarkStart w:id="239" w:name="_Toc71792456"/>
      <w:bookmarkStart w:id="240" w:name="_Toc72158507"/>
      <w:bookmarkStart w:id="241" w:name="_Toc72170710"/>
      <w:bookmarkStart w:id="242" w:name="_Toc72176838"/>
      <w:bookmarkStart w:id="243" w:name="_Toc72179409"/>
      <w:bookmarkStart w:id="244" w:name="_Toc72176047"/>
      <w:bookmarkStart w:id="245" w:name="_Toc72181720"/>
      <w:bookmarkStart w:id="246" w:name="_Toc72178569"/>
      <w:bookmarkStart w:id="247" w:name="_Toc72182456"/>
      <w:bookmarkStart w:id="248" w:name="_Toc72183453"/>
      <w:bookmarkStart w:id="249" w:name="_Toc72187267"/>
      <w:bookmarkStart w:id="250" w:name="_Toc62818770"/>
      <w:bookmarkStart w:id="251" w:name="_Toc62818223"/>
      <w:r>
        <w:rPr>
          <w:noProof/>
        </w:rPr>
        <w:t>Comprehensive and adequately balanced response to the economic and social situation</w:t>
      </w:r>
      <w:bookmarkEnd w:id="229"/>
      <w:bookmarkEnd w:id="230"/>
      <w:bookmarkEnd w:id="231"/>
      <w:bookmarkEnd w:id="232"/>
      <w:r>
        <w:rPr>
          <w:noProof/>
        </w:rPr>
        <w:t xml:space="preserve"> </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bookmarkEnd w:id="250"/>
    <w:bookmarkEnd w:id="251"/>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The plan follows a holistic approach to achieve recovery, while enhancing socio-economic resilience.</w:t>
      </w:r>
      <w:r>
        <w:rPr>
          <w:rFonts w:ascii="Times New Roman" w:eastAsia="Times New Roman" w:hAnsi="Times New Roman" w:cs="Times New Roman"/>
          <w:noProof/>
          <w:sz w:val="24"/>
          <w:szCs w:val="24"/>
          <w:lang w:val="en-IE"/>
        </w:rPr>
        <w:t xml:space="preserve"> Overall, the plan is balanced and focuses on Greece’s main challenges</w:t>
      </w:r>
      <w:r>
        <w:rPr>
          <w:rFonts w:ascii="Times New Roman" w:eastAsia="Times New Roman" w:hAnsi="Times New Roman" w:cs="Times New Roman"/>
          <w:noProof/>
          <w:sz w:val="24"/>
          <w:szCs w:val="24"/>
          <w:lang w:val="en-IE"/>
        </w:rPr>
        <w:t xml:space="preserve"> that, besides the twin transition, relate to the country’s social and educational needs, the strengthening of the public administration and the justice and financial systems, the enhancement of competitiveness in key sectors, as well as the need to boost </w:t>
      </w:r>
      <w:r>
        <w:rPr>
          <w:rFonts w:ascii="Times New Roman" w:eastAsia="Times New Roman" w:hAnsi="Times New Roman" w:cs="Times New Roman"/>
          <w:noProof/>
          <w:sz w:val="24"/>
          <w:szCs w:val="24"/>
          <w:lang w:val="en-IE"/>
        </w:rPr>
        <w:t>the productive potential of the economy by promoting research and innovation and improving the business environment. Greece submitted its National Reform Programme on 27 April 2021. The information provided in the National Reform Programme is being conside</w:t>
      </w:r>
      <w:r>
        <w:rPr>
          <w:rFonts w:ascii="Times New Roman" w:eastAsia="Times New Roman" w:hAnsi="Times New Roman" w:cs="Times New Roman"/>
          <w:noProof/>
          <w:sz w:val="24"/>
          <w:szCs w:val="24"/>
          <w:lang w:val="en-IE"/>
        </w:rPr>
        <w:t>red and jointly assessed in this Staff Working Document together with the recovery and resilience plan.</w:t>
      </w: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Pr>
          <w:noProof/>
        </w:rPr>
        <w:t xml:space="preserve"> Coverage of the six pillars of the Facility by the Greek RRP components</w:t>
      </w:r>
    </w:p>
    <w:tbl>
      <w:tblPr>
        <w:tblStyle w:val="PlainTable11"/>
        <w:tblW w:w="9913" w:type="dxa"/>
        <w:tblLayout w:type="fixed"/>
        <w:tblLook w:val="04A0" w:firstRow="1" w:lastRow="0" w:firstColumn="1" w:lastColumn="0" w:noHBand="0" w:noVBand="1"/>
      </w:tblPr>
      <w:tblGrid>
        <w:gridCol w:w="2610"/>
        <w:gridCol w:w="1155"/>
        <w:gridCol w:w="1110"/>
        <w:gridCol w:w="1290"/>
        <w:gridCol w:w="1185"/>
        <w:gridCol w:w="1287"/>
        <w:gridCol w:w="1276"/>
      </w:tblGrid>
      <w:tr w:rsidR="00176373" w:rsidTr="00176373">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176373">
            <w:pPr>
              <w:jc w:val="center"/>
              <w:rPr>
                <w:rFonts w:ascii="Times New Roman" w:hAnsi="Times New Roman" w:cs="Times New Roman"/>
                <w:noProof/>
              </w:rPr>
            </w:pP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Green transition</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Digital transformation</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Smart, </w:t>
            </w:r>
            <w:r>
              <w:rPr>
                <w:rFonts w:ascii="Times New Roman" w:hAnsi="Times New Roman" w:cs="Times New Roman"/>
                <w:noProof/>
              </w:rPr>
              <w:t>sustainable &amp; inclusive growth</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Social and territorial cohesion</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Health, and economic, social and institutional resilience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176373" w:rsidRDefault="00E474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Policies for the next generation</w:t>
            </w: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1.1 Power Up</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1.2 Renovate</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1.3 Recharge and refuel</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1.4 Sustainable use </w:t>
            </w:r>
            <w:r>
              <w:rPr>
                <w:rFonts w:ascii="Times New Roman" w:hAnsi="Times New Roman" w:cs="Times New Roman"/>
                <w:noProof/>
              </w:rPr>
              <w:t>of resources, climate resilience and environmental protection</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2.1 Connect</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176373" w:rsidTr="00176373">
        <w:trPr>
          <w:trHeight w:val="46"/>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2.2 Modernise</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2.3 Digitalisation of businesses</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3.1 Increasing job creation and participation in the labour market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3.2 Education,</w:t>
            </w:r>
            <w:r>
              <w:rPr>
                <w:rFonts w:ascii="Times New Roman" w:hAnsi="Times New Roman" w:cs="Times New Roman"/>
                <w:noProof/>
              </w:rPr>
              <w:t xml:space="preserve"> vocational education, training, and skills</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3.3 Improve resilience, accessibility and sustainability of healthcare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3.4 Increase access to effective and inclusive social policies</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4.1 Making taxes more growth friendly, and improving tax administration and tax collection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4.2 Modernise the public administration</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 </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4.3 Improve the efficiency of the justice system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4.4 Strengthen the financial sector and capital markets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4.5 Promote research and innovation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4.6 Modernise and improve resilience of key economic sectors </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 xml:space="preserve">4.7 Improve competitiveness and promote private investment and </w:t>
            </w:r>
            <w:r>
              <w:rPr>
                <w:rFonts w:ascii="Times New Roman" w:hAnsi="Times New Roman" w:cs="Times New Roman"/>
                <w:noProof/>
              </w:rPr>
              <w:t>trade</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 </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76373" w:rsidTr="0017637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Loan Facility</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 ●</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1763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176373" w:rsidTr="00176373">
        <w:trPr>
          <w:trHeight w:val="270"/>
        </w:trPr>
        <w:tc>
          <w:tcPr>
            <w:cnfStyle w:val="001000000000" w:firstRow="0" w:lastRow="0" w:firstColumn="1" w:lastColumn="0" w:oddVBand="0" w:evenVBand="0" w:oddHBand="0" w:evenHBand="0" w:firstRowFirstColumn="0" w:firstRowLastColumn="0" w:lastRowFirstColumn="0" w:lastRowLastColumn="0"/>
            <w:tcW w:w="2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rPr>
                <w:rFonts w:ascii="Times New Roman" w:hAnsi="Times New Roman" w:cs="Times New Roman"/>
                <w:noProof/>
              </w:rPr>
            </w:pPr>
            <w:r>
              <w:rPr>
                <w:rFonts w:ascii="Times New Roman" w:hAnsi="Times New Roman" w:cs="Times New Roman"/>
                <w:noProof/>
              </w:rPr>
              <w:t>Total number of components that significantly contribute to pillar</w:t>
            </w:r>
          </w:p>
        </w:tc>
        <w:tc>
          <w:tcPr>
            <w:tcW w:w="11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11</w:t>
            </w:r>
          </w:p>
        </w:tc>
        <w:tc>
          <w:tcPr>
            <w:tcW w:w="11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14</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10</w:t>
            </w:r>
          </w:p>
        </w:tc>
        <w:tc>
          <w:tcPr>
            <w:tcW w:w="11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8</w:t>
            </w:r>
          </w:p>
        </w:tc>
        <w:tc>
          <w:tcPr>
            <w:tcW w:w="12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176373" w:rsidRDefault="00E4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rPr>
            </w:pPr>
            <w:r>
              <w:rPr>
                <w:rFonts w:ascii="Times New Roman" w:hAnsi="Times New Roman" w:cs="Times New Roman"/>
                <w:b/>
                <w:noProof/>
              </w:rPr>
              <w:t>5</w:t>
            </w:r>
          </w:p>
        </w:tc>
      </w:tr>
    </w:tbl>
    <w:p w:rsidR="00176373" w:rsidRDefault="00E474D1">
      <w:pPr>
        <w:rPr>
          <w:rFonts w:ascii="Times New Roman" w:hAnsi="Times New Roman" w:cs="Times New Roman"/>
          <w:i/>
          <w:noProof/>
          <w:sz w:val="20"/>
          <w:szCs w:val="20"/>
        </w:rPr>
      </w:pPr>
      <w:r>
        <w:rPr>
          <w:rFonts w:ascii="Times New Roman" w:hAnsi="Times New Roman" w:cs="Times New Roman"/>
          <w:i/>
          <w:noProof/>
          <w:sz w:val="20"/>
          <w:szCs w:val="20"/>
        </w:rPr>
        <w:t>Key: “●”component significantly contributes to the pillar; “○” component partially contributes to the pillar</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lang w:val="en-IE"/>
        </w:rPr>
        <w:t>Green transition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w:t>
      </w:r>
      <w:r>
        <w:rPr>
          <w:rFonts w:ascii="Times New Roman" w:eastAsia="Times New Roman" w:hAnsi="Times New Roman" w:cs="Times New Roman"/>
          <w:b/>
          <w:bCs/>
          <w:noProof/>
          <w:sz w:val="24"/>
          <w:szCs w:val="24"/>
        </w:rPr>
        <w:t>recovery and resilience plan is designed to contribute to Greece’s green transition.</w:t>
      </w:r>
      <w:r>
        <w:rPr>
          <w:rFonts w:ascii="Times New Roman" w:eastAsia="Times New Roman" w:hAnsi="Times New Roman" w:cs="Times New Roman"/>
          <w:noProof/>
          <w:sz w:val="24"/>
          <w:szCs w:val="24"/>
        </w:rPr>
        <w:t xml:space="preserve"> The plan seems aligned with the priorities of the European Green Deal, the 2030 climate targets and the goal for climate neutrality by 2050. The plan also aims to address the specific targets of Greece’s National Energy and Climate Plan, and to incorporat</w:t>
      </w:r>
      <w:r>
        <w:rPr>
          <w:rFonts w:ascii="Times New Roman" w:eastAsia="Times New Roman" w:hAnsi="Times New Roman" w:cs="Times New Roman"/>
          <w:noProof/>
          <w:sz w:val="24"/>
          <w:szCs w:val="24"/>
        </w:rPr>
        <w:t>e the relevant Commission’s recommendations. In synergy with the draft national and territorial Just Transition Plans, the recovery and resilience plan takes into account the need to ensure a just transition, in view of the planned phase-out of lignite, an</w:t>
      </w:r>
      <w:r>
        <w:rPr>
          <w:rFonts w:ascii="Times New Roman" w:eastAsia="Times New Roman" w:hAnsi="Times New Roman" w:cs="Times New Roman"/>
          <w:noProof/>
          <w:sz w:val="24"/>
          <w:szCs w:val="24"/>
        </w:rPr>
        <w:t xml:space="preserve">d to tackle the challenge of energy poverty.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Reforms and investments in pillar 1 are the main drivers of Greece’s efforts towards green transition. </w:t>
      </w:r>
      <w:r>
        <w:rPr>
          <w:rFonts w:ascii="Times New Roman" w:eastAsia="Times New Roman" w:hAnsi="Times New Roman" w:cs="Times New Roman"/>
          <w:noProof/>
          <w:sz w:val="24"/>
          <w:szCs w:val="24"/>
        </w:rPr>
        <w:t>Component 1.1 aspires for the transition to a low-carbon energy model, the reduction in greenhouse gas emis</w:t>
      </w:r>
      <w:r>
        <w:rPr>
          <w:rFonts w:ascii="Times New Roman" w:eastAsia="Times New Roman" w:hAnsi="Times New Roman" w:cs="Times New Roman"/>
          <w:noProof/>
          <w:sz w:val="24"/>
          <w:szCs w:val="24"/>
        </w:rPr>
        <w:t xml:space="preserve">sions and the increase in the use of renewable energy sources. Investments in this area are expected to contribute to increasing the resilience of the electricity network, and to enhancing electricity interconnections between the islands and the mainland. </w:t>
      </w:r>
      <w:r>
        <w:rPr>
          <w:rFonts w:ascii="Times New Roman" w:eastAsia="Times New Roman" w:hAnsi="Times New Roman" w:cs="Times New Roman"/>
          <w:noProof/>
          <w:sz w:val="24"/>
          <w:szCs w:val="24"/>
        </w:rPr>
        <w:t xml:space="preserve">Further, the component is intended to promote Greece’s national target for the total phase-out of lignite, mainly through a measure to restore the land and promote its alternative use, including for recreational and commercial purposes. Component 1.2 sets </w:t>
      </w:r>
      <w:r>
        <w:rPr>
          <w:rFonts w:ascii="Times New Roman" w:eastAsia="Times New Roman" w:hAnsi="Times New Roman" w:cs="Times New Roman"/>
          <w:noProof/>
          <w:sz w:val="24"/>
          <w:szCs w:val="24"/>
        </w:rPr>
        <w:t>energy efficiency and climate mitigation and adaptation actions for Greece’s housing stock as a key priority. The component includes reforms and investments that promote the energy-efficient renovation and upgrade of buildings, with specific funds allocate</w:t>
      </w:r>
      <w:r>
        <w:rPr>
          <w:rFonts w:ascii="Times New Roman" w:eastAsia="Times New Roman" w:hAnsi="Times New Roman" w:cs="Times New Roman"/>
          <w:noProof/>
          <w:sz w:val="24"/>
          <w:szCs w:val="24"/>
        </w:rPr>
        <w:t>d for energy poor households. Further, the component covers measures on the implementation of urban and spatial planning, and the development of strategic green urban regeneration projects. The component is also expected to contribute to the national and E</w:t>
      </w:r>
      <w:r>
        <w:rPr>
          <w:rFonts w:ascii="Times New Roman" w:eastAsia="Times New Roman" w:hAnsi="Times New Roman" w:cs="Times New Roman"/>
          <w:noProof/>
          <w:sz w:val="24"/>
          <w:szCs w:val="24"/>
        </w:rPr>
        <w:t>U climate objectives linked to the reduction of greenhouse gas emissions, and overall improve the cities’ resilience to climate change. Component 1.3 introduces reforms that enable the installation and operation of charging infrastructure for electric vehi</w:t>
      </w:r>
      <w:r>
        <w:rPr>
          <w:rFonts w:ascii="Times New Roman" w:eastAsia="Times New Roman" w:hAnsi="Times New Roman" w:cs="Times New Roman"/>
          <w:noProof/>
          <w:sz w:val="24"/>
          <w:szCs w:val="24"/>
        </w:rPr>
        <w:t>cles, in an attempt to move towards more green and sustainable transport. It provides for financial support for the installation of publicly accessible charging points for electric vehicles and foresees investments enhancing the electrification of urban an</w:t>
      </w:r>
      <w:r>
        <w:rPr>
          <w:rFonts w:ascii="Times New Roman" w:eastAsia="Times New Roman" w:hAnsi="Times New Roman" w:cs="Times New Roman"/>
          <w:noProof/>
          <w:sz w:val="24"/>
          <w:szCs w:val="24"/>
        </w:rPr>
        <w:t>d public transport. It also includes the development of the first CO</w:t>
      </w:r>
      <w:r>
        <w:rPr>
          <w:rFonts w:ascii="Times New Roman" w:eastAsia="Times New Roman" w:hAnsi="Times New Roman" w:cs="Times New Roman"/>
          <w:noProof/>
          <w:sz w:val="24"/>
          <w:szCs w:val="24"/>
          <w:vertAlign w:val="subscript"/>
        </w:rPr>
        <w:t>2</w:t>
      </w:r>
      <w:r>
        <w:rPr>
          <w:rFonts w:ascii="Times New Roman" w:eastAsia="Times New Roman" w:hAnsi="Times New Roman" w:cs="Times New Roman"/>
          <w:noProof/>
          <w:sz w:val="24"/>
          <w:szCs w:val="24"/>
        </w:rPr>
        <w:t xml:space="preserve"> storage facility in the country. Component 1.4 includes actions related to waste and water management, protection of the environment (reforestation initiatives and protection of biodiver</w:t>
      </w:r>
      <w:r>
        <w:rPr>
          <w:rFonts w:ascii="Times New Roman" w:eastAsia="Times New Roman" w:hAnsi="Times New Roman" w:cs="Times New Roman"/>
          <w:noProof/>
          <w:sz w:val="24"/>
          <w:szCs w:val="24"/>
        </w:rPr>
        <w:t>sity), and upgrading the capabilities of the civil protection mechanism.</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Components in other pillars also contribute in a complementary manner to the green transition. </w:t>
      </w:r>
      <w:r>
        <w:rPr>
          <w:rFonts w:ascii="Times New Roman" w:eastAsia="Times New Roman" w:hAnsi="Times New Roman" w:cs="Times New Roman"/>
          <w:noProof/>
          <w:sz w:val="24"/>
          <w:szCs w:val="24"/>
        </w:rPr>
        <w:t>For</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example, component 2.2 supports the implementation of policies to reduce waste and e</w:t>
      </w:r>
      <w:r>
        <w:rPr>
          <w:rFonts w:ascii="Times New Roman" w:eastAsia="Times New Roman" w:hAnsi="Times New Roman" w:cs="Times New Roman"/>
          <w:noProof/>
          <w:sz w:val="24"/>
          <w:szCs w:val="24"/>
        </w:rPr>
        <w:t>nergy consumption by setting a requirement for data centres to be compliant with the relevant European Code of Conduct. Components in pillar 3 on employment, skills and social cohesion contain measures that are intended to promote circular economy upskilli</w:t>
      </w:r>
      <w:r>
        <w:rPr>
          <w:rFonts w:ascii="Times New Roman" w:eastAsia="Times New Roman" w:hAnsi="Times New Roman" w:cs="Times New Roman"/>
          <w:noProof/>
          <w:sz w:val="24"/>
          <w:szCs w:val="24"/>
        </w:rPr>
        <w:t>ng and reskilling programmes, and assist the unemployed, the working-age population and students in developing green skills and competencies. Component 4.3, with renovations and constructions of new energy-efficient and low-emissions court buildings, is ex</w:t>
      </w:r>
      <w:r>
        <w:rPr>
          <w:rFonts w:ascii="Times New Roman" w:eastAsia="Times New Roman" w:hAnsi="Times New Roman" w:cs="Times New Roman"/>
          <w:noProof/>
          <w:sz w:val="24"/>
          <w:szCs w:val="24"/>
        </w:rPr>
        <w:t>pected to contribute to reducing Greece’s energy footprint. Investments in component 4.6 concerning infrastructure and equipment renovations could decrease emissions and improve energy efficiency, while others target at the establishment of spatial and urb</w:t>
      </w:r>
      <w:r>
        <w:rPr>
          <w:rFonts w:ascii="Times New Roman" w:eastAsia="Times New Roman" w:hAnsi="Times New Roman" w:cs="Times New Roman"/>
          <w:noProof/>
          <w:sz w:val="24"/>
          <w:szCs w:val="24"/>
        </w:rPr>
        <w:t>an planning. Finally, the Loan Facility is designed to allocate at least 37% of the value of the loans’ portfolio towards the green transition, including biodiversity.</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lang w:val="en-IE"/>
        </w:rPr>
        <w:t>Digital transformation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also contributes to Greece’s dig</w:t>
      </w:r>
      <w:r>
        <w:rPr>
          <w:rFonts w:ascii="Times New Roman" w:eastAsia="Times New Roman" w:hAnsi="Times New Roman" w:cs="Times New Roman"/>
          <w:b/>
          <w:bCs/>
          <w:noProof/>
          <w:sz w:val="24"/>
          <w:szCs w:val="24"/>
        </w:rPr>
        <w:t xml:space="preserve">ital transformation. </w:t>
      </w:r>
      <w:r>
        <w:rPr>
          <w:rFonts w:ascii="Times New Roman" w:eastAsia="Times New Roman" w:hAnsi="Times New Roman" w:cs="Times New Roman"/>
          <w:noProof/>
          <w:sz w:val="24"/>
          <w:szCs w:val="24"/>
        </w:rPr>
        <w:t>The plan assigns a specific amount of funds to digital actions, while it appears aligned with key objectives of ‘Shaping Europe’s digital future’. These concern interoperability in the design of public services, connectivity and enhanc</w:t>
      </w:r>
      <w:r>
        <w:rPr>
          <w:rFonts w:ascii="Times New Roman" w:eastAsia="Times New Roman" w:hAnsi="Times New Roman" w:cs="Times New Roman"/>
          <w:noProof/>
          <w:sz w:val="24"/>
          <w:szCs w:val="24"/>
        </w:rPr>
        <w:t>ed broadband connections, cybersecurity, artificial intelligence, development of digital skills, availability of open data, and the empowerment and equal participation of women, older people and vulnerable groups in the digital age. The measures are design</w:t>
      </w:r>
      <w:r>
        <w:rPr>
          <w:rFonts w:ascii="Times New Roman" w:eastAsia="Times New Roman" w:hAnsi="Times New Roman" w:cs="Times New Roman"/>
          <w:noProof/>
          <w:sz w:val="24"/>
          <w:szCs w:val="24"/>
        </w:rPr>
        <w:t xml:space="preserve">ed to improve Greece’s position in connectivity and broadband coverage, as well as its overall digital performance.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Pillar 2 of the plan includes actions that enhance connectivity, and the digitalisation of public administration and businesses. </w:t>
      </w:r>
      <w:r>
        <w:rPr>
          <w:rFonts w:ascii="Times New Roman" w:eastAsia="Times New Roman" w:hAnsi="Times New Roman" w:cs="Times New Roman"/>
          <w:noProof/>
          <w:sz w:val="24"/>
          <w:szCs w:val="24"/>
        </w:rPr>
        <w:t xml:space="preserve">Component </w:t>
      </w:r>
      <w:r>
        <w:rPr>
          <w:rFonts w:ascii="Times New Roman" w:eastAsia="Times New Roman" w:hAnsi="Times New Roman" w:cs="Times New Roman"/>
          <w:noProof/>
          <w:sz w:val="24"/>
          <w:szCs w:val="24"/>
        </w:rPr>
        <w:t>2.1 contains investments to facilitate the installation of fibre optic in buildings, the development of 5G networks covering all major Greek highways, the deployment of submarine fibre cables to connect mainland Greece with the Greek islands and Cyprus, an</w:t>
      </w:r>
      <w:r>
        <w:rPr>
          <w:rFonts w:ascii="Times New Roman" w:eastAsia="Times New Roman" w:hAnsi="Times New Roman" w:cs="Times New Roman"/>
          <w:noProof/>
          <w:sz w:val="24"/>
          <w:szCs w:val="24"/>
        </w:rPr>
        <w:t>d the utilisation of space technologies and applications. Reforms institute the framework needed to facilitate the switch to fast broadband connections and the transition to 5G technology. Measures in component 2.2 target the digital transformation of publ</w:t>
      </w:r>
      <w:r>
        <w:rPr>
          <w:rFonts w:ascii="Times New Roman" w:eastAsia="Times New Roman" w:hAnsi="Times New Roman" w:cs="Times New Roman"/>
          <w:noProof/>
          <w:sz w:val="24"/>
          <w:szCs w:val="24"/>
        </w:rPr>
        <w:t>ic sector entities (archives and enhanced digital services), business process improvements, increased interoperability between systems and data, cybersecurity and data governance strategies and policies, as well as extended use of advanced technologies (cl</w:t>
      </w:r>
      <w:r>
        <w:rPr>
          <w:rFonts w:ascii="Times New Roman" w:eastAsia="Times New Roman" w:hAnsi="Times New Roman" w:cs="Times New Roman"/>
          <w:noProof/>
          <w:sz w:val="24"/>
          <w:szCs w:val="24"/>
        </w:rPr>
        <w:t>oud computing and big data). Component 2.3 aims to boost the adoption of digital technologies by businesses (in particular SMEs) by tackling key challenges of digital inclusion. Initiatives will allow for the creation of the digital business ecosystem, and</w:t>
      </w:r>
      <w:r>
        <w:rPr>
          <w:rFonts w:ascii="Times New Roman" w:eastAsia="Times New Roman" w:hAnsi="Times New Roman" w:cs="Times New Roman"/>
          <w:noProof/>
          <w:sz w:val="24"/>
          <w:szCs w:val="24"/>
        </w:rPr>
        <w:t xml:space="preserve"> will support SMEs in obtaining digital services, data platforms and spaces, and new technology cash registers and Point-Of-Sale (POS) terminals.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Employment, skills and social cohesion measures further contribute to the digital transformation.</w:t>
      </w:r>
      <w:r>
        <w:rPr>
          <w:rFonts w:ascii="Times New Roman" w:eastAsia="Times New Roman" w:hAnsi="Times New Roman" w:cs="Times New Roman"/>
          <w:noProof/>
          <w:sz w:val="24"/>
          <w:szCs w:val="24"/>
        </w:rPr>
        <w:t xml:space="preserve"> Investments </w:t>
      </w:r>
      <w:r>
        <w:rPr>
          <w:rFonts w:ascii="Times New Roman" w:eastAsia="Times New Roman" w:hAnsi="Times New Roman" w:cs="Times New Roman"/>
          <w:noProof/>
          <w:sz w:val="24"/>
          <w:szCs w:val="24"/>
        </w:rPr>
        <w:t>in component 3.1 concerning IT system integrations, services upgrades, and systems interoperability contribute to the digital transition in key sectors of the employment and social security public services. Component 3.2 aims at the development of e-learni</w:t>
      </w:r>
      <w:r>
        <w:rPr>
          <w:rFonts w:ascii="Times New Roman" w:eastAsia="Times New Roman" w:hAnsi="Times New Roman" w:cs="Times New Roman"/>
          <w:noProof/>
          <w:sz w:val="24"/>
          <w:szCs w:val="24"/>
        </w:rPr>
        <w:t>ng and digitised training content to support the digital transformation of the education and training system, and at the establishment of new systems to enable the workforce to acquire digital skills. Component 3.3 provides for investments in the digital t</w:t>
      </w:r>
      <w:r>
        <w:rPr>
          <w:rFonts w:ascii="Times New Roman" w:eastAsia="Times New Roman" w:hAnsi="Times New Roman" w:cs="Times New Roman"/>
          <w:noProof/>
          <w:sz w:val="24"/>
          <w:szCs w:val="24"/>
        </w:rPr>
        <w:t>ransformation of health, which aim at facilitating the deployment of sustainable digital healthcare solutions (including to deal with pandemics), the development of digital infrastructure and applications to utilise the skills of the medical and clinical w</w:t>
      </w:r>
      <w:r>
        <w:rPr>
          <w:rFonts w:ascii="Times New Roman" w:eastAsia="Times New Roman" w:hAnsi="Times New Roman" w:cs="Times New Roman"/>
          <w:noProof/>
          <w:sz w:val="24"/>
          <w:szCs w:val="24"/>
        </w:rPr>
        <w:t>orkforce, and the modernisation and strengthening of governance. Component 3.4 also provides for digital reform elements, including simplification of access to social assistance schemes, enhancements in control and monitoring systems, and development of di</w:t>
      </w:r>
      <w:r>
        <w:rPr>
          <w:rFonts w:ascii="Times New Roman" w:eastAsia="Times New Roman" w:hAnsi="Times New Roman" w:cs="Times New Roman"/>
          <w:noProof/>
          <w:sz w:val="24"/>
          <w:szCs w:val="24"/>
        </w:rPr>
        <w:t>gital skills of staff in social welfare institutions.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Measures in pillar 4 target the digitalisation of public administration, the judicial and financial systems, and key sectors of the economy.</w:t>
      </w:r>
      <w:r>
        <w:rPr>
          <w:rFonts w:ascii="Times New Roman" w:eastAsia="Times New Roman" w:hAnsi="Times New Roman" w:cs="Times New Roman"/>
          <w:noProof/>
          <w:sz w:val="24"/>
          <w:szCs w:val="24"/>
        </w:rPr>
        <w:t xml:space="preserve"> Component 4.1 foresees the digitalisation of the national tax</w:t>
      </w:r>
      <w:r>
        <w:rPr>
          <w:rFonts w:ascii="Times New Roman" w:eastAsia="Times New Roman" w:hAnsi="Times New Roman" w:cs="Times New Roman"/>
          <w:noProof/>
          <w:sz w:val="24"/>
          <w:szCs w:val="24"/>
        </w:rPr>
        <w:t xml:space="preserve"> authorities through the replacement and upgrade of core digital systems, the introduction of automated office and work processes, the digitalisation of audits and controls, as well as the update and improvement of taxpayer e-services. The creation of new </w:t>
      </w:r>
      <w:r>
        <w:rPr>
          <w:rFonts w:ascii="Times New Roman" w:eastAsia="Times New Roman" w:hAnsi="Times New Roman" w:cs="Times New Roman"/>
          <w:noProof/>
          <w:sz w:val="24"/>
          <w:szCs w:val="24"/>
        </w:rPr>
        <w:t>integrated IT systems in the public administration, through the upgrade of existing digital infrastructure, as well as through enhanced systems’ interoperability, are described in component 4.2. Component 4.3 contains reforms and investments focused on the</w:t>
      </w:r>
      <w:r>
        <w:rPr>
          <w:rFonts w:ascii="Times New Roman" w:eastAsia="Times New Roman" w:hAnsi="Times New Roman" w:cs="Times New Roman"/>
          <w:noProof/>
          <w:sz w:val="24"/>
          <w:szCs w:val="24"/>
        </w:rPr>
        <w:t xml:space="preserve"> digitalisation of the judicial system, including the digital integration of the systems of courts and the Ministry of Justice, the upgrade of control management mechanisms, and the implementation of smart infrastructures. Component 4.4 introduces digital </w:t>
      </w:r>
      <w:r>
        <w:rPr>
          <w:rFonts w:ascii="Times New Roman" w:eastAsia="Times New Roman" w:hAnsi="Times New Roman" w:cs="Times New Roman"/>
          <w:noProof/>
          <w:sz w:val="24"/>
          <w:szCs w:val="24"/>
        </w:rPr>
        <w:t>systems, technologies and infrastructures (e.g. credit bureau, registries) that are expected to assist in monitoring financial market information and credit expansion, removing information asymmetries, and improving the IT infrastructure of the supervisory</w:t>
      </w:r>
      <w:r>
        <w:rPr>
          <w:rFonts w:ascii="Times New Roman" w:eastAsia="Times New Roman" w:hAnsi="Times New Roman" w:cs="Times New Roman"/>
          <w:noProof/>
          <w:sz w:val="24"/>
          <w:szCs w:val="24"/>
        </w:rPr>
        <w:t xml:space="preserve"> authority. Development of advanced digital technologies, and enhanced coordination of competent authorities for civil protection are envisaged through an investment in component 4.5. Component 4.6 contains actions on digital solutions tailored to key econ</w:t>
      </w:r>
      <w:r>
        <w:rPr>
          <w:rFonts w:ascii="Times New Roman" w:eastAsia="Times New Roman" w:hAnsi="Times New Roman" w:cs="Times New Roman"/>
          <w:noProof/>
          <w:sz w:val="24"/>
          <w:szCs w:val="24"/>
        </w:rPr>
        <w:t>omic sectors, namely tourism, culture, agriculture, manufacturing and aquaculture, as well as national transportation and logistics infrastructure. Finally, the Loan Facility is designed to allocate at least 20% of the value of the loans’ portfolio towards</w:t>
      </w:r>
      <w:r>
        <w:rPr>
          <w:rFonts w:ascii="Times New Roman" w:eastAsia="Times New Roman" w:hAnsi="Times New Roman" w:cs="Times New Roman"/>
          <w:noProof/>
          <w:sz w:val="24"/>
          <w:szCs w:val="24"/>
        </w:rPr>
        <w:t xml:space="preserve"> the digital transformation.</w:t>
      </w:r>
    </w:p>
    <w:p w:rsidR="00176373" w:rsidRDefault="00E474D1">
      <w:pPr>
        <w:spacing w:line="257" w:lineRule="auto"/>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Smart, sustainable and inclusive growth, including economic cohesion, jobs, productivity, competitiveness, research, development and innovation, and a well-functioning internal market with strong SMEs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Investments in the plan ha</w:t>
      </w:r>
      <w:r>
        <w:rPr>
          <w:rFonts w:ascii="Times New Roman" w:eastAsia="Times New Roman" w:hAnsi="Times New Roman" w:cs="Times New Roman"/>
          <w:b/>
          <w:bCs/>
          <w:noProof/>
          <w:sz w:val="24"/>
          <w:szCs w:val="24"/>
        </w:rPr>
        <w:t xml:space="preserve">ve the potential to enhance productivity and foster smart and sustainable growth. </w:t>
      </w:r>
      <w:r>
        <w:rPr>
          <w:rFonts w:ascii="Times New Roman" w:eastAsia="Times New Roman" w:hAnsi="Times New Roman" w:cs="Times New Roman"/>
          <w:noProof/>
          <w:sz w:val="24"/>
          <w:szCs w:val="24"/>
        </w:rPr>
        <w:t xml:space="preserve">The plan contains a series of measures that are expected to directly or indirectly support private investments, including for SMEs. For instance, Public Private Partnerships </w:t>
      </w:r>
      <w:r>
        <w:rPr>
          <w:rFonts w:ascii="Times New Roman" w:eastAsia="Times New Roman" w:hAnsi="Times New Roman" w:cs="Times New Roman"/>
          <w:noProof/>
          <w:sz w:val="24"/>
          <w:szCs w:val="24"/>
        </w:rPr>
        <w:t>for large infrastructure projects on irrigation and flood mitigation, civil protection, and upgrading of rail network, are foreseen in components 1.4 and 4.6. Support measures under component 2.3 aim towards the digital transformation of SMEs, including th</w:t>
      </w:r>
      <w:r>
        <w:rPr>
          <w:rFonts w:ascii="Times New Roman" w:eastAsia="Times New Roman" w:hAnsi="Times New Roman" w:cs="Times New Roman"/>
          <w:noProof/>
          <w:sz w:val="24"/>
          <w:szCs w:val="24"/>
        </w:rPr>
        <w:t>rough digital upskilling and integration of new technologies to support e-commerce and e-invoicing. A number of aid schemes and upskilling programmes are also included in component 4.6, which target at fostering greater productivity, through smart and ener</w:t>
      </w:r>
      <w:r>
        <w:rPr>
          <w:rFonts w:ascii="Times New Roman" w:eastAsia="Times New Roman" w:hAnsi="Times New Roman" w:cs="Times New Roman"/>
          <w:noProof/>
          <w:sz w:val="24"/>
          <w:szCs w:val="24"/>
        </w:rPr>
        <w:t>gy-efficient solutions and promoting trade in key areas for Greece (such as aquaculture, processed agricultural products, cultural tourism, and manufacturing). Further, the Loan Facility will provide loans as incentives for private investments that will be</w:t>
      </w:r>
      <w:r>
        <w:rPr>
          <w:rFonts w:ascii="Times New Roman" w:eastAsia="Times New Roman" w:hAnsi="Times New Roman" w:cs="Times New Roman"/>
          <w:noProof/>
          <w:sz w:val="24"/>
          <w:szCs w:val="24"/>
        </w:rPr>
        <w:t xml:space="preserve"> distributed through financial institutions, the deployment of an equity platform, and InvestEU. The funds will be directed to long-term private sector investments and finance projects with positive expected rate of return.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With reference to smart and inc</w:t>
      </w:r>
      <w:r>
        <w:rPr>
          <w:rFonts w:ascii="Times New Roman" w:eastAsia="Times New Roman" w:hAnsi="Times New Roman" w:cs="Times New Roman"/>
          <w:b/>
          <w:bCs/>
          <w:noProof/>
          <w:sz w:val="24"/>
          <w:szCs w:val="24"/>
        </w:rPr>
        <w:t>lusive growth, important interventions are introduced to stimulate R&amp;D performance, increase employment, and link skills to jobs.</w:t>
      </w:r>
      <w:r>
        <w:rPr>
          <w:rFonts w:ascii="Times New Roman" w:eastAsia="Times New Roman" w:hAnsi="Times New Roman" w:cs="Times New Roman"/>
          <w:noProof/>
          <w:sz w:val="24"/>
          <w:szCs w:val="24"/>
        </w:rPr>
        <w:t xml:space="preserve"> Component 4.5 targets at enhancing public and private investment in R&amp;D, strengthening the links between science and business,</w:t>
      </w:r>
      <w:r>
        <w:rPr>
          <w:rFonts w:ascii="Times New Roman" w:eastAsia="Times New Roman" w:hAnsi="Times New Roman" w:cs="Times New Roman"/>
          <w:noProof/>
          <w:sz w:val="24"/>
          <w:szCs w:val="24"/>
        </w:rPr>
        <w:t xml:space="preserve"> developing R&amp;D infrastructure, and encouraging innovative companies to invest in R&amp;D. Through these, it is envisaged to increase competitiveness and the exploitation of intellectual property rights, empower the start-up innovation ecosystem, mobilise R&amp;D </w:t>
      </w:r>
      <w:r>
        <w:rPr>
          <w:rFonts w:ascii="Times New Roman" w:eastAsia="Times New Roman" w:hAnsi="Times New Roman" w:cs="Times New Roman"/>
          <w:noProof/>
          <w:sz w:val="24"/>
          <w:szCs w:val="24"/>
        </w:rPr>
        <w:t xml:space="preserve">expenditure, while reversing the ‘brain drain’. Also related to job creation, component 3.1 aims at facilitating labour market activation to promote full-time employment and safeguard against unemployment. Finally, component 3.2 on education, training and </w:t>
      </w:r>
      <w:r>
        <w:rPr>
          <w:rFonts w:ascii="Times New Roman" w:eastAsia="Times New Roman" w:hAnsi="Times New Roman" w:cs="Times New Roman"/>
          <w:noProof/>
          <w:sz w:val="24"/>
          <w:szCs w:val="24"/>
        </w:rPr>
        <w:t>skills, includes reforms at all levels of education with an overall aim to increase long-term employment and productivity by effectively addressing skills mismatch and creating a direct link between qualifications and labour market needs.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These measures ar</w:t>
      </w:r>
      <w:r>
        <w:rPr>
          <w:rFonts w:ascii="Times New Roman" w:eastAsia="Times New Roman" w:hAnsi="Times New Roman" w:cs="Times New Roman"/>
          <w:b/>
          <w:bCs/>
          <w:noProof/>
          <w:sz w:val="24"/>
          <w:szCs w:val="24"/>
        </w:rPr>
        <w:t>e flanked by important reforms of the business environment.</w:t>
      </w:r>
      <w:r>
        <w:rPr>
          <w:rFonts w:ascii="Times New Roman" w:eastAsia="Times New Roman" w:hAnsi="Times New Roman" w:cs="Times New Roman"/>
          <w:noProof/>
          <w:sz w:val="24"/>
          <w:szCs w:val="24"/>
        </w:rPr>
        <w:t xml:space="preserve"> Specifically, component 4.7 provides for the introduction of tax incentives, cooperation to promote economies of scale and extroversion of enterprises, the simplification of key administrative pro</w:t>
      </w:r>
      <w:r>
        <w:rPr>
          <w:rFonts w:ascii="Times New Roman" w:eastAsia="Times New Roman" w:hAnsi="Times New Roman" w:cs="Times New Roman"/>
          <w:noProof/>
          <w:sz w:val="24"/>
          <w:szCs w:val="24"/>
        </w:rPr>
        <w:t>cesses such as registering property and obtaining construction permits, and improvements in the quality of regulation particularly in areas such as manufacturing and logistics.</w:t>
      </w:r>
      <w:r>
        <w:rPr>
          <w:rFonts w:ascii="Times New Roman" w:eastAsia="Times New Roman" w:hAnsi="Times New Roman" w:cs="Times New Roman"/>
          <w:noProof/>
          <w:color w:val="FF0000"/>
          <w:sz w:val="24"/>
          <w:szCs w:val="24"/>
        </w:rPr>
        <w:t xml:space="preserve"> </w:t>
      </w:r>
      <w:r>
        <w:rPr>
          <w:rFonts w:ascii="Times New Roman" w:eastAsia="Times New Roman" w:hAnsi="Times New Roman" w:cs="Times New Roman"/>
          <w:noProof/>
          <w:sz w:val="24"/>
          <w:szCs w:val="24"/>
        </w:rPr>
        <w:t>Among others, proposed measures aim to support the sustainable development of a</w:t>
      </w:r>
      <w:r>
        <w:rPr>
          <w:rFonts w:ascii="Times New Roman" w:eastAsia="Times New Roman" w:hAnsi="Times New Roman" w:cs="Times New Roman"/>
          <w:noProof/>
          <w:sz w:val="24"/>
          <w:szCs w:val="24"/>
        </w:rPr>
        <w:t>griculture and the promotion of Greek agricultural and food products. In addition, component 4.6 contains a reform of the legal framework on the attraction of strategic investments, including the creation of a new category of investments with additional in</w:t>
      </w:r>
      <w:r>
        <w:rPr>
          <w:rFonts w:ascii="Times New Roman" w:eastAsia="Times New Roman" w:hAnsi="Times New Roman" w:cs="Times New Roman"/>
          <w:noProof/>
          <w:sz w:val="24"/>
          <w:szCs w:val="24"/>
        </w:rPr>
        <w:t>centives, the simplification and consolidation of the licensing procedure, and the inclusion of new fields of economic activity.</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Broader reforms in the public administration and justice domains further contribute to sustainable growth</w:t>
      </w:r>
      <w:r>
        <w:rPr>
          <w:rFonts w:ascii="Times New Roman" w:eastAsia="Times New Roman" w:hAnsi="Times New Roman" w:cs="Times New Roman"/>
          <w:noProof/>
          <w:sz w:val="24"/>
          <w:szCs w:val="24"/>
        </w:rPr>
        <w:t xml:space="preserve">. The plan provides </w:t>
      </w:r>
      <w:r>
        <w:rPr>
          <w:rFonts w:ascii="Times New Roman" w:eastAsia="Times New Roman" w:hAnsi="Times New Roman" w:cs="Times New Roman"/>
          <w:noProof/>
          <w:sz w:val="24"/>
          <w:szCs w:val="24"/>
        </w:rPr>
        <w:t>for measures aiming at enhancing the efficiency of the public administration (mainly in component 4.2). These include the improvement of administrative capacity, the enhancement of coordination, and the implementation of public investment projects. Other r</w:t>
      </w:r>
      <w:r>
        <w:rPr>
          <w:rFonts w:ascii="Times New Roman" w:eastAsia="Times New Roman" w:hAnsi="Times New Roman" w:cs="Times New Roman"/>
          <w:noProof/>
          <w:sz w:val="24"/>
          <w:szCs w:val="24"/>
        </w:rPr>
        <w:t>eforms in this area target the public procurement framework, the continued modernisation of the public financial management framework, the strengthening of transparency, as well as the fight against corruption and illicit trade. The plan also contains crit</w:t>
      </w:r>
      <w:r>
        <w:rPr>
          <w:rFonts w:ascii="Times New Roman" w:eastAsia="Times New Roman" w:hAnsi="Times New Roman" w:cs="Times New Roman"/>
          <w:noProof/>
          <w:sz w:val="24"/>
          <w:szCs w:val="24"/>
        </w:rPr>
        <w:t>ical reforms to increase the efficiency of the judicial sector (component 4.3). These measures, in conjunction with the ones indicated in the previous paragraphs, are integral to sustain growth and support productivity, competitiveness and a well-functioni</w:t>
      </w:r>
      <w:r>
        <w:rPr>
          <w:rFonts w:ascii="Times New Roman" w:eastAsia="Times New Roman" w:hAnsi="Times New Roman" w:cs="Times New Roman"/>
          <w:noProof/>
          <w:sz w:val="24"/>
          <w:szCs w:val="24"/>
        </w:rPr>
        <w:t>ng internal market.</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lang w:val="en-IE"/>
        </w:rPr>
        <w:t>Social and territorial cohesion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Components in pillar 3 are designed to address challenges related to labour market participation and skills development. </w:t>
      </w:r>
      <w:r>
        <w:rPr>
          <w:rFonts w:ascii="Times New Roman" w:eastAsia="Times New Roman" w:hAnsi="Times New Roman" w:cs="Times New Roman"/>
          <w:noProof/>
          <w:sz w:val="24"/>
          <w:szCs w:val="24"/>
        </w:rPr>
        <w:t>Component 3.1 encompasses the redesign and strengthening of active labour market po</w:t>
      </w:r>
      <w:r>
        <w:rPr>
          <w:rFonts w:ascii="Times New Roman" w:eastAsia="Times New Roman" w:hAnsi="Times New Roman" w:cs="Times New Roman"/>
          <w:noProof/>
          <w:sz w:val="24"/>
          <w:szCs w:val="24"/>
        </w:rPr>
        <w:t>licies, with the objective to promote labour market activation, facilitate the transition from unemployment to full-time employment, and provide an effective safety net against unemployment. In this respect, the proposed programmes provide subsidies for pr</w:t>
      </w:r>
      <w:r>
        <w:rPr>
          <w:rFonts w:ascii="Times New Roman" w:eastAsia="Times New Roman" w:hAnsi="Times New Roman" w:cs="Times New Roman"/>
          <w:noProof/>
          <w:sz w:val="24"/>
          <w:szCs w:val="24"/>
        </w:rPr>
        <w:t>ivate sector employment, some of them combined with training, and target the most vulnerable segments of the labour force. Increase in the number of staff of the public employment service is expected to facilitate individualized approach to jobseekers. The</w:t>
      </w:r>
      <w:r>
        <w:rPr>
          <w:rFonts w:ascii="Times New Roman" w:eastAsia="Times New Roman" w:hAnsi="Times New Roman" w:cs="Times New Roman"/>
          <w:noProof/>
          <w:sz w:val="24"/>
          <w:szCs w:val="24"/>
        </w:rPr>
        <w:t>se reforms are complemented by passive labour market policies, including an incentives-compatible framework of unemployment benefits to disincentivise inactivity, and encourage employment-enhancing participation in upskilling and reskilling programmes. Com</w:t>
      </w:r>
      <w:r>
        <w:rPr>
          <w:rFonts w:ascii="Times New Roman" w:eastAsia="Times New Roman" w:hAnsi="Times New Roman" w:cs="Times New Roman"/>
          <w:noProof/>
          <w:sz w:val="24"/>
          <w:szCs w:val="24"/>
        </w:rPr>
        <w:t>ponent 3.2 includes a reform on the governance of training provision for upskilling, reskilling and lifelong learning, combined with investment in training programmes that cover the entire labour force, and aim at reducing skill mismatches and supporting t</w:t>
      </w:r>
      <w:r>
        <w:rPr>
          <w:rFonts w:ascii="Times New Roman" w:eastAsia="Times New Roman" w:hAnsi="Times New Roman" w:cs="Times New Roman"/>
          <w:noProof/>
          <w:sz w:val="24"/>
          <w:szCs w:val="24"/>
        </w:rPr>
        <w:t>he green and digital transition.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 contains certain measures that are expected to contribute to addressing the country’s challenges in the area of gender equality and equal opportunities for all. </w:t>
      </w:r>
      <w:r>
        <w:rPr>
          <w:rFonts w:ascii="Times New Roman" w:eastAsia="Times New Roman" w:hAnsi="Times New Roman" w:cs="Times New Roman"/>
          <w:noProof/>
          <w:sz w:val="24"/>
          <w:szCs w:val="24"/>
        </w:rPr>
        <w:t xml:space="preserve">These include several measures to enhance employment </w:t>
      </w:r>
      <w:r>
        <w:rPr>
          <w:rFonts w:ascii="Times New Roman" w:eastAsia="Times New Roman" w:hAnsi="Times New Roman" w:cs="Times New Roman"/>
          <w:noProof/>
          <w:sz w:val="24"/>
          <w:szCs w:val="24"/>
        </w:rPr>
        <w:t>of women, including by expanding childcare facilities in municipalities and creating childcare units in companies. Equal opportunities are also promoted through measures to support labour market integration of the most disadvantaged groups with higher barr</w:t>
      </w:r>
      <w:r>
        <w:rPr>
          <w:rFonts w:ascii="Times New Roman" w:eastAsia="Times New Roman" w:hAnsi="Times New Roman" w:cs="Times New Roman"/>
          <w:noProof/>
          <w:sz w:val="24"/>
          <w:szCs w:val="24"/>
        </w:rPr>
        <w:t>iers to employment, such as refugees, beneficiaries of the guaranteed minimum income, homeless people, Roma or persons with disabilities. The plan also includes equality considerations in other measures, for example, early disability detection for children</w:t>
      </w:r>
      <w:r>
        <w:rPr>
          <w:rFonts w:ascii="Times New Roman" w:eastAsia="Times New Roman" w:hAnsi="Times New Roman" w:cs="Times New Roman"/>
          <w:noProof/>
          <w:sz w:val="24"/>
          <w:szCs w:val="24"/>
        </w:rPr>
        <w:t>, touristic infrastructures accessible for persons with disabilities, thermal renovation of buildings to tackle energy poverty, training for diversity awareness, strengthened equality data collection, and addressing issues of debt and insolvency for the mo</w:t>
      </w:r>
      <w:r>
        <w:rPr>
          <w:rFonts w:ascii="Times New Roman" w:eastAsia="Times New Roman" w:hAnsi="Times New Roman" w:cs="Times New Roman"/>
          <w:noProof/>
          <w:sz w:val="24"/>
          <w:szCs w:val="24"/>
        </w:rPr>
        <w:t>st disadvantaged households.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Investments in transport infrastructure, and energy and climate actions are expected to contribute to territorial cohesion. </w:t>
      </w:r>
      <w:r>
        <w:rPr>
          <w:rFonts w:ascii="Times New Roman" w:eastAsia="Times New Roman" w:hAnsi="Times New Roman" w:cs="Times New Roman"/>
          <w:noProof/>
          <w:sz w:val="24"/>
          <w:szCs w:val="24"/>
        </w:rPr>
        <w:t>Component 4.6 contains a number of infrastructure investments across Greece’s regions, which are intend</w:t>
      </w:r>
      <w:r>
        <w:rPr>
          <w:rFonts w:ascii="Times New Roman" w:eastAsia="Times New Roman" w:hAnsi="Times New Roman" w:cs="Times New Roman"/>
          <w:noProof/>
          <w:sz w:val="24"/>
          <w:szCs w:val="24"/>
        </w:rPr>
        <w:t xml:space="preserve">ed to promote high-quality, multimodal, climate-resilient, and safe transport. Together with the reform of the regulatory framework of public contracts, this is expected to improve connectivity and ensure green transition in all parts of the country. This </w:t>
      </w:r>
      <w:r>
        <w:rPr>
          <w:rFonts w:ascii="Times New Roman" w:eastAsia="Times New Roman" w:hAnsi="Times New Roman" w:cs="Times New Roman"/>
          <w:noProof/>
          <w:sz w:val="24"/>
          <w:szCs w:val="24"/>
        </w:rPr>
        <w:t>component also foresees measures to boost regional growth through interventions in the culture, tourism and agriculture sectors. In addition, the plan includes investments that are geographically distributed across Greece, such as: (i) upgrades in the elec</w:t>
      </w:r>
      <w:r>
        <w:rPr>
          <w:rFonts w:ascii="Times New Roman" w:eastAsia="Times New Roman" w:hAnsi="Times New Roman" w:cs="Times New Roman"/>
          <w:noProof/>
          <w:sz w:val="24"/>
          <w:szCs w:val="24"/>
        </w:rPr>
        <w:t xml:space="preserve">tricity distribution network (component 1.1); (ii) green urban regeneration projects and energy upgrades in public sector buildings (component 1.2); (iii) reforestation, protection of biodiversity, wastewater management and treatment infrastructure, water </w:t>
      </w:r>
      <w:r>
        <w:rPr>
          <w:rFonts w:ascii="Times New Roman" w:eastAsia="Times New Roman" w:hAnsi="Times New Roman" w:cs="Times New Roman"/>
          <w:noProof/>
          <w:sz w:val="24"/>
          <w:szCs w:val="24"/>
        </w:rPr>
        <w:t>supply and saving infrastructure, irrigation networks, flood protection projects (component 1.4); (iv) promotion of smart cities (component 2.2). Moreover, component 1.1 aims to promote the total phase-out of lignite and oil, while introducing integrated s</w:t>
      </w:r>
      <w:r>
        <w:rPr>
          <w:rFonts w:ascii="Times New Roman" w:eastAsia="Times New Roman" w:hAnsi="Times New Roman" w:cs="Times New Roman"/>
          <w:noProof/>
          <w:sz w:val="24"/>
          <w:szCs w:val="24"/>
        </w:rPr>
        <w:t>upport measures (e.g. socio-economic and environmental rehabilitation) for the redevelopment of affected areas, in order to ensure a just transition.</w:t>
      </w:r>
    </w:p>
    <w:p w:rsidR="00176373" w:rsidRDefault="00E474D1">
      <w:pPr>
        <w:spacing w:line="257" w:lineRule="auto"/>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rPr>
        <w:t>H</w:t>
      </w:r>
      <w:r>
        <w:rPr>
          <w:rFonts w:ascii="Times New Roman" w:eastAsia="Times New Roman" w:hAnsi="Times New Roman" w:cs="Times New Roman"/>
          <w:i/>
          <w:iCs/>
          <w:noProof/>
          <w:sz w:val="24"/>
          <w:szCs w:val="24"/>
          <w:lang w:val="en-IE"/>
        </w:rPr>
        <w:t xml:space="preserve">ealth, and economic, social and institutional resilience, with the aim of, inter alia, increasing crisis </w:t>
      </w:r>
      <w:r>
        <w:rPr>
          <w:rFonts w:ascii="Times New Roman" w:eastAsia="Times New Roman" w:hAnsi="Times New Roman" w:cs="Times New Roman"/>
          <w:i/>
          <w:iCs/>
          <w:noProof/>
          <w:sz w:val="24"/>
          <w:szCs w:val="24"/>
          <w:lang w:val="en-IE"/>
        </w:rPr>
        <w:t>preparedness and crisis response capacity</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lang w:val="en-IE"/>
        </w:rPr>
        <w:t xml:space="preserve">Component </w:t>
      </w:r>
      <w:r>
        <w:rPr>
          <w:rFonts w:ascii="Times New Roman" w:eastAsia="Times New Roman" w:hAnsi="Times New Roman" w:cs="Times New Roman"/>
          <w:b/>
          <w:bCs/>
          <w:noProof/>
          <w:sz w:val="24"/>
          <w:szCs w:val="24"/>
        </w:rPr>
        <w:t>3.3 is the main vehicle to address long-term challenges of Greece’s healthcare system that were exacerbated by the pandemic.</w:t>
      </w:r>
      <w:r>
        <w:rPr>
          <w:rFonts w:ascii="Times New Roman" w:eastAsia="Times New Roman" w:hAnsi="Times New Roman" w:cs="Times New Roman"/>
          <w:noProof/>
          <w:sz w:val="24"/>
          <w:szCs w:val="24"/>
        </w:rPr>
        <w:t xml:space="preserve"> The component mainly focuses on a set of investments, supported by reforms, to </w:t>
      </w:r>
      <w:r>
        <w:rPr>
          <w:rFonts w:ascii="Times New Roman" w:eastAsia="Times New Roman" w:hAnsi="Times New Roman" w:cs="Times New Roman"/>
          <w:noProof/>
          <w:sz w:val="24"/>
          <w:szCs w:val="24"/>
        </w:rPr>
        <w:t>strengthen the national health system, facilitate access to health services, and promote the system’s sustainability. The main building blocks include: (i) organisational reforms to rationalise the medical reimbursements, and establish a reliable performan</w:t>
      </w:r>
      <w:r>
        <w:rPr>
          <w:rFonts w:ascii="Times New Roman" w:eastAsia="Times New Roman" w:hAnsi="Times New Roman" w:cs="Times New Roman"/>
          <w:noProof/>
          <w:sz w:val="24"/>
          <w:szCs w:val="24"/>
        </w:rPr>
        <w:t>ce framework; (ii) infrastructure investments in the primary health system, supported by measures to increase the present and future stocks of family doctors; (iii) the renovation and upgrade of the infrastructure of the national health system; (iv) the di</w:t>
      </w:r>
      <w:r>
        <w:rPr>
          <w:rFonts w:ascii="Times New Roman" w:eastAsia="Times New Roman" w:hAnsi="Times New Roman" w:cs="Times New Roman"/>
          <w:noProof/>
          <w:sz w:val="24"/>
          <w:szCs w:val="24"/>
        </w:rPr>
        <w:t>gital transformation of healthcare; (v) a national public health prevention strategy; (vi) a set of measures to rationalise pharmaceutical spending, including a revision of the clawback system and measures to support pharmaceutical R&amp;D.</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As regards social r</w:t>
      </w:r>
      <w:r>
        <w:rPr>
          <w:rFonts w:ascii="Times New Roman" w:eastAsia="Times New Roman" w:hAnsi="Times New Roman" w:cs="Times New Roman"/>
          <w:b/>
          <w:bCs/>
          <w:noProof/>
          <w:sz w:val="24"/>
          <w:szCs w:val="24"/>
        </w:rPr>
        <w:t>esilience, component 3.4 aims at increasing access to effective social policies.</w:t>
      </w:r>
      <w:r>
        <w:rPr>
          <w:rFonts w:ascii="Times New Roman" w:eastAsia="Times New Roman" w:hAnsi="Times New Roman" w:cs="Times New Roman"/>
          <w:noProof/>
          <w:sz w:val="24"/>
          <w:szCs w:val="24"/>
        </w:rPr>
        <w:t xml:space="preserve"> This is planned to be achieved mainly through measures to promote labour market (re)integration of the most vulnerable population groups and to increase availability of early </w:t>
      </w:r>
      <w:r>
        <w:rPr>
          <w:rFonts w:ascii="Times New Roman" w:eastAsia="Times New Roman" w:hAnsi="Times New Roman" w:cs="Times New Roman"/>
          <w:noProof/>
          <w:sz w:val="24"/>
          <w:szCs w:val="24"/>
        </w:rPr>
        <w:t>childhood education and care. The component also foresees the enhancement of structures providing social assistance services, optimisation of social benefits and digital transformation of the social protection system. Diversity training in the public and t</w:t>
      </w:r>
      <w:r>
        <w:rPr>
          <w:rFonts w:ascii="Times New Roman" w:eastAsia="Times New Roman" w:hAnsi="Times New Roman" w:cs="Times New Roman"/>
          <w:noProof/>
          <w:sz w:val="24"/>
          <w:szCs w:val="24"/>
        </w:rPr>
        <w:t>he private sector to fight discrimination is also envisaged. In addition, there are pilot projects to develop personal assistance services for persons with disabilities and social housing. The aforementioned measures are expected to enhance access to socia</w:t>
      </w:r>
      <w:r>
        <w:rPr>
          <w:rFonts w:ascii="Times New Roman" w:eastAsia="Times New Roman" w:hAnsi="Times New Roman" w:cs="Times New Roman"/>
          <w:noProof/>
          <w:sz w:val="24"/>
          <w:szCs w:val="24"/>
        </w:rPr>
        <w:t>l services, support vulnerable groups, improve their labour market participation, and thus mitigate adverse shocks from a social resilience perspective.</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also introduces actions to mitigate economic shocks by fostering sustainability of public reve</w:t>
      </w:r>
      <w:r>
        <w:rPr>
          <w:rFonts w:ascii="Times New Roman" w:eastAsia="Times New Roman" w:hAnsi="Times New Roman" w:cs="Times New Roman"/>
          <w:b/>
          <w:bCs/>
          <w:noProof/>
          <w:sz w:val="24"/>
          <w:szCs w:val="24"/>
        </w:rPr>
        <w:t>nues, strengthening financial sector resilience, and diversifying economic activity.</w:t>
      </w:r>
      <w:r>
        <w:rPr>
          <w:rFonts w:ascii="Times New Roman" w:eastAsia="Times New Roman" w:hAnsi="Times New Roman" w:cs="Times New Roman"/>
          <w:noProof/>
          <w:sz w:val="24"/>
          <w:szCs w:val="24"/>
        </w:rPr>
        <w:t xml:space="preserve"> Component 4.1 aims at fighting tax evasion, increasing public revenues, limiting lost revenue from smuggling, and reducing the administrative burden for taxpayers. This is</w:t>
      </w:r>
      <w:r>
        <w:rPr>
          <w:rFonts w:ascii="Times New Roman" w:eastAsia="Times New Roman" w:hAnsi="Times New Roman" w:cs="Times New Roman"/>
          <w:noProof/>
          <w:sz w:val="24"/>
          <w:szCs w:val="24"/>
        </w:rPr>
        <w:t xml:space="preserve"> planned to be achieved through reforms to codify tax legislation, combat smuggling, and increase electronic transactions, as well as investments to digitalise tax administration and audits. Component 4.4 includes upgrades to the IT infrastructure of the n</w:t>
      </w:r>
      <w:r>
        <w:rPr>
          <w:rFonts w:ascii="Times New Roman" w:eastAsia="Times New Roman" w:hAnsi="Times New Roman" w:cs="Times New Roman"/>
          <w:noProof/>
          <w:sz w:val="24"/>
          <w:szCs w:val="24"/>
        </w:rPr>
        <w:t>ew insolvency framework to enhance adequate credit provision. The component also contributes to addressing information asymmetries, facilitating credit decision-making, and preventing over-indebtedness through the establishment of a credit bureau and regis</w:t>
      </w:r>
      <w:r>
        <w:rPr>
          <w:rFonts w:ascii="Times New Roman" w:eastAsia="Times New Roman" w:hAnsi="Times New Roman" w:cs="Times New Roman"/>
          <w:noProof/>
          <w:sz w:val="24"/>
          <w:szCs w:val="24"/>
        </w:rPr>
        <w:t>tries. These measures are complemented by the codification and modernisation of the capital markets regulatory framework and the digitalisation of the supervisory authority, which are expected to contribute to resilience by enhancing access to finance. Mor</w:t>
      </w:r>
      <w:r>
        <w:rPr>
          <w:rFonts w:ascii="Times New Roman" w:eastAsia="Times New Roman" w:hAnsi="Times New Roman" w:cs="Times New Roman"/>
          <w:noProof/>
          <w:sz w:val="24"/>
          <w:szCs w:val="24"/>
        </w:rPr>
        <w:t xml:space="preserve">eover, component 4.7 includes targeted measures to facilitate the diversification of output toward more high-tech and more extroverted economic activities, and to improve the business environment, which are also anticipated to contribute to Greece’s shock </w:t>
      </w:r>
      <w:r>
        <w:rPr>
          <w:rFonts w:ascii="Times New Roman" w:eastAsia="Times New Roman" w:hAnsi="Times New Roman" w:cs="Times New Roman"/>
          <w:noProof/>
          <w:sz w:val="24"/>
          <w:szCs w:val="24"/>
        </w:rPr>
        <w:t xml:space="preserve">absorption capacity.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Institutional resilience can be achieved through actions to ensure efficient public administration and sound governance. </w:t>
      </w:r>
      <w:r>
        <w:rPr>
          <w:rFonts w:ascii="Times New Roman" w:eastAsia="Times New Roman" w:hAnsi="Times New Roman" w:cs="Times New Roman"/>
          <w:noProof/>
          <w:sz w:val="24"/>
          <w:szCs w:val="24"/>
        </w:rPr>
        <w:t>Component 4.2 leads this effort by introducing reforms to streamline the governance and allocation of responsibil</w:t>
      </w:r>
      <w:r>
        <w:rPr>
          <w:rFonts w:ascii="Times New Roman" w:eastAsia="Times New Roman" w:hAnsi="Times New Roman" w:cs="Times New Roman"/>
          <w:noProof/>
          <w:sz w:val="24"/>
          <w:szCs w:val="24"/>
        </w:rPr>
        <w:t>ities between levels of the administration, invest in its human resources, modernise hiring procedures, promote upskilling and reskilling, and introduce a reward system for public entities and civil servants. The component also contains a comprehensive pac</w:t>
      </w:r>
      <w:r>
        <w:rPr>
          <w:rFonts w:ascii="Times New Roman" w:eastAsia="Times New Roman" w:hAnsi="Times New Roman" w:cs="Times New Roman"/>
          <w:noProof/>
          <w:sz w:val="24"/>
          <w:szCs w:val="24"/>
        </w:rPr>
        <w:t>kage of anti-corruption measures, including the development of methods for the detection and prevention of corruption, new legislative initiatives against corruption, the legal framework for Anti-Money Laundering and Combating the Financing of Terrorism (A</w:t>
      </w:r>
      <w:r>
        <w:rPr>
          <w:rFonts w:ascii="Times New Roman" w:eastAsia="Times New Roman" w:hAnsi="Times New Roman" w:cs="Times New Roman"/>
          <w:noProof/>
          <w:sz w:val="24"/>
          <w:szCs w:val="24"/>
        </w:rPr>
        <w:t>ML / CFT), and actions to protect intellectual property rights. Component 4.3 also aspires to promote institutional resilience by ensuring better and faster contract enforcement, through reforms to accelerate the administration of justice, the introduction</w:t>
      </w:r>
      <w:r>
        <w:rPr>
          <w:rFonts w:ascii="Times New Roman" w:eastAsia="Times New Roman" w:hAnsi="Times New Roman" w:cs="Times New Roman"/>
          <w:noProof/>
          <w:sz w:val="24"/>
          <w:szCs w:val="24"/>
        </w:rPr>
        <w:t xml:space="preserve"> of e-justice, as well as reskilling and upskilling of judges and judicial staff. </w:t>
      </w:r>
    </w:p>
    <w:p w:rsidR="00176373" w:rsidRDefault="00E474D1">
      <w:pPr>
        <w:spacing w:line="257" w:lineRule="auto"/>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Policies for the next generation, children and the youth, such as education and skills</w:t>
      </w:r>
    </w:p>
    <w:p w:rsidR="00176373" w:rsidRDefault="00E474D1">
      <w:pPr>
        <w:spacing w:line="257"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Reforms and investments across all levels of education aim at digitalising processes </w:t>
      </w:r>
      <w:r>
        <w:rPr>
          <w:rFonts w:ascii="Times New Roman" w:eastAsia="Times New Roman" w:hAnsi="Times New Roman" w:cs="Times New Roman"/>
          <w:b/>
          <w:bCs/>
          <w:noProof/>
          <w:sz w:val="24"/>
          <w:szCs w:val="24"/>
          <w:lang w:val="en-IE"/>
        </w:rPr>
        <w:t>and infrastructures, developing skills, and facilitating cooperation and research.</w:t>
      </w:r>
      <w:r>
        <w:rPr>
          <w:rFonts w:ascii="Times New Roman" w:eastAsia="Times New Roman" w:hAnsi="Times New Roman" w:cs="Times New Roman"/>
          <w:noProof/>
          <w:sz w:val="24"/>
          <w:szCs w:val="24"/>
          <w:lang w:val="en-IE"/>
        </w:rPr>
        <w:t xml:space="preserve"> As regards primary and secondary education, component 3.2 features measures covering the digitisation of the education material, the integration of modern digital tools in s</w:t>
      </w:r>
      <w:r>
        <w:rPr>
          <w:rFonts w:ascii="Times New Roman" w:eastAsia="Times New Roman" w:hAnsi="Times New Roman" w:cs="Times New Roman"/>
          <w:noProof/>
          <w:sz w:val="24"/>
          <w:szCs w:val="24"/>
          <w:lang w:val="en-IE"/>
        </w:rPr>
        <w:t>chools, as well as financial support to disadvantaged students to acquire equipment. For vocational education and training, the main objectives concern the upgrade and alignment of relevant curricula with labour market needs, in particular the green and di</w:t>
      </w:r>
      <w:r>
        <w:rPr>
          <w:rFonts w:ascii="Times New Roman" w:eastAsia="Times New Roman" w:hAnsi="Times New Roman" w:cs="Times New Roman"/>
          <w:noProof/>
          <w:sz w:val="24"/>
          <w:szCs w:val="24"/>
          <w:lang w:val="en-IE"/>
        </w:rPr>
        <w:t>gital transition. In addition, the component foresees the upgrade of laboratory equipment for the various vocational education and training units. The measures extend to strengthening the apprenticeship system, updating the offered modules to increase thei</w:t>
      </w:r>
      <w:r>
        <w:rPr>
          <w:rFonts w:ascii="Times New Roman" w:eastAsia="Times New Roman" w:hAnsi="Times New Roman" w:cs="Times New Roman"/>
          <w:noProof/>
          <w:sz w:val="24"/>
          <w:szCs w:val="24"/>
          <w:lang w:val="en-IE"/>
        </w:rPr>
        <w:t>r labour market relevance, and establishing evaluation systems to monitor training outcomes. For higher education, the component includes interventions to foster cooperation between Greek universities and universities abroad, enhance research activity in G</w:t>
      </w:r>
      <w:r>
        <w:rPr>
          <w:rFonts w:ascii="Times New Roman" w:eastAsia="Times New Roman" w:hAnsi="Times New Roman" w:cs="Times New Roman"/>
          <w:noProof/>
          <w:sz w:val="24"/>
          <w:szCs w:val="24"/>
          <w:lang w:val="en-IE"/>
        </w:rPr>
        <w:t>reek universities especially in cooperation with businesses, and strengthen the link between higher education and the labour market. Moreover, component 4.5 contains measures to boost R&amp;D investment and reinforce academia-business linkages, which are expec</w:t>
      </w:r>
      <w:r>
        <w:rPr>
          <w:rFonts w:ascii="Times New Roman" w:eastAsia="Times New Roman" w:hAnsi="Times New Roman" w:cs="Times New Roman"/>
          <w:noProof/>
          <w:sz w:val="24"/>
          <w:szCs w:val="24"/>
          <w:lang w:val="en-IE"/>
        </w:rPr>
        <w:t>ted to improve Greece’s performance in this domain and benefit future generations. For example, a reform in this component promotes the opening up of the research and innovation ecosystem, by linking the Greek innovation network at a broader scale, includi</w:t>
      </w:r>
      <w:r>
        <w:rPr>
          <w:rFonts w:ascii="Times New Roman" w:eastAsia="Times New Roman" w:hAnsi="Times New Roman" w:cs="Times New Roman"/>
          <w:noProof/>
          <w:sz w:val="24"/>
          <w:szCs w:val="24"/>
          <w:lang w:val="en-IE"/>
        </w:rPr>
        <w:t>ng research centres, innovation clusters, competence centres and highly innovative local companies.</w:t>
      </w:r>
    </w:p>
    <w:p w:rsidR="00176373" w:rsidRDefault="00E474D1">
      <w:pPr>
        <w:spacing w:line="257"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Component 3.4 includes reforms and investments targeted to children and the youth.</w:t>
      </w:r>
      <w:r>
        <w:rPr>
          <w:rFonts w:ascii="Times New Roman" w:eastAsia="Times New Roman" w:hAnsi="Times New Roman" w:cs="Times New Roman"/>
          <w:noProof/>
          <w:sz w:val="24"/>
          <w:szCs w:val="24"/>
          <w:lang w:val="en-IE"/>
        </w:rPr>
        <w:t xml:space="preserve"> A key reform in this component is the design and introduction of a unifie</w:t>
      </w:r>
      <w:r>
        <w:rPr>
          <w:rFonts w:ascii="Times New Roman" w:eastAsia="Times New Roman" w:hAnsi="Times New Roman" w:cs="Times New Roman"/>
          <w:noProof/>
          <w:sz w:val="24"/>
          <w:szCs w:val="24"/>
          <w:lang w:val="en-IE"/>
        </w:rPr>
        <w:t xml:space="preserve">d and comprehensive curriculum for preschool units. This will focus on early intervention, including the use of psycho-technical tools for early diagnosis of learning and developmental disorders. The reform is also linked to early intervention in children </w:t>
      </w:r>
      <w:r>
        <w:rPr>
          <w:rFonts w:ascii="Times New Roman" w:eastAsia="Times New Roman" w:hAnsi="Times New Roman" w:cs="Times New Roman"/>
          <w:noProof/>
          <w:sz w:val="24"/>
          <w:szCs w:val="24"/>
          <w:lang w:val="en-IE"/>
        </w:rPr>
        <w:t>on the autism spectrum, which aims to support psycho-emotional development, the quality of life, and social inclusion of children. Moreover, a strategic goal of this component is the deinstitutionalisation of children and adolescents through the transfer o</w:t>
      </w:r>
      <w:r>
        <w:rPr>
          <w:rFonts w:ascii="Times New Roman" w:eastAsia="Times New Roman" w:hAnsi="Times New Roman" w:cs="Times New Roman"/>
          <w:noProof/>
          <w:sz w:val="24"/>
          <w:szCs w:val="24"/>
          <w:lang w:val="en-IE"/>
        </w:rPr>
        <w:t>f adolescents to supported living structures, their further support with skills programs, and development of foster care to increase the placement of children with disabilities in family environments. The component also provides for digital skills programs</w:t>
      </w:r>
      <w:r>
        <w:rPr>
          <w:rFonts w:ascii="Times New Roman" w:eastAsia="Times New Roman" w:hAnsi="Times New Roman" w:cs="Times New Roman"/>
          <w:noProof/>
          <w:sz w:val="24"/>
          <w:szCs w:val="24"/>
          <w:lang w:val="en-IE"/>
        </w:rPr>
        <w:t xml:space="preserve"> designed for children from twelve to fifteen years old.</w:t>
      </w:r>
    </w:p>
    <w:p w:rsidR="00176373" w:rsidRDefault="00E474D1">
      <w:pPr>
        <w:spacing w:line="257"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Other components also contribute to policies for the next generation. </w:t>
      </w:r>
      <w:r>
        <w:rPr>
          <w:rFonts w:ascii="Times New Roman" w:eastAsia="Times New Roman" w:hAnsi="Times New Roman" w:cs="Times New Roman"/>
          <w:noProof/>
          <w:sz w:val="24"/>
          <w:szCs w:val="24"/>
          <w:lang w:val="en-IE"/>
        </w:rPr>
        <w:t>Specifically, component 2.3 provides for a dedicated program to strengthen young entrepreneurship. Further, component 3.1 contain</w:t>
      </w:r>
      <w:r>
        <w:rPr>
          <w:rFonts w:ascii="Times New Roman" w:eastAsia="Times New Roman" w:hAnsi="Times New Roman" w:cs="Times New Roman"/>
          <w:noProof/>
          <w:sz w:val="24"/>
          <w:szCs w:val="24"/>
          <w:lang w:val="en-IE"/>
        </w:rPr>
        <w:t>s actions for the digitalisation of the public employment service and the upgrading of the labour market needs’ diagnostic mechanism that are linked to the national youth guarantee implementation plan.</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lang w:val="en-IE"/>
        </w:rPr>
        <w:t>Taking</w:t>
      </w:r>
      <w:r>
        <w:rPr>
          <w:rFonts w:ascii="Times New Roman" w:eastAsia="Times New Roman" w:hAnsi="Times New Roman" w:cs="Times New Roman"/>
          <w:i/>
          <w:iCs/>
          <w:noProof/>
          <w:sz w:val="24"/>
          <w:szCs w:val="24"/>
        </w:rPr>
        <w:t xml:space="preserve"> into consideration all reforms and investments envisaged by Greece, its recovery and resilience plan represents, to a large extent, a comprehensive and adequately balanced response to the economic and social situation, thereby contributing appropriately t</w:t>
      </w:r>
      <w:r>
        <w:rPr>
          <w:rFonts w:ascii="Times New Roman" w:eastAsia="Times New Roman" w:hAnsi="Times New Roman" w:cs="Times New Roman"/>
          <w:i/>
          <w:iCs/>
          <w:noProof/>
          <w:sz w:val="24"/>
          <w:szCs w:val="24"/>
        </w:rPr>
        <w:t>o all six pillars referred to in Article 3 of the RRF Regulation, taking the specific challenges and the financial allocation of Greece into account. This would warrant a rating of A under the assessment criterion 2.1 in Annex V to the RRF Regulation.</w:t>
      </w:r>
    </w:p>
    <w:p w:rsidR="00176373" w:rsidRDefault="00E474D1">
      <w:pPr>
        <w:pStyle w:val="Heading2"/>
        <w:numPr>
          <w:ilvl w:val="1"/>
          <w:numId w:val="10"/>
        </w:numPr>
        <w:spacing w:before="120" w:after="120"/>
        <w:rPr>
          <w:noProof/>
          <w:sz w:val="28"/>
          <w:szCs w:val="28"/>
        </w:rPr>
      </w:pPr>
      <w:bookmarkStart w:id="252" w:name="_Toc62455201"/>
      <w:bookmarkStart w:id="253" w:name="_Toc62818224"/>
      <w:bookmarkStart w:id="254" w:name="_Toc63417220"/>
      <w:bookmarkStart w:id="255" w:name="_Toc63418910"/>
      <w:bookmarkStart w:id="256" w:name="_Toc63418935"/>
      <w:bookmarkStart w:id="257" w:name="_Toc64281621"/>
      <w:bookmarkStart w:id="258" w:name="_Toc71665333"/>
      <w:bookmarkStart w:id="259" w:name="_Toc71740462"/>
      <w:bookmarkStart w:id="260" w:name="_Toc71792457"/>
      <w:bookmarkStart w:id="261" w:name="_Toc72158508"/>
      <w:bookmarkStart w:id="262" w:name="_Toc72170711"/>
      <w:bookmarkStart w:id="263" w:name="_Toc72176839"/>
      <w:bookmarkStart w:id="264" w:name="_Toc72179410"/>
      <w:bookmarkStart w:id="265" w:name="_Toc72176048"/>
      <w:bookmarkStart w:id="266" w:name="_Toc72181721"/>
      <w:bookmarkStart w:id="267" w:name="_Toc72178570"/>
      <w:bookmarkStart w:id="268" w:name="_Toc72182457"/>
      <w:bookmarkStart w:id="269" w:name="_Toc72183454"/>
      <w:bookmarkStart w:id="270" w:name="_Toc72187268"/>
      <w:bookmarkStart w:id="271" w:name="_Toc72326492"/>
      <w:bookmarkStart w:id="272" w:name="_Toc72326523"/>
      <w:bookmarkStart w:id="273" w:name="_Toc74305325"/>
      <w:bookmarkStart w:id="274" w:name="_Toc62818771"/>
      <w:r>
        <w:rPr>
          <w:noProof/>
        </w:rPr>
        <w:t>Link</w:t>
      </w:r>
      <w:r>
        <w:rPr>
          <w:noProof/>
        </w:rPr>
        <w:t xml:space="preserve"> with country-specific recommendations and the European Semester</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noProof/>
        </w:rPr>
        <w:t xml:space="preserve"> </w:t>
      </w:r>
    </w:p>
    <w:p w:rsidR="00176373" w:rsidRDefault="00E474D1">
      <w:pPr>
        <w:jc w:val="both"/>
        <w:rPr>
          <w:rFonts w:ascii="Times New Roman" w:eastAsia="Times New Roman" w:hAnsi="Times New Roman" w:cs="Times New Roman"/>
          <w:noProof/>
          <w:sz w:val="24"/>
          <w:szCs w:val="24"/>
          <w:lang w:val="en-IE"/>
        </w:rPr>
      </w:pPr>
      <w:r>
        <w:rPr>
          <w:rFonts w:ascii="Times New Roman" w:hAnsi="Times New Roman" w:cs="Times New Roman"/>
          <w:b/>
          <w:bCs/>
          <w:noProof/>
          <w:sz w:val="24"/>
          <w:szCs w:val="24"/>
          <w:lang w:val="en-IE"/>
        </w:rPr>
        <w:t>In line with assessment criterion 2.2 in Annex V to the RRF Regulation, this section provides a factual overview of whether Greece´s recovery and resilience plan is expected to effectively a</w:t>
      </w:r>
      <w:r>
        <w:rPr>
          <w:rFonts w:ascii="Times New Roman" w:hAnsi="Times New Roman" w:cs="Times New Roman"/>
          <w:b/>
          <w:bCs/>
          <w:noProof/>
          <w:sz w:val="24"/>
          <w:szCs w:val="24"/>
          <w:lang w:val="en-IE"/>
        </w:rPr>
        <w:t>ddress</w:t>
      </w:r>
      <w:r>
        <w:rPr>
          <w:rFonts w:ascii="Times New Roman" w:hAnsi="Times New Roman" w:cs="Times New Roman"/>
          <w:noProof/>
          <w:sz w:val="24"/>
          <w:szCs w:val="24"/>
          <w:lang w:val="en-IE"/>
        </w:rPr>
        <w:t xml:space="preserve"> </w:t>
      </w:r>
      <w:r>
        <w:rPr>
          <w:rFonts w:ascii="Times New Roman" w:hAnsi="Times New Roman" w:cs="Times New Roman"/>
          <w:b/>
          <w:bCs/>
          <w:noProof/>
          <w:sz w:val="24"/>
          <w:szCs w:val="24"/>
          <w:lang w:val="en-IE"/>
        </w:rPr>
        <w:t xml:space="preserve">all </w:t>
      </w:r>
      <w:r>
        <w:rPr>
          <w:rFonts w:ascii="Times New Roman" w:hAnsi="Times New Roman" w:cs="Times New Roman"/>
          <w:b/>
          <w:noProof/>
          <w:sz w:val="24"/>
          <w:szCs w:val="24"/>
          <w:lang w:val="en-IE"/>
        </w:rPr>
        <w:t>or a significant subset of the country’s economic and social challenges.</w:t>
      </w:r>
      <w:r>
        <w:rPr>
          <w:rFonts w:ascii="Times New Roman" w:hAnsi="Times New Roman" w:cs="Times New Roman"/>
          <w:noProof/>
          <w:sz w:val="24"/>
          <w:szCs w:val="24"/>
          <w:lang w:val="en-IE"/>
        </w:rPr>
        <w:t xml:space="preserve"> These challenges are identified in the relevant Country-Specific Recommendations (CSRs) addressed to Greece in July 2019 and July 2020, including the fiscal aspects thereof</w:t>
      </w:r>
      <w:r>
        <w:rPr>
          <w:rFonts w:ascii="Times New Roman" w:hAnsi="Times New Roman" w:cs="Times New Roman"/>
          <w:noProof/>
          <w:sz w:val="24"/>
          <w:szCs w:val="24"/>
          <w:lang w:val="en-IE"/>
        </w:rPr>
        <w:t>, and recommendations made pursuant to Article 6 of Regulation (EU) No 1176/2011, based on the in-depth review for Greece under Article 5 of Regulation (EU) No 1176/2011 published in 2019 and 2020.</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Commission Communication </w:t>
      </w:r>
      <w:r>
        <w:rPr>
          <w:rFonts w:ascii="Times New Roman" w:eastAsia="Times New Roman" w:hAnsi="Times New Roman" w:cs="Times New Roman"/>
          <w:b/>
          <w:bCs/>
          <w:noProof/>
          <w:sz w:val="24"/>
          <w:szCs w:val="24"/>
          <w:lang w:val="en-IE"/>
        </w:rPr>
        <w:t xml:space="preserve">on the findings of the 2021 </w:t>
      </w:r>
      <w:r>
        <w:rPr>
          <w:rFonts w:ascii="Times New Roman" w:eastAsia="Times New Roman" w:hAnsi="Times New Roman" w:cs="Times New Roman"/>
          <w:b/>
          <w:bCs/>
          <w:noProof/>
          <w:sz w:val="24"/>
          <w:szCs w:val="24"/>
          <w:lang w:val="en-IE"/>
        </w:rPr>
        <w:t>in-depth review, published on 2 June, concluded that Greece is experiencing excessive imbalances</w:t>
      </w:r>
      <w:r>
        <w:rPr>
          <w:rFonts w:ascii="Times New Roman" w:eastAsia="Times New Roman" w:hAnsi="Times New Roman" w:cs="Times New Roman"/>
          <w:noProof/>
          <w:sz w:val="24"/>
          <w:szCs w:val="24"/>
          <w:lang w:val="en-IE"/>
        </w:rPr>
        <w:t>. The 2021 in-depth review concluded that Greece’s vulnerabilities continue to relate to high government debt, incomplete external rebalancing and high non-perf</w:t>
      </w:r>
      <w:r>
        <w:rPr>
          <w:rFonts w:ascii="Times New Roman" w:eastAsia="Times New Roman" w:hAnsi="Times New Roman" w:cs="Times New Roman"/>
          <w:noProof/>
          <w:sz w:val="24"/>
          <w:szCs w:val="24"/>
          <w:lang w:val="en-IE"/>
        </w:rPr>
        <w:t xml:space="preserve">orming loans, in a context of high unemployment and low potential growth. </w:t>
      </w:r>
      <w:r>
        <w:rPr>
          <w:rFonts w:ascii="Times New Roman" w:hAnsi="Times New Roman" w:cs="Times New Roman"/>
          <w:noProof/>
          <w:sz w:val="24"/>
          <w:szCs w:val="24"/>
          <w:lang w:val="en-IE"/>
        </w:rPr>
        <w:t xml:space="preserve">Addressing these challenges is expected to significantly boost the growth potential of the economy of Greece in a sustainable manner. </w:t>
      </w:r>
      <w:r>
        <w:rPr>
          <w:rFonts w:ascii="Times New Roman" w:eastAsia="Times New Roman" w:hAnsi="Times New Roman" w:cs="Times New Roman"/>
          <w:noProof/>
          <w:sz w:val="24"/>
          <w:szCs w:val="24"/>
          <w:lang w:val="en-IE"/>
        </w:rPr>
        <w:t>The COVID-19 crisis has interrupted the adjustme</w:t>
      </w:r>
      <w:r>
        <w:rPr>
          <w:rFonts w:ascii="Times New Roman" w:eastAsia="Times New Roman" w:hAnsi="Times New Roman" w:cs="Times New Roman"/>
          <w:noProof/>
          <w:sz w:val="24"/>
          <w:szCs w:val="24"/>
          <w:lang w:val="en-IE"/>
        </w:rPr>
        <w:t>nt process initiated in previous years. The recent crisis has also brought to the fore the importance of bolstering</w:t>
      </w:r>
      <w:r>
        <w:rPr>
          <w:rFonts w:ascii="Times New Roman" w:hAnsi="Times New Roman" w:cs="Times New Roman"/>
          <w:noProof/>
          <w:sz w:val="24"/>
          <w:szCs w:val="24"/>
        </w:rPr>
        <w:t xml:space="preserve"> the country’s growth prospects in correcting the legacy imbalances and strengthening its economic and social resilience. </w:t>
      </w:r>
    </w:p>
    <w:p w:rsidR="00176373" w:rsidRDefault="00E474D1">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cs="Times New Roman"/>
          <w:b/>
          <w:bCs/>
          <w:noProof/>
          <w:sz w:val="24"/>
          <w:szCs w:val="24"/>
        </w:rPr>
        <w:t>Against this backg</w:t>
      </w:r>
      <w:r>
        <w:rPr>
          <w:rFonts w:ascii="Times New Roman" w:hAnsi="Times New Roman" w:cs="Times New Roman"/>
          <w:b/>
          <w:bCs/>
          <w:noProof/>
          <w:sz w:val="24"/>
          <w:szCs w:val="24"/>
        </w:rPr>
        <w:t xml:space="preserve">round, the Country-Specific Recommendations addressed to Greece in 2019 and 2020 under the European Semester </w:t>
      </w:r>
      <w:r>
        <w:rPr>
          <w:rFonts w:ascii="Times New Roman" w:eastAsia="Times New Roman" w:hAnsi="Times New Roman" w:cs="Times New Roman"/>
          <w:b/>
          <w:bCs/>
          <w:noProof/>
          <w:sz w:val="24"/>
          <w:szCs w:val="24"/>
        </w:rPr>
        <w:t>cover the following areas:</w:t>
      </w:r>
    </w:p>
    <w:p w:rsidR="00176373" w:rsidRDefault="00E474D1">
      <w:pPr>
        <w:numPr>
          <w:ilvl w:val="0"/>
          <w:numId w:val="8"/>
        </w:numPr>
        <w:suppressAutoHyphens/>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iCs/>
          <w:noProof/>
          <w:sz w:val="24"/>
          <w:szCs w:val="24"/>
        </w:rPr>
        <w:t>Public finances and health care</w:t>
      </w:r>
      <w:r>
        <w:rPr>
          <w:rFonts w:ascii="Times New Roman" w:eastAsia="Calibri" w:hAnsi="Times New Roman" w:cs="Times New Roman"/>
          <w:noProof/>
          <w:sz w:val="24"/>
          <w:szCs w:val="24"/>
        </w:rPr>
        <w:t>: The authorities are called on to adopt appropriate fiscal response measures to effectiv</w:t>
      </w:r>
      <w:r>
        <w:rPr>
          <w:rFonts w:ascii="Times New Roman" w:eastAsia="Calibri" w:hAnsi="Times New Roman" w:cs="Times New Roman"/>
          <w:noProof/>
          <w:sz w:val="24"/>
          <w:szCs w:val="24"/>
        </w:rPr>
        <w:t>ely address the impact of the pandemic, sustain the economy and support the ensuing recovery, including by strengthening the resilience and accessibility of the health system. When economic conditions allow, Greece is invited to pursue fiscal policies aime</w:t>
      </w:r>
      <w:r>
        <w:rPr>
          <w:rFonts w:ascii="Times New Roman" w:eastAsia="Calibri" w:hAnsi="Times New Roman" w:cs="Times New Roman"/>
          <w:noProof/>
          <w:sz w:val="24"/>
          <w:szCs w:val="24"/>
        </w:rPr>
        <w:t xml:space="preserve">d at achieving prudent medium-term fiscal positions and ensuring debt sustainability, while enhancing investment. </w:t>
      </w:r>
    </w:p>
    <w:p w:rsidR="00176373" w:rsidRDefault="00E474D1">
      <w:pPr>
        <w:numPr>
          <w:ilvl w:val="0"/>
          <w:numId w:val="8"/>
        </w:numPr>
        <w:suppressAutoHyphens/>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iCs/>
          <w:noProof/>
          <w:sz w:val="24"/>
          <w:szCs w:val="24"/>
        </w:rPr>
        <w:t>Labour market and social policy</w:t>
      </w:r>
      <w:r>
        <w:rPr>
          <w:rFonts w:ascii="Times New Roman" w:eastAsia="Calibri" w:hAnsi="Times New Roman" w:cs="Times New Roman"/>
          <w:noProof/>
          <w:sz w:val="24"/>
          <w:szCs w:val="24"/>
        </w:rPr>
        <w:t>: The recommendations stress the need for measures such as short-time work schemes and the provision of effect</w:t>
      </w:r>
      <w:r>
        <w:rPr>
          <w:rFonts w:ascii="Times New Roman" w:eastAsia="Calibri" w:hAnsi="Times New Roman" w:cs="Times New Roman"/>
          <w:noProof/>
          <w:sz w:val="24"/>
          <w:szCs w:val="24"/>
        </w:rPr>
        <w:t>ive activation support to mitigate the employment and social impacts of the crisis.</w:t>
      </w:r>
    </w:p>
    <w:p w:rsidR="00176373" w:rsidRDefault="00E474D1">
      <w:pPr>
        <w:numPr>
          <w:ilvl w:val="0"/>
          <w:numId w:val="8"/>
        </w:numPr>
        <w:suppressAutoHyphens/>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iCs/>
          <w:noProof/>
          <w:sz w:val="24"/>
          <w:szCs w:val="24"/>
        </w:rPr>
        <w:t>Public and private investment</w:t>
      </w:r>
      <w:r>
        <w:rPr>
          <w:rFonts w:ascii="Times New Roman" w:eastAsia="Calibri" w:hAnsi="Times New Roman" w:cs="Times New Roman"/>
          <w:noProof/>
          <w:sz w:val="24"/>
          <w:szCs w:val="24"/>
        </w:rPr>
        <w:t xml:space="preserve">: Greece is invited to provide continued liquidity to COVID-19 affected businesses. It is also recommended to </w:t>
      </w:r>
      <w:r>
        <w:rPr>
          <w:rFonts w:ascii="Times New Roman" w:hAnsi="Times New Roman" w:cs="Times New Roman"/>
          <w:noProof/>
          <w:color w:val="333333"/>
          <w:sz w:val="24"/>
          <w:szCs w:val="24"/>
          <w:shd w:val="clear" w:color="auto" w:fill="FAFAFA"/>
        </w:rPr>
        <w:t>front-load mature public investme</w:t>
      </w:r>
      <w:r>
        <w:rPr>
          <w:rFonts w:ascii="Times New Roman" w:hAnsi="Times New Roman" w:cs="Times New Roman"/>
          <w:noProof/>
          <w:color w:val="333333"/>
          <w:sz w:val="24"/>
          <w:szCs w:val="24"/>
          <w:shd w:val="clear" w:color="auto" w:fill="FAFAFA"/>
        </w:rPr>
        <w:t>nt projects and promote private investment in areas that w</w:t>
      </w:r>
      <w:r>
        <w:rPr>
          <w:rFonts w:ascii="Times New Roman" w:eastAsia="Calibri" w:hAnsi="Times New Roman" w:cs="Times New Roman"/>
          <w:noProof/>
          <w:sz w:val="24"/>
          <w:szCs w:val="24"/>
        </w:rPr>
        <w:t xml:space="preserve">ill facilitate the green and digital transition, support employment and raise labour productivity, focusing, in particular on the areas of sustainable transport and logistics, clean and efficient </w:t>
      </w:r>
      <w:r>
        <w:rPr>
          <w:rFonts w:ascii="Times New Roman" w:eastAsia="Calibri" w:hAnsi="Times New Roman" w:cs="Times New Roman"/>
          <w:noProof/>
          <w:sz w:val="24"/>
          <w:szCs w:val="24"/>
        </w:rPr>
        <w:t>production and use of energy, environmental infrastructures, digital technologies, human capital development and the renewal of urban areas. Within this context, improving the effectiveness and digitalisation of the public administration and promoting digi</w:t>
      </w:r>
      <w:r>
        <w:rPr>
          <w:rFonts w:ascii="Times New Roman" w:eastAsia="Calibri" w:hAnsi="Times New Roman" w:cs="Times New Roman"/>
          <w:noProof/>
          <w:sz w:val="24"/>
          <w:szCs w:val="24"/>
        </w:rPr>
        <w:t>tal transformation of businesses would be key.</w:t>
      </w:r>
    </w:p>
    <w:p w:rsidR="00176373" w:rsidRDefault="00E474D1">
      <w:pPr>
        <w:numPr>
          <w:ilvl w:val="0"/>
          <w:numId w:val="8"/>
        </w:numPr>
        <w:suppressAutoHyphens/>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iCs/>
          <w:noProof/>
          <w:sz w:val="24"/>
          <w:szCs w:val="24"/>
        </w:rPr>
        <w:t>Structural reforms to improve the functioning of the economy</w:t>
      </w:r>
      <w:r>
        <w:rPr>
          <w:rFonts w:ascii="Times New Roman" w:eastAsia="Calibri" w:hAnsi="Times New Roman" w:cs="Times New Roman"/>
          <w:noProof/>
          <w:sz w:val="24"/>
          <w:szCs w:val="24"/>
        </w:rPr>
        <w:t>: The authorities are encouraged to implement structural reforms in particular in the areas of fiscal and fiscal-structural policies, social welfare,</w:t>
      </w:r>
      <w:r>
        <w:rPr>
          <w:rFonts w:ascii="Times New Roman" w:eastAsia="Calibri" w:hAnsi="Times New Roman" w:cs="Times New Roman"/>
          <w:noProof/>
          <w:sz w:val="24"/>
          <w:szCs w:val="24"/>
        </w:rPr>
        <w:t xml:space="preserve"> financial stability, labour and product market, and the modernisation of public administration. </w:t>
      </w:r>
    </w:p>
    <w:p w:rsidR="00176373" w:rsidRDefault="00E474D1">
      <w:pPr>
        <w:pStyle w:val="ManualConsidrant"/>
        <w:ind w:left="0" w:firstLine="0"/>
        <w:rPr>
          <w:noProof/>
          <w:szCs w:val="24"/>
        </w:rPr>
      </w:pPr>
      <w:r>
        <w:rPr>
          <w:b/>
          <w:bCs/>
          <w:noProof/>
        </w:rPr>
        <w:t>The reforms and investments to be implemented under the Recovery and Resilience Facility, along with other EU support, represent a major opportunity to remove</w:t>
      </w:r>
      <w:r>
        <w:rPr>
          <w:b/>
          <w:bCs/>
          <w:noProof/>
        </w:rPr>
        <w:t xml:space="preserve"> impediments to growth and thereby support the correction of the identified macroeconomic imbalances, while promoting a more inclusive and sustainable growth model. </w:t>
      </w:r>
      <w:r>
        <w:rPr>
          <w:noProof/>
        </w:rPr>
        <w:t xml:space="preserve">The plan builds on the reform agenda initiated under the </w:t>
      </w:r>
      <w:r>
        <w:rPr>
          <w:rFonts w:eastAsia="Calibri"/>
          <w:noProof/>
        </w:rPr>
        <w:t>economic adjustment programmes</w:t>
      </w:r>
      <w:r>
        <w:rPr>
          <w:rFonts w:eastAsia="Calibri"/>
          <w:b/>
          <w:bCs/>
          <w:noProof/>
        </w:rPr>
        <w:t xml:space="preserve"> </w:t>
      </w:r>
      <w:r>
        <w:rPr>
          <w:noProof/>
        </w:rPr>
        <w:t>and</w:t>
      </w:r>
      <w:r>
        <w:rPr>
          <w:noProof/>
        </w:rPr>
        <w:t xml:space="preserve"> currently monitored under enhanced surveillance, including the tax administration reform, social, healthcare and business environment reforms as well as reforms and investments strengthening the public administration and the justice system. The plan furth</w:t>
      </w:r>
      <w:r>
        <w:rPr>
          <w:noProof/>
        </w:rPr>
        <w:t xml:space="preserve">er contains several institutional and structural reforms to support entrepreneurship, private and public investment and productivity growth. It provides incentives to help companies grow, innovate and trade better, while tackling </w:t>
      </w:r>
      <w:r>
        <w:rPr>
          <w:rFonts w:eastAsia="Times New Roman"/>
          <w:noProof/>
        </w:rPr>
        <w:t>inefficiencies in public a</w:t>
      </w:r>
      <w:r>
        <w:rPr>
          <w:rFonts w:eastAsia="Times New Roman"/>
          <w:noProof/>
        </w:rPr>
        <w:t xml:space="preserve">dministration and promoting a more business-friendly tax system. </w:t>
      </w:r>
      <w:r>
        <w:rPr>
          <w:noProof/>
        </w:rPr>
        <w:t xml:space="preserve">The plan is centred on the objective of favouring a digital and green transition. </w:t>
      </w:r>
    </w:p>
    <w:p w:rsidR="00176373" w:rsidRDefault="00E474D1">
      <w:pPr>
        <w:spacing w:before="120" w:after="12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Public finances and health care</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The increased financing needs due to the COVID-related public support measur</w:t>
      </w:r>
      <w:r>
        <w:rPr>
          <w:rFonts w:ascii="Times New Roman" w:hAnsi="Times New Roman" w:cs="Times New Roman"/>
          <w:b/>
          <w:bCs/>
          <w:noProof/>
          <w:sz w:val="24"/>
          <w:szCs w:val="24"/>
        </w:rPr>
        <w:t>es have widened the government deficit and increased public debt</w:t>
      </w:r>
      <w:r>
        <w:rPr>
          <w:rFonts w:ascii="Times New Roman" w:hAnsi="Times New Roman" w:cs="Times New Roman"/>
          <w:noProof/>
          <w:sz w:val="24"/>
          <w:szCs w:val="24"/>
        </w:rPr>
        <w:t>. In 2020, t</w:t>
      </w:r>
      <w:r>
        <w:rPr>
          <w:rFonts w:ascii="Times New Roman" w:eastAsia="Times New Roman" w:hAnsi="Times New Roman" w:cs="Times New Roman"/>
          <w:noProof/>
          <w:sz w:val="24"/>
          <w:szCs w:val="24"/>
        </w:rPr>
        <w:t xml:space="preserve">he general government budget was in a deficit of 9.7% of GDP, while </w:t>
      </w:r>
      <w:r>
        <w:rPr>
          <w:rFonts w:ascii="Times New Roman" w:hAnsi="Times New Roman" w:cs="Times New Roman"/>
          <w:noProof/>
          <w:sz w:val="24"/>
          <w:szCs w:val="24"/>
        </w:rPr>
        <w:t xml:space="preserve">the government debt increased to 206% of GDP. </w:t>
      </w:r>
      <w:r>
        <w:rPr>
          <w:rFonts w:ascii="Times New Roman" w:eastAsia="Times New Roman" w:hAnsi="Times New Roman" w:cs="Times New Roman"/>
          <w:noProof/>
          <w:sz w:val="24"/>
          <w:szCs w:val="24"/>
        </w:rPr>
        <w:t xml:space="preserve">Greece has responded swiftly </w:t>
      </w:r>
      <w:r>
        <w:rPr>
          <w:rFonts w:ascii="Times New Roman" w:eastAsia="Calibri" w:hAnsi="Times New Roman" w:cs="Times New Roman"/>
          <w:noProof/>
          <w:sz w:val="24"/>
          <w:szCs w:val="24"/>
        </w:rPr>
        <w:t xml:space="preserve">to address the impact of the pandemic, sustain the economy and support the ensuing recovery. </w:t>
      </w:r>
      <w:r>
        <w:rPr>
          <w:rFonts w:ascii="Times New Roman" w:hAnsi="Times New Roman" w:cs="Times New Roman"/>
          <w:noProof/>
          <w:sz w:val="24"/>
          <w:szCs w:val="24"/>
        </w:rPr>
        <w:t>T</w:t>
      </w:r>
      <w:r>
        <w:rPr>
          <w:rFonts w:ascii="Times New Roman" w:eastAsia="Calibri" w:hAnsi="Times New Roman" w:cs="Times New Roman"/>
          <w:noProof/>
          <w:sz w:val="24"/>
          <w:szCs w:val="24"/>
        </w:rPr>
        <w:t xml:space="preserve">he authorities have put forward a </w:t>
      </w:r>
      <w:r>
        <w:rPr>
          <w:rFonts w:ascii="Times New Roman" w:hAnsi="Times New Roman" w:cs="Times New Roman"/>
          <w:noProof/>
          <w:sz w:val="24"/>
          <w:szCs w:val="24"/>
        </w:rPr>
        <w:t xml:space="preserve">wide range of short-term measures, including tax and social security contribution deferrals, fiscal measures, and the provision </w:t>
      </w:r>
      <w:r>
        <w:rPr>
          <w:rFonts w:ascii="Times New Roman" w:hAnsi="Times New Roman" w:cs="Times New Roman"/>
          <w:noProof/>
          <w:sz w:val="24"/>
          <w:szCs w:val="24"/>
        </w:rPr>
        <w:t xml:space="preserve">of liquidity guarantees, to provide income support to individuals, maintain liquidity in the private economy and prevent job dismissals </w:t>
      </w:r>
      <w:r>
        <w:rPr>
          <w:rFonts w:ascii="Times New Roman" w:eastAsia="Times New Roman" w:hAnsi="Times New Roman" w:cs="Times New Roman"/>
          <w:noProof/>
          <w:sz w:val="24"/>
          <w:szCs w:val="24"/>
        </w:rPr>
        <w:t>(Section 2.1)</w:t>
      </w:r>
      <w:r>
        <w:rPr>
          <w:rFonts w:ascii="Times New Roman" w:hAnsi="Times New Roman" w:cs="Times New Roman"/>
          <w:noProof/>
          <w:sz w:val="24"/>
          <w:szCs w:val="24"/>
        </w:rPr>
        <w:t xml:space="preserve">. </w:t>
      </w:r>
    </w:p>
    <w:p w:rsidR="00176373" w:rsidRDefault="00E474D1">
      <w:pPr>
        <w:spacing w:before="120" w:after="120" w:line="240" w:lineRule="auto"/>
        <w:jc w:val="both"/>
        <w:rPr>
          <w:rFonts w:ascii="Times New Roman" w:hAnsi="Times New Roman" w:cs="Times New Roman"/>
          <w:noProof/>
          <w:color w:val="000000"/>
          <w:sz w:val="24"/>
          <w:szCs w:val="24"/>
        </w:rPr>
      </w:pPr>
      <w:r>
        <w:rPr>
          <w:rFonts w:ascii="Times New Roman" w:eastAsia="Calibri" w:hAnsi="Times New Roman" w:cs="Times New Roman"/>
          <w:b/>
          <w:bCs/>
          <w:noProof/>
          <w:sz w:val="24"/>
          <w:szCs w:val="24"/>
        </w:rPr>
        <w:t xml:space="preserve">In line with the country-specific recommendation, the plan can play a key role in </w:t>
      </w:r>
      <w:r>
        <w:rPr>
          <w:rFonts w:ascii="Times New Roman" w:eastAsia="Times New Roman" w:hAnsi="Times New Roman" w:cs="Times New Roman"/>
          <w:b/>
          <w:bCs/>
          <w:noProof/>
          <w:sz w:val="24"/>
          <w:szCs w:val="24"/>
        </w:rPr>
        <w:t xml:space="preserve">promoting investments </w:t>
      </w:r>
      <w:r>
        <w:rPr>
          <w:rFonts w:ascii="Times New Roman" w:eastAsia="Times New Roman" w:hAnsi="Times New Roman" w:cs="Times New Roman"/>
          <w:b/>
          <w:bCs/>
          <w:noProof/>
          <w:sz w:val="24"/>
          <w:szCs w:val="24"/>
        </w:rPr>
        <w:t xml:space="preserve">going forward. </w:t>
      </w:r>
      <w:r>
        <w:rPr>
          <w:rFonts w:ascii="Times New Roman" w:eastAsia="Times New Roman" w:hAnsi="Times New Roman" w:cs="Times New Roman"/>
          <w:noProof/>
          <w:sz w:val="24"/>
          <w:szCs w:val="24"/>
        </w:rPr>
        <w:t>Given its strong focus on employment, investment and productivity-enhancing policies, the implementation of the plan is expected to raise growth and thus contribute to putting public finances on a sound footing in the medium to long term. Mo</w:t>
      </w:r>
      <w:r>
        <w:rPr>
          <w:rFonts w:ascii="Times New Roman" w:eastAsia="Times New Roman" w:hAnsi="Times New Roman" w:cs="Times New Roman"/>
          <w:noProof/>
          <w:sz w:val="24"/>
          <w:szCs w:val="24"/>
        </w:rPr>
        <w:t>reover, the plan presents a range of reforms to make taxes more growth-friendly and improve the tax administration and tax collection, including by further increasing the use of electronic transactions, accelerating refunds of the value added tax, and limi</w:t>
      </w:r>
      <w:r>
        <w:rPr>
          <w:rFonts w:ascii="Times New Roman" w:eastAsia="Times New Roman" w:hAnsi="Times New Roman" w:cs="Times New Roman"/>
          <w:noProof/>
          <w:sz w:val="24"/>
          <w:szCs w:val="24"/>
        </w:rPr>
        <w:t>ting the misallocation of resources towards the informal sector. These reforms are complemented by investments to support the digitalisation of the Independent Authority for Public Revenue (IAPR) and tax audits, aiming to eliminate lost revenue from smuggl</w:t>
      </w:r>
      <w:r>
        <w:rPr>
          <w:rFonts w:ascii="Times New Roman" w:eastAsia="Times New Roman" w:hAnsi="Times New Roman" w:cs="Times New Roman"/>
          <w:noProof/>
          <w:sz w:val="24"/>
          <w:szCs w:val="24"/>
        </w:rPr>
        <w:t>ing, and reduce the administrative burden for taxpayers. The plan also envisages measures to improve public financial management, including through digitalisation, reforms of public procurement and a modernisation of the institutional framework for state-o</w:t>
      </w:r>
      <w:r>
        <w:rPr>
          <w:rFonts w:ascii="Times New Roman" w:eastAsia="Times New Roman" w:hAnsi="Times New Roman" w:cs="Times New Roman"/>
          <w:noProof/>
          <w:sz w:val="24"/>
          <w:szCs w:val="24"/>
        </w:rPr>
        <w:t>wned enterprises.</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In response to the challenges in the healthcare system, the plan envisages significant investments in upgrading the infrastructure of the hospital system and improving several of its operational aspects, while promoting access, efficiency</w:t>
      </w:r>
      <w:r>
        <w:rPr>
          <w:rFonts w:ascii="Times New Roman" w:hAnsi="Times New Roman" w:cs="Times New Roman"/>
          <w:b/>
          <w:bCs/>
          <w:noProof/>
          <w:sz w:val="24"/>
          <w:szCs w:val="24"/>
        </w:rPr>
        <w:t xml:space="preserve"> and resilience of the healthcare sector more broadly.</w:t>
      </w:r>
      <w:r>
        <w:rPr>
          <w:rFonts w:ascii="Times New Roman" w:hAnsi="Times New Roman" w:cs="Times New Roman"/>
          <w:noProof/>
          <w:sz w:val="24"/>
          <w:szCs w:val="24"/>
        </w:rPr>
        <w:t xml:space="preserve"> Key weaknesses of the healthcare system are reflected in a still </w:t>
      </w:r>
      <w:r>
        <w:rPr>
          <w:rFonts w:ascii="Times New Roman" w:eastAsia="Times New Roman" w:hAnsi="Times New Roman" w:cs="Times New Roman"/>
          <w:noProof/>
          <w:sz w:val="24"/>
          <w:szCs w:val="24"/>
        </w:rPr>
        <w:t>weak and understaffed primary healthcare sector and an underdeveloped long-term care sector, which lead to unmet needs. This is aggravat</w:t>
      </w:r>
      <w:r>
        <w:rPr>
          <w:rFonts w:ascii="Times New Roman" w:eastAsia="Times New Roman" w:hAnsi="Times New Roman" w:cs="Times New Roman"/>
          <w:noProof/>
          <w:sz w:val="24"/>
          <w:szCs w:val="24"/>
        </w:rPr>
        <w:t xml:space="preserve">ed by persistent supply-induced demand for healthcare and weaknesses in the centralised procurement system for healthcare expenditure (Section 2.2). </w:t>
      </w:r>
      <w:r>
        <w:rPr>
          <w:rFonts w:ascii="Times New Roman" w:hAnsi="Times New Roman" w:cs="Times New Roman"/>
          <w:noProof/>
          <w:sz w:val="24"/>
          <w:szCs w:val="24"/>
        </w:rPr>
        <w:t xml:space="preserve">In view of these challenges, the plan aims to strengthen the primary healthcare sector, promote prevention </w:t>
      </w:r>
      <w:r>
        <w:rPr>
          <w:rFonts w:ascii="Times New Roman" w:hAnsi="Times New Roman" w:cs="Times New Roman"/>
          <w:noProof/>
          <w:sz w:val="24"/>
          <w:szCs w:val="24"/>
        </w:rPr>
        <w:t>services with a comprehensive national programme for public health that will also support preparedness, increase the capacity of the health care system to deliver mental health and home care services, rationalise pharmaceutical spending and support pharmac</w:t>
      </w:r>
      <w:r>
        <w:rPr>
          <w:rFonts w:ascii="Times New Roman" w:hAnsi="Times New Roman" w:cs="Times New Roman"/>
          <w:noProof/>
          <w:sz w:val="24"/>
          <w:szCs w:val="24"/>
        </w:rPr>
        <w:t>eutical R&amp;D. Another important element of the plan are the ambitious measures to digitalise healthcare systems and services with a view to expanding access to services and improving public spending efficiency.</w:t>
      </w:r>
    </w:p>
    <w:p w:rsidR="00176373" w:rsidRDefault="00E474D1">
      <w:pPr>
        <w:spacing w:before="120" w:after="120" w:line="240" w:lineRule="auto"/>
        <w:jc w:val="both"/>
        <w:rPr>
          <w:rFonts w:ascii="Times New Roman" w:eastAsia="Calibri" w:hAnsi="Times New Roman" w:cs="Times New Roman"/>
          <w:i/>
          <w:noProof/>
          <w:sz w:val="24"/>
          <w:szCs w:val="24"/>
        </w:rPr>
      </w:pPr>
      <w:r>
        <w:rPr>
          <w:rFonts w:ascii="Times New Roman" w:eastAsia="Calibri" w:hAnsi="Times New Roman" w:cs="Times New Roman"/>
          <w:i/>
          <w:iCs/>
          <w:noProof/>
          <w:sz w:val="24"/>
          <w:szCs w:val="24"/>
        </w:rPr>
        <w:t>Labour market and social policy</w:t>
      </w:r>
    </w:p>
    <w:p w:rsidR="00176373" w:rsidRDefault="00E474D1">
      <w:p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cs="Times New Roman"/>
          <w:b/>
          <w:bCs/>
          <w:noProof/>
          <w:sz w:val="24"/>
          <w:szCs w:val="24"/>
        </w:rPr>
        <w:t>While the pand</w:t>
      </w:r>
      <w:r>
        <w:rPr>
          <w:rFonts w:ascii="Times New Roman" w:hAnsi="Times New Roman" w:cs="Times New Roman"/>
          <w:b/>
          <w:bCs/>
          <w:noProof/>
          <w:sz w:val="24"/>
          <w:szCs w:val="24"/>
        </w:rPr>
        <w:t xml:space="preserve">emic has had a relatively limited impact on the unemployment rate thanks to the effective policy response, the labour market continues to face significant challenges. </w:t>
      </w:r>
      <w:r>
        <w:rPr>
          <w:rFonts w:ascii="Times New Roman" w:eastAsia="Times New Roman" w:hAnsi="Times New Roman" w:cs="Times New Roman"/>
          <w:noProof/>
          <w:sz w:val="24"/>
          <w:szCs w:val="24"/>
        </w:rPr>
        <w:t>Unemployment remains among the highest in the EU, while employment is among the lowest. T</w:t>
      </w:r>
      <w:r>
        <w:rPr>
          <w:rFonts w:ascii="Times New Roman" w:eastAsia="Times New Roman" w:hAnsi="Times New Roman" w:cs="Times New Roman"/>
          <w:noProof/>
          <w:sz w:val="24"/>
          <w:szCs w:val="24"/>
        </w:rPr>
        <w:t>he challenges further include high youth unemployment, a high gender employment gap and a large share of long-term unemployed. Despite the improvements ahead of the pandemic, labour productivity remains weak and the effectiveness of the activation support,</w:t>
      </w:r>
      <w:r>
        <w:rPr>
          <w:rFonts w:ascii="Times New Roman" w:eastAsia="Times New Roman" w:hAnsi="Times New Roman" w:cs="Times New Roman"/>
          <w:noProof/>
          <w:sz w:val="24"/>
          <w:szCs w:val="24"/>
        </w:rPr>
        <w:t xml:space="preserve"> beyond the short-time work schemes implemented during the COVID-19 crisis, is low, partly due to capacity constraints of the Public Employment Service (Section 2.2).</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The plan contains a number of measures to support employment</w:t>
      </w:r>
      <w:r>
        <w:rPr>
          <w:rFonts w:ascii="Times New Roman" w:hAnsi="Times New Roman" w:cs="Times New Roman"/>
          <w:noProof/>
          <w:sz w:val="24"/>
          <w:szCs w:val="24"/>
        </w:rPr>
        <w:t xml:space="preserve">. The plan presents a series </w:t>
      </w:r>
      <w:r>
        <w:rPr>
          <w:rFonts w:ascii="Times New Roman" w:hAnsi="Times New Roman" w:cs="Times New Roman"/>
          <w:noProof/>
          <w:sz w:val="24"/>
          <w:szCs w:val="24"/>
        </w:rPr>
        <w:t>of targeted hiring subsidies, upskilling programmes including in the digital and green economy, and measures to enhance the administrative capacity of the Public Employment Service (OAED) including by expanding its digital services. These measures are of a</w:t>
      </w:r>
      <w:r>
        <w:rPr>
          <w:rFonts w:ascii="Times New Roman" w:hAnsi="Times New Roman" w:cs="Times New Roman"/>
          <w:noProof/>
          <w:sz w:val="24"/>
          <w:szCs w:val="24"/>
        </w:rPr>
        <w:t xml:space="preserve"> broad scope and are expected to contribute to addressing the country-country specific recommendation that calls on Greece to ensure effective activation support in order to mitigate the employment and social impact of the health crisis. At the same time, </w:t>
      </w:r>
      <w:r>
        <w:rPr>
          <w:rFonts w:ascii="Times New Roman" w:hAnsi="Times New Roman" w:cs="Times New Roman"/>
          <w:noProof/>
          <w:sz w:val="24"/>
          <w:szCs w:val="24"/>
        </w:rPr>
        <w:t>there is further room to ensure effective provision of tailor-made activation support to the unemployed on a continuous basis. Furthermore</w:t>
      </w:r>
      <w:r>
        <w:rPr>
          <w:rFonts w:ascii="Times New Roman" w:eastAsia="Times New Roman" w:hAnsi="Times New Roman" w:cs="Times New Roman"/>
          <w:noProof/>
          <w:sz w:val="24"/>
          <w:szCs w:val="24"/>
          <w:lang w:eastAsia="fr-BE"/>
        </w:rPr>
        <w:t>, t</w:t>
      </w:r>
      <w:r>
        <w:rPr>
          <w:rFonts w:ascii="Times New Roman" w:hAnsi="Times New Roman" w:cs="Times New Roman"/>
          <w:noProof/>
          <w:sz w:val="24"/>
          <w:szCs w:val="24"/>
        </w:rPr>
        <w:t>he plan envisages the adoption of a Labour Code reform to modernise key aspects of the labour market and improve it</w:t>
      </w:r>
      <w:r>
        <w:rPr>
          <w:rFonts w:ascii="Times New Roman" w:hAnsi="Times New Roman" w:cs="Times New Roman"/>
          <w:noProof/>
          <w:sz w:val="24"/>
          <w:szCs w:val="24"/>
        </w:rPr>
        <w:t>s functioning. These measures are complemented by reforms of passive labour market policies, including in the form of a new incentives-compatible ‘mutual obligations framework’, which aims to improve adequacy of the unemployment insurance system while miti</w:t>
      </w:r>
      <w:r>
        <w:rPr>
          <w:rFonts w:ascii="Times New Roman" w:hAnsi="Times New Roman" w:cs="Times New Roman"/>
          <w:noProof/>
          <w:sz w:val="24"/>
          <w:szCs w:val="24"/>
        </w:rPr>
        <w:t xml:space="preserve">gating disincentives to participate to trainings. </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The plan effectively addresses most of the challenges facing the Greek education system and puts emphasis on labour market integration of vulnerable groups</w:t>
      </w:r>
      <w:r>
        <w:rPr>
          <w:rFonts w:ascii="Times New Roman" w:hAnsi="Times New Roman" w:cs="Times New Roman"/>
          <w:noProof/>
          <w:sz w:val="24"/>
          <w:szCs w:val="24"/>
        </w:rPr>
        <w:t>. To recall, Greece ranks low in basic skills part</w:t>
      </w:r>
      <w:r>
        <w:rPr>
          <w:rFonts w:ascii="Times New Roman" w:hAnsi="Times New Roman" w:cs="Times New Roman"/>
          <w:noProof/>
          <w:sz w:val="24"/>
          <w:szCs w:val="24"/>
        </w:rPr>
        <w:t>ly due to teaching weaknesses, and education outcomes are highly affected by the students’ socioeconomic background, while the education system does not correspond fully to the needs of the labour market (Section 2.2). The plan includes several measures to</w:t>
      </w:r>
      <w:r>
        <w:rPr>
          <w:rFonts w:ascii="Times New Roman" w:hAnsi="Times New Roman" w:cs="Times New Roman"/>
          <w:noProof/>
          <w:sz w:val="24"/>
          <w:szCs w:val="24"/>
        </w:rPr>
        <w:t xml:space="preserve"> improve the quality and labour market relevance of education at all levels and to expand distance learning opportunities as a means to improve access to education. The plan further contains a thorough reform of the lifelong-learning system and a large vol</w:t>
      </w:r>
      <w:r>
        <w:rPr>
          <w:rFonts w:ascii="Times New Roman" w:hAnsi="Times New Roman" w:cs="Times New Roman"/>
          <w:noProof/>
          <w:sz w:val="24"/>
          <w:szCs w:val="24"/>
        </w:rPr>
        <w:t>ume of investments in upskilling and reskilling programmes with a particular focus on the green and digital transition. The effectiveness of these programmes will crucially depend on the reform of the life-long learning system and the extent to which it wi</w:t>
      </w:r>
      <w:r>
        <w:rPr>
          <w:rFonts w:ascii="Times New Roman" w:hAnsi="Times New Roman" w:cs="Times New Roman"/>
          <w:noProof/>
          <w:sz w:val="24"/>
          <w:szCs w:val="24"/>
        </w:rPr>
        <w:t>ll help ensure high quality and labour market relevance of offered programmes, accountability of providers and appropriate selection of participants. Among others, the plan aims to promote diversity awareness and support social integration of vulnerable gr</w:t>
      </w:r>
      <w:r>
        <w:rPr>
          <w:rFonts w:ascii="Times New Roman" w:hAnsi="Times New Roman" w:cs="Times New Roman"/>
          <w:noProof/>
          <w:sz w:val="24"/>
          <w:szCs w:val="24"/>
        </w:rPr>
        <w:t>oups, including persons with disabilities and homeless people, Roma and the extremely poor through labour market activation. It puts high emphasis on gender equality and promotes participation of women in the labour market including through targeted employ</w:t>
      </w:r>
      <w:r>
        <w:rPr>
          <w:rFonts w:ascii="Times New Roman" w:hAnsi="Times New Roman" w:cs="Times New Roman"/>
          <w:noProof/>
          <w:sz w:val="24"/>
          <w:szCs w:val="24"/>
        </w:rPr>
        <w:t xml:space="preserve">ment subsidies and upskilling programmes, and by expanding childcare facilities. Last but not least, the plan contains measures to ensure a socially just transition in areas where lignite-based electricity generation will be gradually phased-out, while it </w:t>
      </w:r>
      <w:r>
        <w:rPr>
          <w:rFonts w:ascii="Times New Roman" w:hAnsi="Times New Roman" w:cs="Times New Roman"/>
          <w:noProof/>
          <w:sz w:val="24"/>
          <w:szCs w:val="24"/>
        </w:rPr>
        <w:t>allocates specific funds to support energy poor households through investments that promote energy-efficient renovation and upgrading of buildings.</w:t>
      </w:r>
    </w:p>
    <w:p w:rsidR="00176373" w:rsidRDefault="00E474D1">
      <w:pPr>
        <w:spacing w:before="120" w:after="120" w:line="240" w:lineRule="auto"/>
        <w:jc w:val="both"/>
        <w:rPr>
          <w:rFonts w:ascii="Times New Roman" w:eastAsia="Calibri" w:hAnsi="Times New Roman" w:cs="Times New Roman"/>
          <w:i/>
          <w:noProof/>
          <w:sz w:val="24"/>
          <w:szCs w:val="24"/>
        </w:rPr>
      </w:pPr>
      <w:r>
        <w:rPr>
          <w:rFonts w:ascii="Times New Roman" w:eastAsia="Calibri" w:hAnsi="Times New Roman" w:cs="Times New Roman"/>
          <w:i/>
          <w:iCs/>
          <w:noProof/>
          <w:sz w:val="24"/>
          <w:szCs w:val="24"/>
        </w:rPr>
        <w:t>Public and private investment</w:t>
      </w:r>
    </w:p>
    <w:p w:rsidR="00176373" w:rsidRDefault="00E474D1">
      <w:pPr>
        <w:spacing w:before="120" w:after="120" w:line="240" w:lineRule="auto"/>
        <w:jc w:val="both"/>
        <w:rPr>
          <w:rFonts w:ascii="Times New Roman" w:hAnsi="Times New Roman" w:cs="Times New Roman"/>
          <w:noProof/>
          <w:color w:val="000000"/>
          <w:sz w:val="24"/>
          <w:szCs w:val="24"/>
        </w:rPr>
      </w:pPr>
      <w:r>
        <w:rPr>
          <w:rFonts w:ascii="Times New Roman" w:hAnsi="Times New Roman" w:cs="Times New Roman"/>
          <w:b/>
          <w:bCs/>
          <w:noProof/>
          <w:sz w:val="24"/>
          <w:szCs w:val="24"/>
        </w:rPr>
        <w:t>The plan puts particular emphasis on front-loading mature public investment pr</w:t>
      </w:r>
      <w:r>
        <w:rPr>
          <w:rFonts w:ascii="Times New Roman" w:hAnsi="Times New Roman" w:cs="Times New Roman"/>
          <w:b/>
          <w:bCs/>
          <w:noProof/>
          <w:sz w:val="24"/>
          <w:szCs w:val="24"/>
        </w:rPr>
        <w:t xml:space="preserve">ojects and promoting public and private investments in priority sectors, including those contributing to the digital and green transition. </w:t>
      </w:r>
      <w:r>
        <w:rPr>
          <w:rFonts w:ascii="Times New Roman" w:hAnsi="Times New Roman" w:cs="Times New Roman"/>
          <w:noProof/>
          <w:sz w:val="24"/>
          <w:szCs w:val="24"/>
        </w:rPr>
        <w:t>Implementation</w:t>
      </w:r>
      <w:r>
        <w:rPr>
          <w:rFonts w:ascii="Times New Roman" w:eastAsia="Times New Roman" w:hAnsi="Times New Roman" w:cs="Times New Roman"/>
          <w:noProof/>
          <w:sz w:val="24"/>
          <w:szCs w:val="24"/>
        </w:rPr>
        <w:t xml:space="preserve"> of large public infrastructure projects has persistently suffered from the lack of an effective planni</w:t>
      </w:r>
      <w:r>
        <w:rPr>
          <w:rFonts w:ascii="Times New Roman" w:eastAsia="Times New Roman" w:hAnsi="Times New Roman" w:cs="Times New Roman"/>
          <w:noProof/>
          <w:sz w:val="24"/>
          <w:szCs w:val="24"/>
        </w:rPr>
        <w:t>ng and monitoring system (Section 2.2). In response, the plan seeks to strengthen the policy and planning coordination framework by modernising public administration, procurement and the public accounting system, and by strengthening the fight against corr</w:t>
      </w:r>
      <w:r>
        <w:rPr>
          <w:rFonts w:ascii="Times New Roman" w:eastAsia="Times New Roman" w:hAnsi="Times New Roman" w:cs="Times New Roman"/>
          <w:noProof/>
          <w:sz w:val="24"/>
          <w:szCs w:val="24"/>
        </w:rPr>
        <w:t>uption. At sectoral level, in line with the country-specific recommendation, the plan presents</w:t>
      </w:r>
      <w:r>
        <w:rPr>
          <w:rFonts w:ascii="Times New Roman" w:hAnsi="Times New Roman" w:cs="Times New Roman"/>
          <w:noProof/>
          <w:sz w:val="24"/>
          <w:szCs w:val="24"/>
        </w:rPr>
        <w:t xml:space="preserve"> a number of investments promoting r</w:t>
      </w:r>
      <w:r>
        <w:rPr>
          <w:rFonts w:ascii="Times New Roman" w:hAnsi="Times New Roman" w:cs="Times New Roman"/>
          <w:noProof/>
          <w:color w:val="000000"/>
          <w:sz w:val="24"/>
          <w:szCs w:val="24"/>
        </w:rPr>
        <w:t>enewable energy and electricity interconnection, increase the energy performance of public, residential and non-residential bu</w:t>
      </w:r>
      <w:r>
        <w:rPr>
          <w:rFonts w:ascii="Times New Roman" w:hAnsi="Times New Roman" w:cs="Times New Roman"/>
          <w:noProof/>
          <w:color w:val="000000"/>
          <w:sz w:val="24"/>
          <w:szCs w:val="24"/>
        </w:rPr>
        <w:t>ildings, the renewal of urban areas, safe and sustainable transport and logistics, environmental protection and infrastructure, very-high-capacity digital infrastructure, the digitalisation of the public administration, the digital transformation of busine</w:t>
      </w:r>
      <w:r>
        <w:rPr>
          <w:rFonts w:ascii="Times New Roman" w:hAnsi="Times New Roman" w:cs="Times New Roman"/>
          <w:noProof/>
          <w:color w:val="000000"/>
          <w:sz w:val="24"/>
          <w:szCs w:val="24"/>
        </w:rPr>
        <w:t xml:space="preserve">sses, and research and development. </w:t>
      </w:r>
      <w:r>
        <w:rPr>
          <w:rFonts w:ascii="Times New Roman" w:hAnsi="Times New Roman" w:cs="Times New Roman"/>
          <w:noProof/>
          <w:sz w:val="24"/>
          <w:szCs w:val="24"/>
        </w:rPr>
        <w:t>These measures are complemented by the establishment of the loan facility, which caters for the distribution of</w:t>
      </w:r>
      <w:r>
        <w:rPr>
          <w:rFonts w:ascii="Times New Roman" w:eastAsia="Times New Roman" w:hAnsi="Times New Roman" w:cs="Times New Roman"/>
          <w:noProof/>
          <w:sz w:val="24"/>
          <w:szCs w:val="24"/>
        </w:rPr>
        <w:t xml:space="preserve"> the loan component of the plan through financial institutions, an equity platform, and InvestEU, and creates</w:t>
      </w:r>
      <w:r>
        <w:rPr>
          <w:rFonts w:ascii="Times New Roman" w:eastAsia="Times New Roman" w:hAnsi="Times New Roman" w:cs="Times New Roman"/>
          <w:noProof/>
          <w:sz w:val="24"/>
          <w:szCs w:val="24"/>
        </w:rPr>
        <w:t xml:space="preserve"> financial incentives for the private sector to increase private investments.</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Overall, the plan addresses the challenges related to energy efficiency and the renewal of urban areas.</w:t>
      </w:r>
      <w:r>
        <w:rPr>
          <w:rFonts w:ascii="Times New Roman" w:hAnsi="Times New Roman" w:cs="Times New Roman"/>
          <w:noProof/>
          <w:sz w:val="24"/>
          <w:szCs w:val="24"/>
        </w:rPr>
        <w:t xml:space="preserve"> Energy consumption of Greece's public and private buildings accounts for a</w:t>
      </w:r>
      <w:r>
        <w:rPr>
          <w:rFonts w:ascii="Times New Roman" w:hAnsi="Times New Roman" w:cs="Times New Roman"/>
          <w:noProof/>
          <w:sz w:val="24"/>
          <w:szCs w:val="24"/>
        </w:rPr>
        <w:t>lmost 40% of total final energy consumption, which points to the need for deep renovations to achieve savings, while</w:t>
      </w:r>
      <w:r>
        <w:rPr>
          <w:rFonts w:ascii="Times New Roman" w:eastAsia="Times New Roman" w:hAnsi="Times New Roman" w:cs="Times New Roman"/>
          <w:noProof/>
          <w:sz w:val="24"/>
          <w:szCs w:val="24"/>
        </w:rPr>
        <w:t xml:space="preserve"> energy poverty is a pressing social challenge (Section 2.3).</w:t>
      </w:r>
      <w:r>
        <w:rPr>
          <w:rFonts w:ascii="Times New Roman" w:hAnsi="Times New Roman" w:cs="Times New Roman"/>
          <w:noProof/>
          <w:sz w:val="24"/>
          <w:szCs w:val="24"/>
        </w:rPr>
        <w:t xml:space="preserve"> To respond to these challenges, the plan aims to enhance the energy performanc</w:t>
      </w:r>
      <w:r>
        <w:rPr>
          <w:rFonts w:ascii="Times New Roman" w:hAnsi="Times New Roman" w:cs="Times New Roman"/>
          <w:noProof/>
          <w:sz w:val="24"/>
          <w:szCs w:val="24"/>
        </w:rPr>
        <w:t xml:space="preserve">e of buildings, with a focus on the residential sector, including energy poor households. </w:t>
      </w:r>
      <w:r>
        <w:rPr>
          <w:rFonts w:ascii="Times New Roman" w:hAnsi="Times New Roman" w:cs="Times New Roman"/>
          <w:noProof/>
          <w:color w:val="000000"/>
          <w:sz w:val="24"/>
          <w:szCs w:val="24"/>
        </w:rPr>
        <w:t>The plan also includes reforms aiming to ensure the financial sustainability of the renewable energy sources (RES) system, further simplify the RES licensing procedur</w:t>
      </w:r>
      <w:r>
        <w:rPr>
          <w:rFonts w:ascii="Times New Roman" w:hAnsi="Times New Roman" w:cs="Times New Roman"/>
          <w:noProof/>
          <w:color w:val="000000"/>
          <w:sz w:val="24"/>
          <w:szCs w:val="24"/>
        </w:rPr>
        <w:t>e and introduce specific energy market reforms, including the establishment of a monitoring mechanism by the national energy regulator. Moreover, t</w:t>
      </w:r>
      <w:r>
        <w:rPr>
          <w:rFonts w:ascii="Times New Roman" w:hAnsi="Times New Roman" w:cs="Times New Roman"/>
          <w:noProof/>
          <w:sz w:val="24"/>
          <w:szCs w:val="24"/>
        </w:rPr>
        <w:t>he plan will help address the country-specific recommendation on the need to renew urban areas, mainly throug</w:t>
      </w:r>
      <w:r>
        <w:rPr>
          <w:rFonts w:ascii="Times New Roman" w:hAnsi="Times New Roman" w:cs="Times New Roman"/>
          <w:noProof/>
          <w:sz w:val="24"/>
          <w:szCs w:val="24"/>
        </w:rPr>
        <w:t xml:space="preserve">h the reform of local urban planning covering all territories of the country. </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plan presents measures that will be instrumental in addressing challenges related to sustainable and safe transport, with complementing efforts to expand logistics infrastructures that are supported by other EU financing resources. </w:t>
      </w:r>
      <w:r>
        <w:rPr>
          <w:rFonts w:ascii="Times New Roman" w:hAnsi="Times New Roman" w:cs="Times New Roman"/>
          <w:noProof/>
          <w:sz w:val="24"/>
          <w:szCs w:val="24"/>
        </w:rPr>
        <w:t>Transport is respons</w:t>
      </w:r>
      <w:r>
        <w:rPr>
          <w:rFonts w:ascii="Times New Roman" w:hAnsi="Times New Roman" w:cs="Times New Roman"/>
          <w:noProof/>
          <w:sz w:val="24"/>
          <w:szCs w:val="24"/>
        </w:rPr>
        <w:t xml:space="preserve">ible for 21% of the national greenhouse gas emissions and accounts for the largest share in the final consumption of energy (41%). The </w:t>
      </w:r>
      <w:r>
        <w:rPr>
          <w:rFonts w:ascii="Times New Roman" w:eastAsia="Times New Roman" w:hAnsi="Times New Roman" w:cs="Times New Roman"/>
          <w:noProof/>
          <w:sz w:val="24"/>
          <w:szCs w:val="24"/>
        </w:rPr>
        <w:t>Greek fleet is among the oldest in Europe, and heavily dependent on oil, while t</w:t>
      </w:r>
      <w:r>
        <w:rPr>
          <w:rFonts w:ascii="Times New Roman" w:hAnsi="Times New Roman" w:cs="Times New Roman"/>
          <w:noProof/>
          <w:sz w:val="24"/>
          <w:szCs w:val="24"/>
        </w:rPr>
        <w:t>he e-mobility market is at an early devel</w:t>
      </w:r>
      <w:r>
        <w:rPr>
          <w:rFonts w:ascii="Times New Roman" w:hAnsi="Times New Roman" w:cs="Times New Roman"/>
          <w:noProof/>
          <w:sz w:val="24"/>
          <w:szCs w:val="24"/>
        </w:rPr>
        <w:t xml:space="preserve">opment stage. Greece also ranks low </w:t>
      </w:r>
      <w:r>
        <w:rPr>
          <w:rFonts w:ascii="Times New Roman" w:eastAsia="Times New Roman" w:hAnsi="Times New Roman" w:cs="Times New Roman"/>
          <w:noProof/>
          <w:sz w:val="24"/>
          <w:szCs w:val="24"/>
        </w:rPr>
        <w:t>in terms of road safety (Section 2.3).</w:t>
      </w:r>
      <w:r>
        <w:rPr>
          <w:rFonts w:ascii="Times New Roman" w:hAnsi="Times New Roman" w:cs="Times New Roman"/>
          <w:noProof/>
          <w:sz w:val="24"/>
          <w:szCs w:val="24"/>
        </w:rPr>
        <w:t xml:space="preserve"> The plan seeks to tackle both environmental and safety aspects of the transport system. It includes measures to install more than 8 000 charging stations for electric vehicles, repl</w:t>
      </w:r>
      <w:r>
        <w:rPr>
          <w:rFonts w:ascii="Times New Roman" w:hAnsi="Times New Roman" w:cs="Times New Roman"/>
          <w:noProof/>
          <w:sz w:val="24"/>
          <w:szCs w:val="24"/>
        </w:rPr>
        <w:t>ace a number of busses and taxis with battery electric vehicles and provide targeted support for new production-related activities in the e-mobility sector. The plan also contains a significant reform of the railways sector and several rail projects, contr</w:t>
      </w:r>
      <w:r>
        <w:rPr>
          <w:rFonts w:ascii="Times New Roman" w:hAnsi="Times New Roman" w:cs="Times New Roman"/>
          <w:noProof/>
          <w:sz w:val="24"/>
          <w:szCs w:val="24"/>
        </w:rPr>
        <w:t>ibuting to switching from fossil fuel road-based transport into more sustainable transport modes. Furthermore, Greece’s competitive advantage in maritime transport is likely to be enhanced through the development of a masterplan for the renewal of the Gree</w:t>
      </w:r>
      <w:r>
        <w:rPr>
          <w:rFonts w:ascii="Times New Roman" w:hAnsi="Times New Roman" w:cs="Times New Roman"/>
          <w:noProof/>
          <w:sz w:val="24"/>
          <w:szCs w:val="24"/>
        </w:rPr>
        <w:t>k passenger shipping fleet and selected interventions in regional and tourist ports. Last but not least, the plan complements investments in logistics that are supported by EU financing resources other than the RRF, such as the European Structural Investme</w:t>
      </w:r>
      <w:r>
        <w:rPr>
          <w:rFonts w:ascii="Times New Roman" w:hAnsi="Times New Roman" w:cs="Times New Roman"/>
          <w:noProof/>
          <w:sz w:val="24"/>
          <w:szCs w:val="24"/>
        </w:rPr>
        <w:t>nt Funds (ESIF) or the Connecting Europe Facility (CEF).</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plan includes a number of measures aiming to strengthen environmental protection and builds synergies with complementary measures supported by other EU financing resources. </w:t>
      </w:r>
      <w:r>
        <w:rPr>
          <w:rFonts w:ascii="Times New Roman" w:hAnsi="Times New Roman" w:cs="Times New Roman"/>
          <w:noProof/>
          <w:sz w:val="24"/>
          <w:szCs w:val="24"/>
        </w:rPr>
        <w:t>Greece faces substanti</w:t>
      </w:r>
      <w:r>
        <w:rPr>
          <w:rFonts w:ascii="Times New Roman" w:hAnsi="Times New Roman" w:cs="Times New Roman"/>
          <w:noProof/>
          <w:sz w:val="24"/>
          <w:szCs w:val="24"/>
        </w:rPr>
        <w:t>al challenges in this area, reflected in a weak solid waste management system and suffers from inadequate supervisory structures and the lack of appropriate regulatory frameworks for water and waste management (Section 2.3). Several investments are envisag</w:t>
      </w:r>
      <w:r>
        <w:rPr>
          <w:rFonts w:ascii="Times New Roman" w:hAnsi="Times New Roman" w:cs="Times New Roman"/>
          <w:noProof/>
          <w:sz w:val="24"/>
          <w:szCs w:val="24"/>
        </w:rPr>
        <w:t>ed in the plan to improve water supply and wastewater treatment in several territories of the country. The setup of a national waste management supervisory body and a national water regulatory authority will increase the accountability of the operators, st</w:t>
      </w:r>
      <w:r>
        <w:rPr>
          <w:rFonts w:ascii="Times New Roman" w:hAnsi="Times New Roman" w:cs="Times New Roman"/>
          <w:noProof/>
          <w:sz w:val="24"/>
          <w:szCs w:val="24"/>
        </w:rPr>
        <w:t>rengthen the governance architecture and ensure financial sustainability in both solid waste and water sectors, respectively. Moreover, the plan contains a comprehensive programme of civil protection and disaster management aiming both at improving resilie</w:t>
      </w:r>
      <w:r>
        <w:rPr>
          <w:rFonts w:ascii="Times New Roman" w:hAnsi="Times New Roman" w:cs="Times New Roman"/>
          <w:noProof/>
          <w:sz w:val="24"/>
          <w:szCs w:val="24"/>
        </w:rPr>
        <w:t>nce towards climate change and natural risks and at responding to natural disasters, including forest fires, floods and earthquakes. The plan also includes measures aiming to ’green’, modernise and enhance the competitiveness of the agricultural sector inc</w:t>
      </w:r>
      <w:r>
        <w:rPr>
          <w:rFonts w:ascii="Times New Roman" w:hAnsi="Times New Roman" w:cs="Times New Roman"/>
          <w:noProof/>
          <w:sz w:val="24"/>
          <w:szCs w:val="24"/>
        </w:rPr>
        <w:t>luding by upgrading the irrigation networks complementing actions under the Common Agricultural Policy. Last but not least, the plan complements investments in environmental infrastructures that are supported by EU financing resources other than the RRF, n</w:t>
      </w:r>
      <w:r>
        <w:rPr>
          <w:rFonts w:ascii="Times New Roman" w:hAnsi="Times New Roman" w:cs="Times New Roman"/>
          <w:noProof/>
          <w:sz w:val="24"/>
          <w:szCs w:val="24"/>
        </w:rPr>
        <w:t>otably the European Structural Investment Funds (ESIF).</w:t>
      </w:r>
    </w:p>
    <w:p w:rsidR="00176373" w:rsidRDefault="00E474D1">
      <w:pPr>
        <w:spacing w:before="120"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plan is likely to help address challenges related to the low digitalisation of both the public administration and the business sector. </w:t>
      </w:r>
      <w:r>
        <w:rPr>
          <w:rFonts w:ascii="Times New Roman" w:hAnsi="Times New Roman" w:cs="Times New Roman"/>
          <w:noProof/>
          <w:sz w:val="24"/>
          <w:szCs w:val="24"/>
        </w:rPr>
        <w:t>Albeit improving over time,</w:t>
      </w:r>
      <w:r>
        <w:rPr>
          <w:rFonts w:ascii="Times New Roman" w:hAnsi="Times New Roman" w:cs="Times New Roman"/>
          <w:b/>
          <w:bCs/>
          <w:noProof/>
          <w:sz w:val="24"/>
          <w:szCs w:val="24"/>
        </w:rPr>
        <w:t xml:space="preserve"> </w:t>
      </w:r>
      <w:r>
        <w:rPr>
          <w:rFonts w:ascii="Times New Roman" w:eastAsia="Times New Roman" w:hAnsi="Times New Roman" w:cs="Times New Roman"/>
          <w:noProof/>
          <w:sz w:val="24"/>
          <w:szCs w:val="24"/>
        </w:rPr>
        <w:t xml:space="preserve">Greece’s digital performance </w:t>
      </w:r>
      <w:r>
        <w:rPr>
          <w:rFonts w:ascii="Times New Roman" w:eastAsia="Times New Roman" w:hAnsi="Times New Roman" w:cs="Times New Roman"/>
          <w:noProof/>
          <w:sz w:val="24"/>
          <w:szCs w:val="24"/>
        </w:rPr>
        <w:t>remains among the lowest in the EU and is characterised by a combination of shortfalls in connectivity, digital skills, digital uptake by companies, provision of digital public services, low investment in R&amp;D, and the absence of smart public transport solu</w:t>
      </w:r>
      <w:r>
        <w:rPr>
          <w:rFonts w:ascii="Times New Roman" w:eastAsia="Times New Roman" w:hAnsi="Times New Roman" w:cs="Times New Roman"/>
          <w:noProof/>
          <w:sz w:val="24"/>
          <w:szCs w:val="24"/>
        </w:rPr>
        <w:t>tions (Section 2.3)</w:t>
      </w:r>
      <w:r>
        <w:rPr>
          <w:rFonts w:ascii="Times New Roman" w:hAnsi="Times New Roman" w:cs="Times New Roman"/>
          <w:noProof/>
          <w:sz w:val="24"/>
          <w:szCs w:val="24"/>
        </w:rPr>
        <w:t>. Following up on the recent</w:t>
      </w:r>
      <w:r>
        <w:rPr>
          <w:rFonts w:ascii="Times New Roman" w:hAnsi="Times New Roman" w:cs="Times New Roman"/>
          <w:b/>
          <w:bCs/>
          <w:noProof/>
          <w:sz w:val="24"/>
          <w:szCs w:val="24"/>
        </w:rPr>
        <w:t xml:space="preserve"> </w:t>
      </w:r>
      <w:r>
        <w:rPr>
          <w:rFonts w:ascii="Times New Roman" w:hAnsi="Times New Roman" w:cs="Times New Roman"/>
          <w:noProof/>
          <w:sz w:val="24"/>
          <w:szCs w:val="24"/>
        </w:rPr>
        <w:t>work to improve digital governance and the provision of digital public services, the plan contains a number of measures to digitally transform the public administration, including the justice system and the t</w:t>
      </w:r>
      <w:r>
        <w:rPr>
          <w:rFonts w:ascii="Times New Roman" w:hAnsi="Times New Roman" w:cs="Times New Roman"/>
          <w:noProof/>
          <w:sz w:val="24"/>
          <w:szCs w:val="24"/>
        </w:rPr>
        <w:t xml:space="preserve">ax and customs authority, and promote interoperability of public sector systems and registries, which is limited. The plan also presents investments in the digitalization of businesses through the deployment of advanced digital infrastructure and relevant </w:t>
      </w:r>
      <w:r>
        <w:rPr>
          <w:rFonts w:ascii="Times New Roman" w:hAnsi="Times New Roman" w:cs="Times New Roman"/>
          <w:noProof/>
          <w:sz w:val="24"/>
          <w:szCs w:val="24"/>
        </w:rPr>
        <w:t>technology advisory services, the development of digital skills in small and medium sized enterprises and the promotion of a business ecosystem conducive to the integration of new technologies and innovation.</w:t>
      </w:r>
    </w:p>
    <w:p w:rsidR="00176373" w:rsidRDefault="00E474D1">
      <w:p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b/>
          <w:bCs/>
          <w:noProof/>
          <w:sz w:val="24"/>
          <w:szCs w:val="24"/>
        </w:rPr>
        <w:t>The plan builds on and complements efforts to e</w:t>
      </w:r>
      <w:r>
        <w:rPr>
          <w:rFonts w:ascii="Times New Roman" w:hAnsi="Times New Roman" w:cs="Times New Roman"/>
          <w:b/>
          <w:bCs/>
          <w:noProof/>
          <w:sz w:val="24"/>
          <w:szCs w:val="24"/>
        </w:rPr>
        <w:t xml:space="preserve">ase doing business and facilitate trade. </w:t>
      </w:r>
      <w:r>
        <w:rPr>
          <w:rFonts w:ascii="Times New Roman" w:eastAsia="Times New Roman" w:hAnsi="Times New Roman" w:cs="Times New Roman"/>
          <w:noProof/>
          <w:sz w:val="24"/>
          <w:szCs w:val="24"/>
        </w:rPr>
        <w:t>Greece is one of the countries with the lowest business dynamism in the EU. Productivity growth faces significant obstacles that include high regulatory barriers and inefficiencies in the public administration – esp</w:t>
      </w:r>
      <w:r>
        <w:rPr>
          <w:rFonts w:ascii="Times New Roman" w:eastAsia="Times New Roman" w:hAnsi="Times New Roman" w:cs="Times New Roman"/>
          <w:noProof/>
          <w:sz w:val="24"/>
          <w:szCs w:val="24"/>
        </w:rPr>
        <w:t>ecially in areas such as contract enforcement and registering property, the licensing process, and environmental permits – coupled with the time needed by the justice system to deliver its final decisions as well as lack of clarity on the application of ta</w:t>
      </w:r>
      <w:r>
        <w:rPr>
          <w:rFonts w:ascii="Times New Roman" w:eastAsia="Times New Roman" w:hAnsi="Times New Roman" w:cs="Times New Roman"/>
          <w:noProof/>
          <w:sz w:val="24"/>
          <w:szCs w:val="24"/>
        </w:rPr>
        <w:t xml:space="preserve">x rules. </w:t>
      </w:r>
      <w:r>
        <w:rPr>
          <w:rFonts w:ascii="Times New Roman" w:hAnsi="Times New Roman" w:cs="Times New Roman"/>
          <w:noProof/>
          <w:sz w:val="24"/>
          <w:szCs w:val="24"/>
        </w:rPr>
        <w:t>One of the key objectives of the plan is to facilitate trade and provide incentives for firms to grow and innovate. Several measures support private investment either directly by encouraging investments in modern digital technologies and using tax</w:t>
      </w:r>
      <w:r>
        <w:rPr>
          <w:rFonts w:ascii="Times New Roman" w:hAnsi="Times New Roman" w:cs="Times New Roman"/>
          <w:noProof/>
          <w:sz w:val="24"/>
          <w:szCs w:val="24"/>
        </w:rPr>
        <w:t xml:space="preserve"> incentives on tangible and intangible assets, or indirectly, by promoting an improved business ecosystem conducive to innovation. The plan aims to lift excessive administrative burdens on businesses by expanding simplification of licensing procedures to a</w:t>
      </w:r>
      <w:r>
        <w:rPr>
          <w:rFonts w:ascii="Times New Roman" w:hAnsi="Times New Roman" w:cs="Times New Roman"/>
          <w:noProof/>
          <w:sz w:val="24"/>
          <w:szCs w:val="24"/>
        </w:rPr>
        <w:t xml:space="preserve"> number of economic sectors, while fostering compliance and a level-playing field through effective market surveillance, and an improved regulatory framework. The plan also puts emphasis on improving the framework for public procurement, building on a rece</w:t>
      </w:r>
      <w:r>
        <w:rPr>
          <w:rFonts w:ascii="Times New Roman" w:hAnsi="Times New Roman" w:cs="Times New Roman"/>
          <w:noProof/>
          <w:sz w:val="24"/>
          <w:szCs w:val="24"/>
        </w:rPr>
        <w:t xml:space="preserve">nt reform (law 4782/2021), and promoting public-private partnerships. </w:t>
      </w:r>
    </w:p>
    <w:p w:rsidR="00176373" w:rsidRDefault="00E474D1">
      <w:pPr>
        <w:keepNext/>
        <w:spacing w:before="120" w:after="120" w:line="240" w:lineRule="auto"/>
        <w:jc w:val="both"/>
        <w:rPr>
          <w:rFonts w:ascii="Times New Roman" w:eastAsia="Calibri" w:hAnsi="Times New Roman" w:cs="Times New Roman"/>
          <w:i/>
          <w:noProof/>
          <w:sz w:val="24"/>
          <w:szCs w:val="24"/>
        </w:rPr>
      </w:pPr>
      <w:r>
        <w:rPr>
          <w:rFonts w:ascii="Times New Roman" w:eastAsia="Calibri" w:hAnsi="Times New Roman" w:cs="Times New Roman"/>
          <w:i/>
          <w:iCs/>
          <w:noProof/>
          <w:sz w:val="24"/>
          <w:szCs w:val="24"/>
        </w:rPr>
        <w:t>Broader structural reforms to improve the functioning of the economy</w:t>
      </w:r>
    </w:p>
    <w:p w:rsidR="00176373" w:rsidRDefault="00E474D1">
      <w:pPr>
        <w:pStyle w:val="NormalWeb"/>
        <w:spacing w:before="120" w:beforeAutospacing="0" w:after="120" w:afterAutospacing="0"/>
        <w:jc w:val="both"/>
        <w:rPr>
          <w:noProof/>
          <w:color w:val="000000"/>
        </w:rPr>
      </w:pPr>
      <w:r>
        <w:rPr>
          <w:b/>
          <w:bCs/>
          <w:noProof/>
          <w:color w:val="000000"/>
        </w:rPr>
        <w:t xml:space="preserve">The plan builds on and complements </w:t>
      </w:r>
      <w:r>
        <w:rPr>
          <w:rFonts w:eastAsia="Calibri"/>
          <w:b/>
          <w:bCs/>
          <w:noProof/>
        </w:rPr>
        <w:t>key structural reforms that were initiated under the economic adjustment programm</w:t>
      </w:r>
      <w:r>
        <w:rPr>
          <w:rFonts w:eastAsia="Calibri"/>
          <w:b/>
          <w:bCs/>
          <w:noProof/>
        </w:rPr>
        <w:t>es to improve the broader functioning of the economy</w:t>
      </w:r>
      <w:r>
        <w:rPr>
          <w:rFonts w:eastAsia="Calibri"/>
          <w:noProof/>
        </w:rPr>
        <w:t xml:space="preserve">. The reform agenda emerging from the plan is based on </w:t>
      </w:r>
      <w:r>
        <w:rPr>
          <w:noProof/>
          <w:color w:val="000000"/>
        </w:rPr>
        <w:t>the Development Plan for the Greek Economy</w:t>
      </w:r>
      <w:r>
        <w:rPr>
          <w:b/>
          <w:bCs/>
          <w:noProof/>
          <w:color w:val="000000"/>
        </w:rPr>
        <w:t xml:space="preserve">, </w:t>
      </w:r>
      <w:r>
        <w:rPr>
          <w:noProof/>
          <w:color w:val="000000"/>
        </w:rPr>
        <w:t xml:space="preserve">prepared </w:t>
      </w:r>
      <w:r>
        <w:rPr>
          <w:rFonts w:eastAsia="Calibri"/>
          <w:noProof/>
        </w:rPr>
        <w:t xml:space="preserve">by a committee of experts chaired by Nobel-prize economist Professor Pissarides. In particular, </w:t>
      </w:r>
      <w:r>
        <w:rPr>
          <w:rFonts w:eastAsia="Calibri"/>
          <w:noProof/>
        </w:rPr>
        <w:t xml:space="preserve">the plan contains important reforms in </w:t>
      </w:r>
      <w:r>
        <w:rPr>
          <w:noProof/>
        </w:rPr>
        <w:t>key areas, such as fiscal structural including the tax administration and public procurement; labour market, social benefits and health care; education, the financial sector and business environment; and modernisation</w:t>
      </w:r>
      <w:r>
        <w:rPr>
          <w:noProof/>
        </w:rPr>
        <w:t xml:space="preserve"> of the public administration, justice and fight against corruption.</w:t>
      </w:r>
      <w:r>
        <w:rPr>
          <w:rFonts w:eastAsia="Calibri"/>
          <w:noProof/>
        </w:rPr>
        <w:t xml:space="preserve"> Some of its key elements include the following reforms and supporting digital investments: a) the improvement and </w:t>
      </w:r>
      <w:r>
        <w:rPr>
          <w:noProof/>
          <w:color w:val="000000"/>
        </w:rPr>
        <w:t>modernisation of the labour law, b) the establishment of a National Syste</w:t>
      </w:r>
      <w:r>
        <w:rPr>
          <w:noProof/>
          <w:color w:val="000000"/>
        </w:rPr>
        <w:t>m of Vocational Education and Training, c) the roll out of the primary health care system and e-health – including an electronic Medical Health Record and telemedicine, d) the digitalisation of various processes of the Independent Authority of Public Reven</w:t>
      </w:r>
      <w:r>
        <w:rPr>
          <w:noProof/>
          <w:color w:val="000000"/>
        </w:rPr>
        <w:t>ue including online cash registers and the acceleration of VAT refunds, as well as the codification and simplification of tax legislation; e) the implementation of the electronic filing of legal documents, completing phase II of the establishment of the e-</w:t>
      </w:r>
      <w:r>
        <w:rPr>
          <w:noProof/>
          <w:color w:val="000000"/>
        </w:rPr>
        <w:t xml:space="preserve">justice system (OSDDY-PP) and the ‘JustStat’ unit for data collection and processing, f) the implementation of reforms aimed at bolstering the health of the banking system, including non-performing loans resolution efforts by ensuring the effectiveness of </w:t>
      </w:r>
      <w:r>
        <w:rPr>
          <w:noProof/>
          <w:color w:val="000000"/>
        </w:rPr>
        <w:t>the relevant legal framework, and g) initiatives to complete the investment licensing reform, by finalising the simplification of procedures in the agreed remaining sectors and inspection legislation. While these measures build on and complement reforms in</w:t>
      </w:r>
      <w:r>
        <w:rPr>
          <w:noProof/>
          <w:color w:val="000000"/>
        </w:rPr>
        <w:t>itiated under the economic adjustment programmes which are partly still ongoing, the reforms and investments included in the recovery and resilience plan go beyond specific commitments made by Greece in the Eurogroup in 2018 both in their scope and in thei</w:t>
      </w:r>
      <w:r>
        <w:rPr>
          <w:noProof/>
          <w:color w:val="000000"/>
        </w:rPr>
        <w:t xml:space="preserve">r timeframe. Policies addressing specific Eurogroup commitments continue to be monitored under enhanced surveillance. </w:t>
      </w:r>
    </w:p>
    <w:p w:rsidR="00176373" w:rsidRDefault="00E474D1">
      <w:pPr>
        <w:spacing w:before="120" w:after="12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pStyle w:val="ManualConsidrant"/>
        <w:ind w:left="0" w:firstLine="0"/>
        <w:rPr>
          <w:i/>
          <w:iCs/>
          <w:noProof/>
        </w:rPr>
      </w:pPr>
      <w:r>
        <w:rPr>
          <w:i/>
          <w:noProof/>
        </w:rPr>
        <w:t>Taking into consideration the reforms and investments envisaged by Greece, the recovery and resilience plan is expected to contribute to effectively addressing a significant subset of economic and social challenges identified in the country-specific recomm</w:t>
      </w:r>
      <w:r>
        <w:rPr>
          <w:i/>
          <w:noProof/>
        </w:rPr>
        <w:t xml:space="preserve">endations, </w:t>
      </w:r>
      <w:r>
        <w:rPr>
          <w:i/>
          <w:noProof/>
          <w:szCs w:val="24"/>
          <w:lang w:val="en-IE"/>
        </w:rPr>
        <w:t xml:space="preserve">including the fiscal aspects thereof, and recommendations made pursuant to </w:t>
      </w:r>
      <w:r>
        <w:rPr>
          <w:i/>
          <w:noProof/>
          <w:lang w:val="en-US"/>
        </w:rPr>
        <w:t>the Macroeconomic Imbalances Procedure</w:t>
      </w:r>
      <w:r>
        <w:rPr>
          <w:rStyle w:val="FootnoteReference"/>
          <w:i/>
          <w:noProof/>
          <w:lang w:val="en-US"/>
        </w:rPr>
        <w:footnoteReference w:id="28"/>
      </w:r>
      <w:r>
        <w:rPr>
          <w:i/>
          <w:noProof/>
        </w:rPr>
        <w:t xml:space="preserve">. </w:t>
      </w:r>
      <w:r>
        <w:rPr>
          <w:i/>
          <w:iCs/>
          <w:noProof/>
        </w:rPr>
        <w:t>This would warrant a rating of A under the assessment criterion 2.2 in Annex V to the RRF Regulation.</w:t>
      </w:r>
    </w:p>
    <w:p w:rsidR="00176373" w:rsidRDefault="00176373">
      <w:pPr>
        <w:pStyle w:val="ManualConsidrant"/>
        <w:ind w:left="0" w:firstLine="0"/>
        <w:rPr>
          <w:b/>
          <w:i/>
          <w:noProof/>
        </w:rPr>
        <w:sectPr w:rsidR="0017637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pP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Pr>
          <w:noProof/>
        </w:rPr>
        <w:t xml:space="preserve"> Mapping of country challenges identified in 2019-20 country-specific recommendations and the 18 components of the Greek recovery</w:t>
      </w:r>
    </w:p>
    <w:tbl>
      <w:tblPr>
        <w:tblStyle w:val="TableGrid12"/>
        <w:tblW w:w="14611" w:type="dxa"/>
        <w:tblInd w:w="-719" w:type="dxa"/>
        <w:tblLayout w:type="fixed"/>
        <w:tblLook w:val="04A0" w:firstRow="1" w:lastRow="0" w:firstColumn="1" w:lastColumn="0" w:noHBand="0" w:noVBand="1"/>
      </w:tblPr>
      <w:tblGrid>
        <w:gridCol w:w="1929"/>
        <w:gridCol w:w="1228"/>
        <w:gridCol w:w="637"/>
        <w:gridCol w:w="637"/>
        <w:gridCol w:w="637"/>
        <w:gridCol w:w="637"/>
        <w:gridCol w:w="637"/>
        <w:gridCol w:w="637"/>
        <w:gridCol w:w="636"/>
        <w:gridCol w:w="636"/>
        <w:gridCol w:w="636"/>
        <w:gridCol w:w="636"/>
        <w:gridCol w:w="636"/>
        <w:gridCol w:w="636"/>
        <w:gridCol w:w="636"/>
        <w:gridCol w:w="636"/>
        <w:gridCol w:w="636"/>
        <w:gridCol w:w="636"/>
        <w:gridCol w:w="636"/>
        <w:gridCol w:w="636"/>
      </w:tblGrid>
      <w:tr w:rsidR="00176373">
        <w:trPr>
          <w:cantSplit/>
          <w:trHeight w:val="5310"/>
        </w:trPr>
        <w:tc>
          <w:tcPr>
            <w:tcW w:w="1929" w:type="dxa"/>
            <w:tcBorders>
              <w:top w:val="single" w:sz="8" w:space="0" w:color="auto"/>
              <w:left w:val="single" w:sz="8" w:space="0" w:color="auto"/>
              <w:bottom w:val="single" w:sz="8" w:space="0" w:color="auto"/>
              <w:right w:val="single" w:sz="8" w:space="0" w:color="auto"/>
            </w:tcBorders>
            <w:vAlign w:val="bottom"/>
          </w:tcPr>
          <w:p w:rsidR="00176373" w:rsidRDefault="00E474D1">
            <w:pPr>
              <w:rPr>
                <w:rFonts w:ascii="Times New Roman" w:eastAsia="Calibri" w:hAnsi="Times New Roman" w:cs="Times New Roman"/>
                <w:b/>
                <w:bCs/>
                <w:noProof/>
                <w:sz w:val="20"/>
                <w:szCs w:val="20"/>
              </w:rPr>
            </w:pPr>
            <w:r>
              <w:rPr>
                <w:rFonts w:ascii="Times New Roman" w:eastAsia="Times New Roman" w:hAnsi="Times New Roman" w:cs="Times New Roman"/>
                <w:b/>
                <w:bCs/>
                <w:noProof/>
                <w:sz w:val="20"/>
                <w:szCs w:val="20"/>
                <w:lang w:val="en-IE"/>
              </w:rPr>
              <w:t>Country challenges</w:t>
            </w:r>
          </w:p>
          <w:p w:rsidR="00176373" w:rsidRDefault="00E474D1">
            <w:pPr>
              <w:rPr>
                <w:rFonts w:ascii="Times New Roman" w:eastAsia="Calibri" w:hAnsi="Times New Roman" w:cs="Times New Roman"/>
                <w:b/>
                <w:bCs/>
                <w:noProof/>
                <w:sz w:val="20"/>
                <w:szCs w:val="20"/>
              </w:rPr>
            </w:pPr>
            <w:r>
              <w:rPr>
                <w:rFonts w:ascii="Times New Roman" w:eastAsia="Times New Roman" w:hAnsi="Times New Roman" w:cs="Times New Roman"/>
                <w:b/>
                <w:bCs/>
                <w:noProof/>
                <w:sz w:val="20"/>
                <w:szCs w:val="20"/>
                <w:lang w:val="en-IE"/>
              </w:rPr>
              <w:t>(as identified in Section 2)</w:t>
            </w:r>
          </w:p>
        </w:tc>
        <w:tc>
          <w:tcPr>
            <w:tcW w:w="1228" w:type="dxa"/>
            <w:tcBorders>
              <w:top w:val="single" w:sz="8" w:space="0" w:color="auto"/>
              <w:left w:val="single" w:sz="8" w:space="0" w:color="auto"/>
              <w:bottom w:val="single" w:sz="8" w:space="0" w:color="auto"/>
              <w:right w:val="single" w:sz="8" w:space="0" w:color="auto"/>
            </w:tcBorders>
            <w:vAlign w:val="bottom"/>
          </w:tcPr>
          <w:p w:rsidR="00176373" w:rsidRDefault="00E474D1">
            <w:pPr>
              <w:ind w:left="66" w:right="66"/>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 xml:space="preserve">Associated European Semester </w:t>
            </w:r>
            <w:r>
              <w:rPr>
                <w:rFonts w:ascii="Times New Roman" w:eastAsia="Times New Roman" w:hAnsi="Times New Roman" w:cs="Times New Roman"/>
                <w:b/>
                <w:bCs/>
                <w:noProof/>
                <w:sz w:val="20"/>
                <w:szCs w:val="20"/>
                <w:lang w:val="en-IE"/>
              </w:rPr>
              <w:t>country-specific recommendations CSR (2019-2020)</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1.1. Power up</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1.2. Renovate</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1.3. Recharge and refuel</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1.4. Sustainable use of resources, climate resilience and environmental protection</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2.1. Connect</w:t>
            </w:r>
          </w:p>
        </w:tc>
        <w:tc>
          <w:tcPr>
            <w:tcW w:w="637"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w:t>
            </w:r>
            <w:r>
              <w:rPr>
                <w:rFonts w:ascii="Times New Roman" w:eastAsia="Times New Roman" w:hAnsi="Times New Roman" w:cs="Times New Roman"/>
                <w:b/>
                <w:bCs/>
                <w:noProof/>
                <w:sz w:val="20"/>
                <w:szCs w:val="20"/>
                <w:lang w:val="en-IE"/>
              </w:rPr>
              <w:t>t 2.2. Modernise</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2.3. Digitalisation of businesses</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3.1. Promote job creation and participation in the labour market</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3.2. Education, vocational education and training, and skills</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3.3. Improve resilience, accessibility</w:t>
            </w:r>
            <w:r>
              <w:rPr>
                <w:rFonts w:ascii="Times New Roman" w:eastAsia="Times New Roman" w:hAnsi="Times New Roman" w:cs="Times New Roman"/>
                <w:b/>
                <w:bCs/>
                <w:noProof/>
                <w:sz w:val="20"/>
                <w:szCs w:val="20"/>
                <w:lang w:val="en-IE"/>
              </w:rPr>
              <w:t xml:space="preserve"> and sustainability of healthcare</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3.4. Increase access to effective and inclusive 3.5ocial policies</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4.1.Making taxes more growth friendly and improving tax administration and tax collection</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4.2. Modernise public administration</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4.3. Improve the efficiency of the justice system</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4.4. Strengthen the financial sector and capital markets</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4.5. Promote research and innovation</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 4.6. Modernise and improve resilience of key economic sectors</w:t>
            </w:r>
          </w:p>
        </w:tc>
        <w:tc>
          <w:tcPr>
            <w:tcW w:w="636" w:type="dxa"/>
            <w:tcBorders>
              <w:top w:val="single" w:sz="8" w:space="0" w:color="auto"/>
              <w:left w:val="single" w:sz="8" w:space="0" w:color="auto"/>
              <w:bottom w:val="single" w:sz="8" w:space="0" w:color="auto"/>
              <w:right w:val="single" w:sz="8" w:space="0" w:color="auto"/>
            </w:tcBorders>
            <w:textDirection w:val="btLr"/>
            <w:vAlign w:val="center"/>
          </w:tcPr>
          <w:p w:rsidR="00176373" w:rsidRDefault="00E474D1">
            <w:pPr>
              <w:ind w:left="68" w:right="68"/>
              <w:rPr>
                <w:rFonts w:ascii="Times New Roman" w:eastAsia="Times New Roman" w:hAnsi="Times New Roman" w:cs="Times New Roman"/>
                <w:b/>
                <w:bCs/>
                <w:noProof/>
                <w:sz w:val="20"/>
                <w:szCs w:val="20"/>
                <w:lang w:val="en-IE"/>
              </w:rPr>
            </w:pPr>
            <w:r>
              <w:rPr>
                <w:rFonts w:ascii="Times New Roman" w:eastAsia="Times New Roman" w:hAnsi="Times New Roman" w:cs="Times New Roman"/>
                <w:b/>
                <w:bCs/>
                <w:noProof/>
                <w:sz w:val="20"/>
                <w:szCs w:val="20"/>
                <w:lang w:val="en-IE"/>
              </w:rPr>
              <w:t>Component</w:t>
            </w:r>
            <w:r>
              <w:rPr>
                <w:rFonts w:ascii="Times New Roman" w:eastAsia="Times New Roman" w:hAnsi="Times New Roman" w:cs="Times New Roman"/>
                <w:b/>
                <w:bCs/>
                <w:noProof/>
                <w:sz w:val="20"/>
                <w:szCs w:val="20"/>
                <w:lang w:val="en-IE"/>
              </w:rPr>
              <w:t xml:space="preserve"> 4.7. Improve competitiveness and promote private investments and trade</w:t>
            </w:r>
          </w:p>
        </w:tc>
      </w:tr>
      <w:tr w:rsidR="00176373">
        <w:tc>
          <w:tcPr>
            <w:tcW w:w="14611" w:type="dxa"/>
            <w:gridSpan w:val="20"/>
            <w:tcBorders>
              <w:top w:val="single" w:sz="8" w:space="0" w:color="auto"/>
              <w:left w:val="single" w:sz="8" w:space="0" w:color="auto"/>
              <w:bottom w:val="single" w:sz="8" w:space="0" w:color="auto"/>
              <w:right w:val="single" w:sz="8" w:space="0" w:color="auto"/>
            </w:tcBorders>
            <w:shd w:val="clear" w:color="auto" w:fill="E9E3E4"/>
            <w:vAlign w:val="center"/>
          </w:tcPr>
          <w:p w:rsidR="00176373" w:rsidRDefault="00E474D1">
            <w:pPr>
              <w:jc w:val="center"/>
              <w:rPr>
                <w:rFonts w:ascii="Times New Roman" w:eastAsia="Calibri" w:hAnsi="Times New Roman" w:cs="Times New Roman"/>
                <w:noProof/>
                <w:sz w:val="20"/>
                <w:szCs w:val="20"/>
              </w:rPr>
            </w:pPr>
            <w:r>
              <w:rPr>
                <w:rFonts w:ascii="Times New Roman" w:eastAsia="Times New Roman" w:hAnsi="Times New Roman" w:cs="Times New Roman"/>
                <w:b/>
                <w:bCs/>
                <w:noProof/>
                <w:sz w:val="20"/>
                <w:szCs w:val="20"/>
                <w:lang w:val="en-IE"/>
              </w:rPr>
              <w:t>Fiscal sustainability</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 xml:space="preserve">Fiscal policy and fiscal governance, including measures to ensure long-term sustainability of public finances, while enhancing investment </w:t>
            </w:r>
          </w:p>
        </w:tc>
        <w:tc>
          <w:tcPr>
            <w:tcW w:w="1228"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2019.1, 2020.1.1, </w:t>
            </w:r>
            <w:r>
              <w:rPr>
                <w:rFonts w:ascii="Times New Roman" w:eastAsia="Calibri" w:hAnsi="Times New Roman" w:cs="Times New Roman"/>
                <w:noProof/>
                <w:sz w:val="20"/>
                <w:szCs w:val="20"/>
              </w:rPr>
              <w:t>2020.1.2</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Times New Roman" w:hAnsi="Times New Roman" w:cs="Times New Roman"/>
                <w:b/>
                <w:bCs/>
                <w:noProof/>
                <w:sz w:val="20"/>
                <w:szCs w:val="20"/>
                <w:lang w:val="en-IE"/>
              </w:rPr>
              <w:t>Health care and long-term care, including measures to strengthen the resilience of the health system and ensure adequate and equal access to healthcare</w:t>
            </w:r>
          </w:p>
        </w:tc>
        <w:tc>
          <w:tcPr>
            <w:tcW w:w="1228" w:type="dxa"/>
            <w:tcBorders>
              <w:top w:val="single" w:sz="8" w:space="0" w:color="auto"/>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2019.1, 2019.2.8, 2020.1.2, 2020.1.3</w:t>
            </w: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single" w:sz="8" w:space="0" w:color="auto"/>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rPr>
          <w:trHeight w:val="281"/>
        </w:trPr>
        <w:tc>
          <w:tcPr>
            <w:tcW w:w="14611" w:type="dxa"/>
            <w:gridSpan w:val="20"/>
            <w:tcBorders>
              <w:top w:val="single" w:sz="8" w:space="0" w:color="auto"/>
              <w:left w:val="single" w:sz="8" w:space="0" w:color="auto"/>
              <w:bottom w:val="single" w:sz="8" w:space="0" w:color="auto"/>
              <w:right w:val="single" w:sz="8" w:space="0" w:color="auto"/>
            </w:tcBorders>
            <w:shd w:val="clear" w:color="auto" w:fill="E9E3E4"/>
          </w:tcPr>
          <w:p w:rsidR="00176373" w:rsidRDefault="00E474D1">
            <w:pPr>
              <w:jc w:val="center"/>
              <w:rPr>
                <w:rFonts w:ascii="Times New Roman" w:eastAsia="Calibri" w:hAnsi="Times New Roman" w:cs="Times New Roman"/>
                <w:b/>
                <w:bCs/>
                <w:noProof/>
                <w:sz w:val="20"/>
                <w:szCs w:val="20"/>
              </w:rPr>
            </w:pPr>
            <w:r>
              <w:rPr>
                <w:rFonts w:ascii="Times New Roman" w:eastAsia="Times New Roman" w:hAnsi="Times New Roman" w:cs="Times New Roman"/>
                <w:b/>
                <w:bCs/>
                <w:noProof/>
                <w:sz w:val="20"/>
                <w:szCs w:val="20"/>
                <w:lang w:val="en-IE"/>
              </w:rPr>
              <w:t xml:space="preserve">Labour </w:t>
            </w:r>
            <w:r>
              <w:rPr>
                <w:rFonts w:ascii="Times New Roman" w:eastAsia="Times New Roman" w:hAnsi="Times New Roman" w:cs="Times New Roman"/>
                <w:b/>
                <w:bCs/>
                <w:noProof/>
                <w:sz w:val="20"/>
                <w:szCs w:val="20"/>
                <w:lang w:val="en-IE"/>
              </w:rPr>
              <w:t>market and social policies</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Implementation of employment-supporting measures such as short-time work schemes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2019.1, 2020.4, 2020.2.1</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Incentives to work, job creation, labour market participation and effective activation support.</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2020.2.2</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rPr>
          <w:trHeight w:val="630"/>
        </w:trPr>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Poverty reduction and social inclusion</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2019.1, 2020.2.1, 2020.4</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4611" w:type="dxa"/>
            <w:gridSpan w:val="20"/>
            <w:tcBorders>
              <w:top w:val="single" w:sz="8" w:space="0" w:color="auto"/>
              <w:left w:val="single" w:sz="8" w:space="0" w:color="auto"/>
              <w:bottom w:val="single" w:sz="8" w:space="0" w:color="auto"/>
              <w:right w:val="single" w:sz="8" w:space="0" w:color="auto"/>
            </w:tcBorders>
            <w:shd w:val="clear" w:color="auto" w:fill="E9E3E4"/>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b/>
                <w:bCs/>
                <w:noProof/>
                <w:sz w:val="20"/>
                <w:szCs w:val="20"/>
              </w:rPr>
              <w:t>Policies supporting investment in digital and green transition and in particular, in the following areas</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 xml:space="preserve">a) Safe and sustainable transport </w:t>
            </w:r>
            <w:r>
              <w:rPr>
                <w:rFonts w:ascii="Times New Roman" w:eastAsia="Calibri" w:hAnsi="Times New Roman" w:cs="Times New Roman"/>
                <w:b/>
                <w:bCs/>
                <w:noProof/>
                <w:sz w:val="20"/>
                <w:szCs w:val="20"/>
              </w:rPr>
              <w:t>and logistics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2019.2.1, 2020.3.4</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b) Clean and efficient production and use of energy, including renewable energy and interconnection projects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2019.2.2, 2020.3.5</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c) Environmental infrastructure</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2019.2.2, 2020.3.6</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d) Very-high capacity digital infrastructure and digital technologies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2019.2.3, 2020.3.7</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e) Promote digital transformation of businesses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2020.3.10</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f) Education</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2019.2.5</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g) Skills, including digital skills and employability</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2019.2.6, 2019.2.7, 2020.3.8</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h) Research and Development</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2019.2.4</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i) Renewal of urban areas</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2019.2.9</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4611" w:type="dxa"/>
            <w:gridSpan w:val="20"/>
            <w:tcBorders>
              <w:top w:val="single" w:sz="8" w:space="0" w:color="auto"/>
              <w:left w:val="single" w:sz="8" w:space="0" w:color="auto"/>
              <w:bottom w:val="single" w:sz="8" w:space="0" w:color="auto"/>
              <w:right w:val="single" w:sz="8" w:space="0" w:color="auto"/>
            </w:tcBorders>
            <w:shd w:val="clear" w:color="auto" w:fill="E9E3E4"/>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b/>
                <w:bCs/>
                <w:noProof/>
                <w:sz w:val="20"/>
                <w:szCs w:val="20"/>
              </w:rPr>
              <w:t xml:space="preserve">Public administration and </w:t>
            </w:r>
            <w:r>
              <w:rPr>
                <w:rFonts w:ascii="Times New Roman" w:eastAsia="Calibri" w:hAnsi="Times New Roman" w:cs="Times New Roman"/>
                <w:b/>
                <w:bCs/>
                <w:noProof/>
                <w:sz w:val="20"/>
                <w:szCs w:val="20"/>
              </w:rPr>
              <w:t>business environment</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 xml:space="preserve">Front-load mature public investment projects </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2020.3.2</w:t>
            </w: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Improve the effectiveness and digitalisation of the public administration</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2020.3.9</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 xml:space="preserve">Swiftly deploy measures to provide liquidity </w:t>
            </w:r>
            <w:r>
              <w:rPr>
                <w:rFonts w:ascii="Times New Roman" w:eastAsia="Calibri" w:hAnsi="Times New Roman" w:cs="Times New Roman"/>
                <w:b/>
                <w:bCs/>
                <w:noProof/>
                <w:sz w:val="20"/>
                <w:szCs w:val="20"/>
              </w:rPr>
              <w:t>and continued flow of credit and other financing to the economy, focusing in particular on small and medium-sized enterprises most affected by crisis.</w:t>
            </w:r>
            <w:r>
              <w:rPr>
                <w:rFonts w:ascii="Times New Roman" w:hAnsi="Times New Roman" w:cs="Times New Roman"/>
                <w:noProof/>
                <w:color w:val="333333"/>
                <w:sz w:val="20"/>
                <w:szCs w:val="20"/>
                <w:shd w:val="clear" w:color="auto" w:fill="FAFAFA"/>
              </w:rPr>
              <w:t> </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2020.3.1</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Promote private investment to foster the economic recovery</w:t>
            </w:r>
            <w:r>
              <w:rPr>
                <w:rFonts w:ascii="Times New Roman" w:hAnsi="Times New Roman" w:cs="Times New Roman"/>
                <w:noProof/>
                <w:color w:val="333333"/>
                <w:sz w:val="20"/>
                <w:szCs w:val="20"/>
                <w:shd w:val="clear" w:color="auto" w:fill="FAFAFA"/>
              </w:rPr>
              <w:t> </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2020.3.3</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b/>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b/>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hAnsi="Times New Roman" w:cs="Times New Roman"/>
                <w:noProof/>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hAnsi="Times New Roman" w:cs="Times New Roman"/>
                <w:noProof/>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r>
      <w:tr w:rsidR="00176373">
        <w:tc>
          <w:tcPr>
            <w:tcW w:w="14611" w:type="dxa"/>
            <w:gridSpan w:val="20"/>
            <w:tcBorders>
              <w:top w:val="single" w:sz="8" w:space="0" w:color="auto"/>
              <w:left w:val="single" w:sz="8" w:space="0" w:color="auto"/>
              <w:bottom w:val="single" w:sz="8" w:space="0" w:color="auto"/>
              <w:right w:val="single" w:sz="8" w:space="0" w:color="auto"/>
            </w:tcBorders>
            <w:shd w:val="clear" w:color="auto" w:fill="E7E6E6" w:themeFill="background2"/>
          </w:tcPr>
          <w:p w:rsidR="00176373" w:rsidRDefault="00E474D1">
            <w:pPr>
              <w:jc w:val="center"/>
              <w:rPr>
                <w:rFonts w:ascii="Times New Roman" w:eastAsia="Calibri" w:hAnsi="Times New Roman" w:cs="Times New Roman"/>
                <w:b/>
                <w:noProof/>
                <w:sz w:val="20"/>
                <w:szCs w:val="20"/>
              </w:rPr>
            </w:pPr>
            <w:r>
              <w:rPr>
                <w:rFonts w:ascii="Times New Roman" w:eastAsia="Calibri" w:hAnsi="Times New Roman" w:cs="Times New Roman"/>
                <w:b/>
                <w:bCs/>
                <w:noProof/>
                <w:sz w:val="20"/>
                <w:szCs w:val="20"/>
              </w:rPr>
              <w:t>Broader functioning of economy</w:t>
            </w:r>
          </w:p>
        </w:tc>
      </w:tr>
      <w:tr w:rsidR="00176373">
        <w:tc>
          <w:tcPr>
            <w:tcW w:w="1929" w:type="dxa"/>
            <w:tcBorders>
              <w:top w:val="single" w:sz="8" w:space="0" w:color="auto"/>
              <w:left w:val="single" w:sz="8" w:space="0" w:color="auto"/>
              <w:bottom w:val="single" w:sz="8" w:space="0" w:color="auto"/>
              <w:right w:val="single" w:sz="8" w:space="0" w:color="auto"/>
            </w:tcBorders>
          </w:tcPr>
          <w:p w:rsidR="00176373" w:rsidRDefault="00E474D1">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Pursue structural reforms in key areas, such as fiscal structural including the tax administration and public procurement; labour market, social benefits and health care; education, the financial</w:t>
            </w:r>
            <w:r>
              <w:rPr>
                <w:rFonts w:ascii="Times New Roman" w:eastAsia="Calibri" w:hAnsi="Times New Roman" w:cs="Times New Roman"/>
                <w:b/>
                <w:bCs/>
                <w:noProof/>
                <w:sz w:val="20"/>
                <w:szCs w:val="20"/>
              </w:rPr>
              <w:t xml:space="preserve"> sector and business environment; and modernisation of the public administration, justice and fight against corruption.</w:t>
            </w:r>
          </w:p>
        </w:tc>
        <w:tc>
          <w:tcPr>
            <w:tcW w:w="1228" w:type="dxa"/>
            <w:tcBorders>
              <w:top w:val="nil"/>
              <w:left w:val="single" w:sz="8" w:space="0" w:color="auto"/>
              <w:bottom w:val="single" w:sz="8" w:space="0" w:color="auto"/>
              <w:right w:val="single" w:sz="8" w:space="0" w:color="auto"/>
            </w:tcBorders>
            <w:vAlign w:val="center"/>
          </w:tcPr>
          <w:p w:rsidR="00176373" w:rsidRDefault="00E474D1">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2019.1, 2020.4</w:t>
            </w: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7"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7"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176373">
            <w:pPr>
              <w:jc w:val="center"/>
              <w:rPr>
                <w:rFonts w:ascii="Times New Roman" w:eastAsia="Calibri" w:hAnsi="Times New Roman" w:cs="Times New Roman"/>
                <w:noProof/>
                <w:sz w:val="20"/>
                <w:szCs w:val="20"/>
              </w:rPr>
            </w:pP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c>
          <w:tcPr>
            <w:tcW w:w="636" w:type="dxa"/>
            <w:tcBorders>
              <w:top w:val="nil"/>
              <w:left w:val="single" w:sz="8" w:space="0" w:color="auto"/>
              <w:bottom w:val="single" w:sz="8" w:space="0" w:color="auto"/>
              <w:right w:val="single" w:sz="8" w:space="0" w:color="auto"/>
            </w:tcBorders>
          </w:tcPr>
          <w:p w:rsidR="00176373" w:rsidRDefault="00E474D1">
            <w:pPr>
              <w:jc w:val="center"/>
              <w:rPr>
                <w:rFonts w:ascii="Times New Roman" w:eastAsia="Calibri" w:hAnsi="Times New Roman" w:cs="Times New Roman"/>
                <w:noProof/>
                <w:sz w:val="20"/>
                <w:szCs w:val="20"/>
              </w:rPr>
            </w:pPr>
            <w:r>
              <w:rPr>
                <w:rFonts w:ascii="Times New Roman" w:hAnsi="Times New Roman" w:cs="Times New Roman"/>
                <w:noProof/>
              </w:rPr>
              <w:t>●</w:t>
            </w:r>
          </w:p>
        </w:tc>
      </w:tr>
    </w:tbl>
    <w:p w:rsidR="00176373" w:rsidRDefault="00E474D1">
      <w:pPr>
        <w:ind w:left="-567" w:right="-790"/>
        <w:rPr>
          <w:rFonts w:ascii="Times New Roman" w:hAnsi="Times New Roman" w:cs="Times New Roman"/>
          <w:i/>
          <w:noProof/>
          <w:sz w:val="20"/>
          <w:szCs w:val="20"/>
        </w:rPr>
      </w:pPr>
      <w:r>
        <w:rPr>
          <w:rFonts w:ascii="Times New Roman" w:hAnsi="Times New Roman" w:cs="Times New Roman"/>
          <w:i/>
          <w:noProof/>
          <w:sz w:val="20"/>
          <w:szCs w:val="20"/>
        </w:rPr>
        <w:t>Note: “●” denotes that investments and reforms of the component significantly address the</w:t>
      </w:r>
      <w:r>
        <w:rPr>
          <w:rFonts w:ascii="Times New Roman" w:hAnsi="Times New Roman" w:cs="Times New Roman"/>
          <w:i/>
          <w:noProof/>
          <w:sz w:val="20"/>
          <w:szCs w:val="20"/>
        </w:rPr>
        <w:t xml:space="preserve"> challenge; “○” denotes that investments and reforms of the component partially address the challenge.</w:t>
      </w:r>
    </w:p>
    <w:p w:rsidR="00176373" w:rsidRDefault="00176373">
      <w:pPr>
        <w:pStyle w:val="ManualConsidrant"/>
        <w:ind w:left="0" w:firstLine="0"/>
        <w:rPr>
          <w:b/>
          <w:i/>
          <w:noProof/>
          <w:lang w:val="en-US"/>
        </w:rPr>
        <w:sectPr w:rsidR="00176373">
          <w:headerReference w:type="even" r:id="rId32"/>
          <w:headerReference w:type="default" r:id="rId33"/>
          <w:footerReference w:type="even" r:id="rId34"/>
          <w:footerReference w:type="default" r:id="rId35"/>
          <w:headerReference w:type="first" r:id="rId36"/>
          <w:footerReference w:type="first" r:id="rId37"/>
          <w:pgSz w:w="15840" w:h="12240" w:orient="landscape"/>
          <w:pgMar w:top="1440" w:right="1440" w:bottom="1440" w:left="1440" w:header="720" w:footer="720" w:gutter="0"/>
          <w:cols w:space="720"/>
          <w:docGrid w:linePitch="360"/>
        </w:sectPr>
      </w:pPr>
    </w:p>
    <w:p w:rsidR="00176373" w:rsidRDefault="00E474D1">
      <w:pPr>
        <w:pStyle w:val="Heading2"/>
        <w:numPr>
          <w:ilvl w:val="1"/>
          <w:numId w:val="10"/>
        </w:numPr>
        <w:rPr>
          <w:i/>
          <w:noProof/>
        </w:rPr>
      </w:pPr>
      <w:bookmarkStart w:id="275" w:name="_Toc72182184"/>
      <w:bookmarkStart w:id="276" w:name="_Toc72182286"/>
      <w:bookmarkStart w:id="277" w:name="_Toc72182421"/>
      <w:bookmarkStart w:id="278" w:name="_Toc72182528"/>
      <w:bookmarkStart w:id="279" w:name="_Toc72182608"/>
      <w:bookmarkStart w:id="280" w:name="_Toc72183107"/>
      <w:bookmarkStart w:id="281" w:name="_Toc72183198"/>
      <w:bookmarkStart w:id="282" w:name="_Toc72183604"/>
      <w:bookmarkStart w:id="283" w:name="_Toc72183684"/>
      <w:bookmarkStart w:id="284" w:name="_Toc72183764"/>
      <w:bookmarkStart w:id="285" w:name="_Toc72184241"/>
      <w:bookmarkStart w:id="286" w:name="_Toc72184643"/>
      <w:bookmarkStart w:id="287" w:name="_Toc72184809"/>
      <w:bookmarkStart w:id="288" w:name="_Toc72185600"/>
      <w:bookmarkStart w:id="289" w:name="_Toc72185836"/>
      <w:bookmarkStart w:id="290" w:name="_Toc72185917"/>
      <w:bookmarkStart w:id="291" w:name="_Toc72186103"/>
      <w:bookmarkStart w:id="292" w:name="_Toc72186183"/>
      <w:bookmarkStart w:id="293" w:name="_Toc72186647"/>
      <w:bookmarkStart w:id="294" w:name="_Toc72187473"/>
      <w:bookmarkStart w:id="295" w:name="_Toc72187950"/>
      <w:bookmarkStart w:id="296" w:name="_Toc72188311"/>
      <w:bookmarkStart w:id="297" w:name="_Toc72190826"/>
      <w:bookmarkStart w:id="298" w:name="_Toc72194029"/>
      <w:bookmarkStart w:id="299" w:name="_Toc62455202"/>
      <w:bookmarkStart w:id="300" w:name="_Toc72326493"/>
      <w:bookmarkStart w:id="301" w:name="_Toc72326524"/>
      <w:bookmarkStart w:id="302" w:name="_Toc74305326"/>
      <w:bookmarkStart w:id="303" w:name="_Toc62818225"/>
      <w:bookmarkStart w:id="304" w:name="_Toc62818772"/>
      <w:bookmarkStart w:id="305" w:name="_Toc63417221"/>
      <w:bookmarkStart w:id="306" w:name="_Toc63418911"/>
      <w:bookmarkStart w:id="307" w:name="_Toc63418936"/>
      <w:bookmarkStart w:id="308" w:name="_Toc64281622"/>
      <w:bookmarkStart w:id="309" w:name="_Toc71665334"/>
      <w:bookmarkStart w:id="310" w:name="_Toc71740463"/>
      <w:bookmarkStart w:id="311" w:name="_Toc71792458"/>
      <w:bookmarkStart w:id="312" w:name="_Toc72158509"/>
      <w:bookmarkStart w:id="313" w:name="_Toc72170712"/>
      <w:bookmarkStart w:id="314" w:name="_Toc72176840"/>
      <w:bookmarkStart w:id="315" w:name="_Toc72179411"/>
      <w:bookmarkStart w:id="316" w:name="_Toc72176049"/>
      <w:bookmarkStart w:id="317" w:name="_Toc72181722"/>
      <w:bookmarkStart w:id="318" w:name="_Toc72178571"/>
      <w:bookmarkStart w:id="319" w:name="_Toc72182458"/>
      <w:bookmarkStart w:id="320" w:name="_Toc72183455"/>
      <w:bookmarkStart w:id="321" w:name="_Toc7218726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noProof/>
        </w:rPr>
        <w:t>Growth potential, job creation, economic, institutional and social resilience, European Pillar of Social R</w:t>
      </w:r>
      <w:r>
        <w:rPr>
          <w:noProof/>
        </w:rPr>
        <w:t>ights, mitigating the impact of the crisis, and social territorial cohesion and convergence</w:t>
      </w:r>
      <w:bookmarkEnd w:id="299"/>
      <w:bookmarkEnd w:id="300"/>
      <w:bookmarkEnd w:id="301"/>
      <w:bookmarkEnd w:id="302"/>
      <w:r>
        <w:rPr>
          <w:noProof/>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176373" w:rsidRDefault="00E474D1">
      <w:pPr>
        <w:tabs>
          <w:tab w:val="left" w:pos="720"/>
        </w:tabs>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In line with assessment criterion 2.3 in Annex V to the Regulation, this section summarises the assessment of the expected contribution of the plan to strengthenin</w:t>
      </w:r>
      <w:r>
        <w:rPr>
          <w:rFonts w:ascii="Times New Roman" w:eastAsia="Times New Roman" w:hAnsi="Times New Roman" w:cs="Times New Roman"/>
          <w:b/>
          <w:bCs/>
          <w:noProof/>
          <w:sz w:val="24"/>
          <w:szCs w:val="24"/>
          <w:lang w:val="en-IE"/>
        </w:rPr>
        <w:t>g the growth potential, job creation, and economic, social and institutional resilience of the Member State</w:t>
      </w:r>
      <w:r>
        <w:rPr>
          <w:rFonts w:ascii="Times New Roman" w:eastAsia="Times New Roman" w:hAnsi="Times New Roman" w:cs="Times New Roman"/>
          <w:noProof/>
          <w:sz w:val="24"/>
          <w:szCs w:val="24"/>
          <w:lang w:val="en-IE"/>
        </w:rPr>
        <w:t>, contributing to the implementation of the European Pillar of Social Rights, including through the promotion of policies for children and youth, and</w:t>
      </w:r>
      <w:r>
        <w:rPr>
          <w:rFonts w:ascii="Times New Roman" w:eastAsia="Times New Roman" w:hAnsi="Times New Roman" w:cs="Times New Roman"/>
          <w:noProof/>
          <w:sz w:val="24"/>
          <w:szCs w:val="24"/>
          <w:lang w:val="en-IE"/>
        </w:rPr>
        <w:t xml:space="preserve"> to mitigating the economic and social impact of the COVID-19 crisis, thereby enhancing the economic, social and territorial cohesion and convergence within the Union.</w:t>
      </w:r>
    </w:p>
    <w:p w:rsidR="00176373" w:rsidRDefault="00E474D1">
      <w:pPr>
        <w:tabs>
          <w:tab w:val="left" w:pos="720"/>
        </w:tabs>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plan builds upon and is consistent with the comprehensive Development Plan for the </w:t>
      </w:r>
      <w:r>
        <w:rPr>
          <w:rFonts w:ascii="Times New Roman" w:eastAsia="Times New Roman" w:hAnsi="Times New Roman" w:cs="Times New Roman"/>
          <w:b/>
          <w:bCs/>
          <w:noProof/>
          <w:sz w:val="24"/>
          <w:szCs w:val="24"/>
          <w:lang w:val="en-IE"/>
        </w:rPr>
        <w:t>Greek economy, prepared in 2020 by a committee led by the Nobel laureate, Professor Pissarides.</w:t>
      </w:r>
      <w:r>
        <w:rPr>
          <w:rFonts w:ascii="Times New Roman" w:eastAsia="Times New Roman" w:hAnsi="Times New Roman" w:cs="Times New Roman"/>
          <w:noProof/>
          <w:sz w:val="24"/>
          <w:szCs w:val="24"/>
          <w:lang w:val="en-IE"/>
        </w:rPr>
        <w:t xml:space="preserve"> As such, it addresses the main obstacles affecting long-term growth in Greece, including notably the investment gap, measures required to increase productivity </w:t>
      </w:r>
      <w:r>
        <w:rPr>
          <w:rFonts w:ascii="Times New Roman" w:eastAsia="Times New Roman" w:hAnsi="Times New Roman" w:cs="Times New Roman"/>
          <w:noProof/>
          <w:sz w:val="24"/>
          <w:szCs w:val="24"/>
          <w:lang w:val="en-IE"/>
        </w:rPr>
        <w:t xml:space="preserve">and the need to improve the quality of education and the efficiency of public administration and of justice. The plan’s strong emphasis on active labour market policies, reskilling and upskilling has a potential to increase labour market participation and </w:t>
      </w:r>
      <w:r>
        <w:rPr>
          <w:rFonts w:ascii="Times New Roman" w:eastAsia="Times New Roman" w:hAnsi="Times New Roman" w:cs="Times New Roman"/>
          <w:noProof/>
          <w:sz w:val="24"/>
          <w:szCs w:val="24"/>
          <w:lang w:val="en-IE"/>
        </w:rPr>
        <w:t xml:space="preserve">employment (including that of women), which is welcome, considering the still high rate of unemployment. </w:t>
      </w:r>
    </w:p>
    <w:p w:rsidR="00176373" w:rsidRDefault="00E474D1">
      <w:pPr>
        <w:tabs>
          <w:tab w:val="left" w:pos="720"/>
        </w:tabs>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In the short to medium term, model simulations estimate an increase in the baseline average annual GDP growth of 0.3-0.5 percentage points over the pe</w:t>
      </w:r>
      <w:r>
        <w:rPr>
          <w:rFonts w:ascii="Times New Roman" w:eastAsia="Times New Roman" w:hAnsi="Times New Roman" w:cs="Times New Roman"/>
          <w:b/>
          <w:bCs/>
          <w:noProof/>
          <w:sz w:val="24"/>
          <w:szCs w:val="24"/>
          <w:lang w:val="en-IE"/>
        </w:rPr>
        <w:t>riod 2021-2026 as a result of the implementation of the recovery and resilience plan, without</w:t>
      </w:r>
      <w:r>
        <w:rPr>
          <w:noProof/>
        </w:rPr>
        <w:t xml:space="preserve"> </w:t>
      </w:r>
      <w:r>
        <w:rPr>
          <w:rFonts w:ascii="Times New Roman" w:eastAsia="Times New Roman" w:hAnsi="Times New Roman" w:cs="Times New Roman"/>
          <w:b/>
          <w:bCs/>
          <w:noProof/>
          <w:sz w:val="24"/>
          <w:szCs w:val="24"/>
          <w:lang w:val="en-IE"/>
        </w:rPr>
        <w:t xml:space="preserve">the possible positive impact of structural reforms (see Box 2). </w:t>
      </w:r>
      <w:r>
        <w:rPr>
          <w:rFonts w:ascii="Times New Roman" w:eastAsia="Times New Roman" w:hAnsi="Times New Roman" w:cs="Times New Roman"/>
          <w:noProof/>
          <w:sz w:val="24"/>
          <w:szCs w:val="24"/>
          <w:lang w:val="en-IE"/>
        </w:rPr>
        <w:t>The overall increase in GDP is projected to reach 2.1-3.3% by 2026. Through its growth impact, the</w:t>
      </w:r>
      <w:r>
        <w:rPr>
          <w:rFonts w:ascii="Times New Roman" w:eastAsia="Times New Roman" w:hAnsi="Times New Roman" w:cs="Times New Roman"/>
          <w:noProof/>
          <w:sz w:val="24"/>
          <w:szCs w:val="24"/>
          <w:lang w:val="en-IE"/>
        </w:rPr>
        <w:t xml:space="preserve"> recovery and resilience plan is also expected to provide support for Greece to achieve the planned primary surpluses needed to ensure the overall sustainability of Greece’s public finances. </w:t>
      </w:r>
    </w:p>
    <w:p w:rsidR="00176373" w:rsidRDefault="00E474D1">
      <w:pPr>
        <w:pStyle w:val="paragraph"/>
        <w:keepNext/>
        <w:rPr>
          <w:noProof/>
        </w:rPr>
      </w:pPr>
      <w:r>
        <w:rPr>
          <w:noProof/>
        </w:rPr>
        <w:t xml:space="preserve">Box </w:t>
      </w:r>
      <w:r>
        <w:rPr>
          <w:noProof/>
        </w:rPr>
        <w:fldChar w:fldCharType="begin"/>
      </w:r>
      <w:r>
        <w:rPr>
          <w:noProof/>
        </w:rPr>
        <w:instrText xml:space="preserve"> SEQ Box \* ARABIC </w:instrText>
      </w:r>
      <w:r>
        <w:rPr>
          <w:noProof/>
        </w:rPr>
        <w:fldChar w:fldCharType="separate"/>
      </w:r>
      <w:r>
        <w:rPr>
          <w:noProof/>
        </w:rPr>
        <w:t>2</w:t>
      </w:r>
      <w:r>
        <w:rPr>
          <w:noProof/>
        </w:rPr>
        <w:fldChar w:fldCharType="end"/>
      </w:r>
      <w:r>
        <w:rPr>
          <w:noProof/>
        </w:rPr>
        <w:t xml:space="preserve"> Stylised NGEU impact simulations wit</w:t>
      </w:r>
      <w:r>
        <w:rPr>
          <w:noProof/>
        </w:rPr>
        <w:t>h QUEST - Greece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176373">
        <w:tc>
          <w:tcPr>
            <w:tcW w:w="9350" w:type="dxa"/>
          </w:tcPr>
          <w:p w:rsidR="00176373" w:rsidRDefault="00E474D1">
            <w:pPr>
              <w:spacing w:line="240" w:lineRule="atLeast"/>
              <w:jc w:val="both"/>
              <w:rPr>
                <w:rFonts w:ascii="Times New Roman" w:hAnsi="Times New Roman" w:cs="Times New Roman"/>
                <w:b/>
                <w:noProof/>
              </w:rPr>
            </w:pPr>
            <w:r>
              <w:rPr>
                <w:rFonts w:ascii="Times New Roman" w:hAnsi="Times New Roman" w:cs="Times New Roman"/>
                <w:b/>
                <w:noProof/>
              </w:rPr>
              <w:t>Model simulations conducted by the Commission using the QUEST model show that the economic impact of the NGEU in Greece could lead to an increase of GDP of between 2.1 and 3.3% by 2026.</w:t>
            </w:r>
            <w:r>
              <w:rPr>
                <w:rStyle w:val="FootnoteReference"/>
                <w:rFonts w:ascii="Times New Roman" w:hAnsi="Times New Roman" w:cs="Times New Roman"/>
                <w:b/>
                <w:noProof/>
              </w:rPr>
              <w:footnoteReference w:id="29"/>
            </w:r>
            <w:r>
              <w:rPr>
                <w:rFonts w:ascii="Times New Roman" w:hAnsi="Times New Roman" w:cs="Times New Roman"/>
                <w:b/>
                <w:noProof/>
              </w:rPr>
              <w:t xml:space="preserve"> After 20 years, GDP could be 1.2% higher. Spillovers account for a large part of such impact. </w:t>
            </w:r>
          </w:p>
          <w:p w:rsidR="00176373" w:rsidRDefault="00E474D1">
            <w:pPr>
              <w:spacing w:line="240" w:lineRule="atLeast"/>
              <w:jc w:val="both"/>
              <w:rPr>
                <w:rFonts w:ascii="Times New Roman" w:hAnsi="Times New Roman" w:cs="Times New Roman"/>
                <w:noProof/>
              </w:rPr>
            </w:pPr>
            <w:r>
              <w:rPr>
                <w:rFonts w:ascii="Times New Roman" w:hAnsi="Times New Roman" w:cs="Times New Roman"/>
                <w:noProof/>
              </w:rPr>
              <w:t>According to these simulations, this would translate into up to 62 000 additional jobs. Cross border (GDP) spillovers account for 0.3 pps in 2026, showing the v</w:t>
            </w:r>
            <w:r>
              <w:rPr>
                <w:rFonts w:ascii="Times New Roman" w:hAnsi="Times New Roman" w:cs="Times New Roman"/>
                <w:noProof/>
              </w:rPr>
              <w:t>alue added of synchronised expenditure across Member States (line 2). Even in a scenario with a lower productivity of NGEU funds, it would still lead to a significant impact (line 3)</w:t>
            </w:r>
            <w:r>
              <w:rPr>
                <w:rStyle w:val="FootnoteReference"/>
                <w:rFonts w:ascii="Times New Roman" w:hAnsi="Times New Roman" w:cs="Times New Roman"/>
                <w:noProof/>
              </w:rPr>
              <w:footnoteReference w:id="30"/>
            </w:r>
            <w:r>
              <w:rPr>
                <w:rFonts w:ascii="Times New Roman" w:hAnsi="Times New Roman" w:cs="Times New Roman"/>
                <w:noProof/>
              </w:rPr>
              <w:t>.</w:t>
            </w:r>
          </w:p>
          <w:p w:rsidR="00176373" w:rsidRDefault="00176373">
            <w:pPr>
              <w:spacing w:line="240" w:lineRule="atLeast"/>
              <w:jc w:val="both"/>
              <w:rPr>
                <w:rFonts w:ascii="Times New Roman" w:hAnsi="Times New Roman" w:cs="Times New Roman"/>
                <w:noProof/>
              </w:rPr>
            </w:pPr>
          </w:p>
          <w:p w:rsidR="00176373" w:rsidRDefault="00E474D1">
            <w:pPr>
              <w:spacing w:after="120" w:line="240" w:lineRule="atLeast"/>
              <w:rPr>
                <w:rFonts w:ascii="Times New Roman" w:hAnsi="Times New Roman" w:cs="Times New Roman"/>
                <w:noProof/>
                <w:u w:val="single"/>
              </w:rPr>
            </w:pPr>
            <w:r>
              <w:rPr>
                <w:rFonts w:ascii="Times New Roman" w:hAnsi="Times New Roman" w:cs="Times New Roman"/>
                <w:noProof/>
                <w:u w:val="single"/>
              </w:rPr>
              <w:t xml:space="preserve">Table 1: QUEST simulation results (%-deviation of real GDP level from </w:t>
            </w:r>
            <w:r>
              <w:rPr>
                <w:rFonts w:ascii="Times New Roman" w:hAnsi="Times New Roman" w:cs="Times New Roman"/>
                <w:noProof/>
                <w:u w:val="single"/>
              </w:rPr>
              <w:t>non-NGEU case, linear disbursement assumption over 6 years)</w:t>
            </w:r>
          </w:p>
          <w:tbl>
            <w:tblPr>
              <w:tblStyle w:val="PlainTable11"/>
              <w:tblW w:w="9124" w:type="dxa"/>
              <w:tblLook w:val="04A0" w:firstRow="1" w:lastRow="0" w:firstColumn="1" w:lastColumn="0" w:noHBand="0" w:noVBand="1"/>
            </w:tblPr>
            <w:tblGrid>
              <w:gridCol w:w="1395"/>
              <w:gridCol w:w="731"/>
              <w:gridCol w:w="721"/>
              <w:gridCol w:w="705"/>
              <w:gridCol w:w="701"/>
              <w:gridCol w:w="703"/>
              <w:gridCol w:w="706"/>
              <w:gridCol w:w="662"/>
              <w:gridCol w:w="722"/>
              <w:gridCol w:w="766"/>
              <w:gridCol w:w="656"/>
              <w:gridCol w:w="656"/>
            </w:tblGrid>
            <w:tr w:rsidR="00176373" w:rsidTr="00176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hideMark/>
                </w:tcPr>
                <w:p w:rsidR="00176373" w:rsidRDefault="00E474D1">
                  <w:pPr>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Scenario</w:t>
                  </w:r>
                </w:p>
              </w:tc>
              <w:tc>
                <w:tcPr>
                  <w:tcW w:w="731"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2021</w:t>
                  </w:r>
                </w:p>
              </w:tc>
              <w:tc>
                <w:tcPr>
                  <w:tcW w:w="721"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2022</w:t>
                  </w:r>
                </w:p>
              </w:tc>
              <w:tc>
                <w:tcPr>
                  <w:tcW w:w="705"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2023</w:t>
                  </w:r>
                </w:p>
              </w:tc>
              <w:tc>
                <w:tcPr>
                  <w:tcW w:w="701"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2024</w:t>
                  </w:r>
                </w:p>
              </w:tc>
              <w:tc>
                <w:tcPr>
                  <w:tcW w:w="703"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2025</w:t>
                  </w:r>
                </w:p>
              </w:tc>
              <w:tc>
                <w:tcPr>
                  <w:tcW w:w="706"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2026</w:t>
                  </w:r>
                </w:p>
              </w:tc>
              <w:tc>
                <w:tcPr>
                  <w:tcW w:w="662"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2027</w:t>
                  </w:r>
                </w:p>
              </w:tc>
              <w:tc>
                <w:tcPr>
                  <w:tcW w:w="722"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2028</w:t>
                  </w:r>
                </w:p>
              </w:tc>
              <w:tc>
                <w:tcPr>
                  <w:tcW w:w="766"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2029</w:t>
                  </w:r>
                </w:p>
              </w:tc>
              <w:tc>
                <w:tcPr>
                  <w:tcW w:w="656"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2030</w:t>
                  </w:r>
                </w:p>
              </w:tc>
              <w:tc>
                <w:tcPr>
                  <w:tcW w:w="656" w:type="dxa"/>
                  <w:noWrap/>
                  <w:hideMark/>
                </w:tcPr>
                <w:p w:rsidR="00176373" w:rsidRDefault="00E474D1">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2040</w:t>
                  </w:r>
                </w:p>
              </w:tc>
            </w:tr>
            <w:tr w:rsidR="00176373" w:rsidTr="001763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hideMark/>
                </w:tcPr>
                <w:p w:rsidR="00176373" w:rsidRDefault="00E474D1">
                  <w:pPr>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Baseline</w:t>
                  </w:r>
                </w:p>
              </w:tc>
              <w:tc>
                <w:tcPr>
                  <w:tcW w:w="73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1.6</w:t>
                  </w:r>
                </w:p>
              </w:tc>
              <w:tc>
                <w:tcPr>
                  <w:tcW w:w="72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2.7</w:t>
                  </w:r>
                </w:p>
              </w:tc>
              <w:tc>
                <w:tcPr>
                  <w:tcW w:w="705"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2.7</w:t>
                  </w:r>
                </w:p>
              </w:tc>
              <w:tc>
                <w:tcPr>
                  <w:tcW w:w="70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2.8</w:t>
                  </w:r>
                </w:p>
              </w:tc>
              <w:tc>
                <w:tcPr>
                  <w:tcW w:w="703"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3.0</w:t>
                  </w:r>
                </w:p>
              </w:tc>
              <w:tc>
                <w:tcPr>
                  <w:tcW w:w="70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3.3</w:t>
                  </w:r>
                </w:p>
              </w:tc>
              <w:tc>
                <w:tcPr>
                  <w:tcW w:w="662"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2.3</w:t>
                  </w:r>
                </w:p>
              </w:tc>
              <w:tc>
                <w:tcPr>
                  <w:tcW w:w="722"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1.5</w:t>
                  </w:r>
                </w:p>
              </w:tc>
              <w:tc>
                <w:tcPr>
                  <w:tcW w:w="76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1.7</w:t>
                  </w:r>
                </w:p>
              </w:tc>
              <w:tc>
                <w:tcPr>
                  <w:tcW w:w="65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1.8</w:t>
                  </w:r>
                </w:p>
              </w:tc>
              <w:tc>
                <w:tcPr>
                  <w:tcW w:w="65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1.2</w:t>
                  </w:r>
                </w:p>
              </w:tc>
            </w:tr>
            <w:tr w:rsidR="00176373" w:rsidTr="00176373">
              <w:trPr>
                <w:trHeight w:val="300"/>
              </w:trPr>
              <w:tc>
                <w:tcPr>
                  <w:cnfStyle w:val="001000000000" w:firstRow="0" w:lastRow="0" w:firstColumn="1" w:lastColumn="0" w:oddVBand="0" w:evenVBand="0" w:oddHBand="0" w:evenHBand="0" w:firstRowFirstColumn="0" w:firstRowLastColumn="0" w:lastRowFirstColumn="0" w:lastRowLastColumn="0"/>
                  <w:tcW w:w="1395" w:type="dxa"/>
                  <w:noWrap/>
                  <w:hideMark/>
                </w:tcPr>
                <w:p w:rsidR="00176373" w:rsidRDefault="00E474D1">
                  <w:pPr>
                    <w:rPr>
                      <w:rFonts w:ascii="Times New Roman" w:hAnsi="Times New Roman" w:cs="Times New Roman"/>
                      <w:i/>
                      <w:noProof/>
                      <w:color w:val="000000"/>
                      <w:lang w:val="en-IE" w:eastAsia="en-IE"/>
                    </w:rPr>
                  </w:pPr>
                  <w:r>
                    <w:rPr>
                      <w:rFonts w:ascii="Times New Roman" w:hAnsi="Times New Roman" w:cs="Times New Roman"/>
                      <w:i/>
                      <w:noProof/>
                      <w:color w:val="000000"/>
                      <w:lang w:val="en-IE" w:eastAsia="en-IE"/>
                    </w:rPr>
                    <w:t xml:space="preserve">   of which spillover</w:t>
                  </w:r>
                </w:p>
              </w:tc>
              <w:tc>
                <w:tcPr>
                  <w:tcW w:w="731"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721"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0.4</w:t>
                  </w:r>
                </w:p>
              </w:tc>
              <w:tc>
                <w:tcPr>
                  <w:tcW w:w="705"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701"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703"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706"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662"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0.3</w:t>
                  </w:r>
                </w:p>
              </w:tc>
              <w:tc>
                <w:tcPr>
                  <w:tcW w:w="722"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0.2</w:t>
                  </w:r>
                </w:p>
              </w:tc>
              <w:tc>
                <w:tcPr>
                  <w:tcW w:w="766"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0.2</w:t>
                  </w:r>
                </w:p>
              </w:tc>
              <w:tc>
                <w:tcPr>
                  <w:tcW w:w="656"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0.1</w:t>
                  </w:r>
                </w:p>
              </w:tc>
              <w:tc>
                <w:tcPr>
                  <w:tcW w:w="656" w:type="dxa"/>
                  <w:noWrap/>
                  <w:vAlign w:val="bottom"/>
                  <w:hideMark/>
                </w:tcPr>
                <w:p w:rsidR="00176373" w:rsidRDefault="00E474D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color w:val="000000"/>
                      <w:lang w:val="en-IE" w:eastAsia="en-IE"/>
                    </w:rPr>
                  </w:pPr>
                  <w:r>
                    <w:rPr>
                      <w:rFonts w:ascii="Calibri" w:hAnsi="Calibri" w:cs="Calibri"/>
                      <w:i/>
                      <w:noProof/>
                      <w:color w:val="000000"/>
                    </w:rPr>
                    <w:t>0.0</w:t>
                  </w:r>
                </w:p>
              </w:tc>
            </w:tr>
            <w:tr w:rsidR="00176373" w:rsidTr="001763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noWrap/>
                  <w:hideMark/>
                </w:tcPr>
                <w:p w:rsidR="00176373" w:rsidRDefault="00E474D1">
                  <w:pPr>
                    <w:rPr>
                      <w:rFonts w:ascii="Times New Roman" w:hAnsi="Times New Roman" w:cs="Times New Roman"/>
                      <w:noProof/>
                      <w:color w:val="000000"/>
                      <w:lang w:val="en-IE" w:eastAsia="en-IE"/>
                    </w:rPr>
                  </w:pPr>
                  <w:r>
                    <w:rPr>
                      <w:rFonts w:ascii="Times New Roman" w:hAnsi="Times New Roman" w:cs="Times New Roman"/>
                      <w:noProof/>
                      <w:color w:val="000000"/>
                      <w:lang w:val="en-IE" w:eastAsia="en-IE"/>
                    </w:rPr>
                    <w:t xml:space="preserve">Low </w:t>
                  </w:r>
                  <w:r>
                    <w:rPr>
                      <w:rFonts w:ascii="Times New Roman" w:hAnsi="Times New Roman" w:cs="Times New Roman"/>
                      <w:noProof/>
                      <w:color w:val="000000"/>
                      <w:lang w:val="en-IE" w:eastAsia="en-IE"/>
                    </w:rPr>
                    <w:t>productivity</w:t>
                  </w:r>
                </w:p>
              </w:tc>
              <w:tc>
                <w:tcPr>
                  <w:tcW w:w="73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1.4</w:t>
                  </w:r>
                </w:p>
              </w:tc>
              <w:tc>
                <w:tcPr>
                  <w:tcW w:w="72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2.3</w:t>
                  </w:r>
                </w:p>
              </w:tc>
              <w:tc>
                <w:tcPr>
                  <w:tcW w:w="705"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2.1</w:t>
                  </w:r>
                </w:p>
              </w:tc>
              <w:tc>
                <w:tcPr>
                  <w:tcW w:w="701"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2.0</w:t>
                  </w:r>
                </w:p>
              </w:tc>
              <w:tc>
                <w:tcPr>
                  <w:tcW w:w="703"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2.1</w:t>
                  </w:r>
                </w:p>
              </w:tc>
              <w:tc>
                <w:tcPr>
                  <w:tcW w:w="70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2.1</w:t>
                  </w:r>
                </w:p>
              </w:tc>
              <w:tc>
                <w:tcPr>
                  <w:tcW w:w="662"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1.1</w:t>
                  </w:r>
                </w:p>
              </w:tc>
              <w:tc>
                <w:tcPr>
                  <w:tcW w:w="722"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0.2</w:t>
                  </w:r>
                </w:p>
              </w:tc>
              <w:tc>
                <w:tcPr>
                  <w:tcW w:w="76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0.4</w:t>
                  </w:r>
                </w:p>
              </w:tc>
              <w:tc>
                <w:tcPr>
                  <w:tcW w:w="65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0.6</w:t>
                  </w:r>
                </w:p>
              </w:tc>
              <w:tc>
                <w:tcPr>
                  <w:tcW w:w="656" w:type="dxa"/>
                  <w:noWrap/>
                  <w:vAlign w:val="bottom"/>
                  <w:hideMark/>
                </w:tcPr>
                <w:p w:rsidR="00176373" w:rsidRDefault="00E474D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lang w:val="en-IE" w:eastAsia="en-IE"/>
                    </w:rPr>
                  </w:pPr>
                  <w:r>
                    <w:rPr>
                      <w:rFonts w:ascii="Calibri" w:hAnsi="Calibri" w:cs="Calibri"/>
                      <w:noProof/>
                      <w:color w:val="000000"/>
                    </w:rPr>
                    <w:t>0.5</w:t>
                  </w:r>
                </w:p>
              </w:tc>
            </w:tr>
          </w:tbl>
          <w:p w:rsidR="00176373" w:rsidRDefault="00176373">
            <w:pPr>
              <w:spacing w:after="120" w:line="240" w:lineRule="atLeast"/>
              <w:jc w:val="both"/>
              <w:rPr>
                <w:rFonts w:ascii="Times New Roman" w:hAnsi="Times New Roman" w:cs="Times New Roman"/>
                <w:i/>
                <w:noProof/>
                <w:sz w:val="20"/>
                <w:lang w:val="en-IE"/>
              </w:rPr>
            </w:pPr>
          </w:p>
          <w:p w:rsidR="00176373" w:rsidRDefault="00E474D1">
            <w:pPr>
              <w:spacing w:after="120" w:line="240" w:lineRule="atLeast"/>
              <w:jc w:val="both"/>
              <w:rPr>
                <w:rFonts w:ascii="Times New Roman" w:hAnsi="Times New Roman" w:cs="Times New Roman"/>
                <w:noProof/>
              </w:rPr>
            </w:pPr>
            <w:r>
              <w:rPr>
                <w:rFonts w:ascii="Times New Roman" w:hAnsi="Times New Roman" w:cs="Times New Roman"/>
                <w:b/>
                <w:noProof/>
              </w:rPr>
              <w:t>This stylised scenario does not include the possible positive impact of structural reforms, which can be substantial</w:t>
            </w:r>
            <w:r>
              <w:rPr>
                <w:rFonts w:ascii="Times New Roman" w:hAnsi="Times New Roman" w:cs="Times New Roman"/>
                <w:noProof/>
              </w:rPr>
              <w:t xml:space="preserve">. A model-based benchmarking exercise shows that undertaking structural reforms </w:t>
            </w:r>
            <w:r>
              <w:rPr>
                <w:rFonts w:ascii="Times New Roman" w:hAnsi="Times New Roman" w:cs="Times New Roman"/>
                <w:noProof/>
              </w:rPr>
              <w:t>that would result in halving the gap vis-à-vis best performers in terms of indicators of structural reforms could raise Greece GDP by 18% in 20 years’ time, more than the 11% found for the EU average, the difference reflecting the relatively larger gaps to</w:t>
            </w:r>
            <w:r>
              <w:rPr>
                <w:rFonts w:ascii="Times New Roman" w:hAnsi="Times New Roman" w:cs="Times New Roman"/>
                <w:noProof/>
              </w:rPr>
              <w:t>wards best performers in Greece</w:t>
            </w:r>
            <w:r>
              <w:rPr>
                <w:rStyle w:val="FootnoteReference"/>
                <w:rFonts w:ascii="Times New Roman" w:hAnsi="Times New Roman" w:cs="Times New Roman"/>
                <w:noProof/>
              </w:rPr>
              <w:footnoteReference w:id="31"/>
            </w:r>
            <w:r>
              <w:rPr>
                <w:rFonts w:ascii="Times New Roman" w:hAnsi="Times New Roman" w:cs="Times New Roman"/>
                <w:noProof/>
              </w:rPr>
              <w:t>.</w:t>
            </w:r>
          </w:p>
          <w:p w:rsidR="00176373" w:rsidRDefault="00E474D1">
            <w:pPr>
              <w:spacing w:after="120" w:line="240" w:lineRule="atLeast"/>
              <w:jc w:val="both"/>
              <w:rPr>
                <w:rFonts w:ascii="Times New Roman" w:hAnsi="Times New Roman" w:cs="Times New Roman"/>
                <w:b/>
                <w:noProof/>
              </w:rPr>
            </w:pPr>
            <w:r>
              <w:rPr>
                <w:rFonts w:ascii="Times New Roman" w:hAnsi="Times New Roman" w:cs="Times New Roman"/>
                <w:noProof/>
              </w:rPr>
              <w:t xml:space="preserve">Due to the differences in the assumptions and methodology, </w:t>
            </w:r>
            <w:r>
              <w:rPr>
                <w:rFonts w:ascii="Times New Roman" w:hAnsi="Times New Roman" w:cs="Times New Roman"/>
                <w:b/>
                <w:noProof/>
              </w:rPr>
              <w:t>the results</w:t>
            </w:r>
            <w:r>
              <w:rPr>
                <w:rFonts w:ascii="Times New Roman" w:hAnsi="Times New Roman" w:cs="Times New Roman"/>
                <w:noProof/>
              </w:rPr>
              <w:t xml:space="preserve"> </w:t>
            </w:r>
            <w:r>
              <w:rPr>
                <w:rFonts w:ascii="Times New Roman" w:hAnsi="Times New Roman" w:cs="Times New Roman"/>
                <w:b/>
                <w:noProof/>
              </w:rPr>
              <w:t xml:space="preserve">of this stylised assessment cannot be directly compared to the numbers reported in chapter 4 of Greece’s RRP. </w:t>
            </w:r>
          </w:p>
        </w:tc>
      </w:tr>
    </w:tbl>
    <w:p w:rsidR="00176373" w:rsidRDefault="00176373">
      <w:pPr>
        <w:jc w:val="both"/>
        <w:rPr>
          <w:rFonts w:ascii="Times New Roman" w:eastAsia="Times New Roman" w:hAnsi="Times New Roman" w:cs="Times New Roman"/>
          <w:b/>
          <w:bCs/>
          <w:noProof/>
          <w:sz w:val="24"/>
          <w:szCs w:val="24"/>
        </w:rPr>
      </w:pP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 presents a detailed analysis </w:t>
      </w:r>
      <w:r>
        <w:rPr>
          <w:rFonts w:ascii="Times New Roman" w:eastAsia="Times New Roman" w:hAnsi="Times New Roman" w:cs="Times New Roman"/>
          <w:b/>
          <w:bCs/>
          <w:noProof/>
          <w:sz w:val="24"/>
          <w:szCs w:val="24"/>
        </w:rPr>
        <w:t>of the overall impact of the proposed reforms and investments.</w:t>
      </w:r>
      <w:r>
        <w:rPr>
          <w:rFonts w:ascii="Times New Roman" w:eastAsia="Times New Roman" w:hAnsi="Times New Roman" w:cs="Times New Roman"/>
          <w:noProof/>
          <w:sz w:val="24"/>
          <w:szCs w:val="24"/>
        </w:rPr>
        <w:t xml:space="preserve"> In compliance with the guidance, it includes a macroeconomic and social outlook, which is followed by the discussion of the macroeconomic and social impact of the plan as a whole. The methodolo</w:t>
      </w:r>
      <w:r>
        <w:rPr>
          <w:rFonts w:ascii="Times New Roman" w:eastAsia="Times New Roman" w:hAnsi="Times New Roman" w:cs="Times New Roman"/>
          <w:noProof/>
          <w:sz w:val="24"/>
          <w:szCs w:val="24"/>
        </w:rPr>
        <w:t>gy of the macroeconomic estimations is described in detail, both for the estimations carried out by the Bank of Greece and for the one done by the Council of Economic Advisers. The document presents arguments on the sustainability of the planned investment</w:t>
      </w:r>
      <w:r>
        <w:rPr>
          <w:rFonts w:ascii="Times New Roman" w:eastAsia="Times New Roman" w:hAnsi="Times New Roman" w:cs="Times New Roman"/>
          <w:noProof/>
          <w:sz w:val="24"/>
          <w:szCs w:val="24"/>
        </w:rPr>
        <w:t>s and reforms, but it does not elaborate in detail on the aggregate impact on social and territorial cohesion. The full impact is then compared to the investment baseline.</w:t>
      </w:r>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Fostering economic growth and jobs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 includes a wide set of investments and </w:t>
      </w:r>
      <w:r>
        <w:rPr>
          <w:rFonts w:ascii="Times New Roman" w:eastAsia="Times New Roman" w:hAnsi="Times New Roman" w:cs="Times New Roman"/>
          <w:b/>
          <w:bCs/>
          <w:noProof/>
          <w:sz w:val="24"/>
          <w:szCs w:val="24"/>
        </w:rPr>
        <w:t>reforms that contribute to economic growth and increasing employment.</w:t>
      </w:r>
      <w:r>
        <w:rPr>
          <w:rFonts w:ascii="Times New Roman" w:eastAsia="Times New Roman" w:hAnsi="Times New Roman" w:cs="Times New Roman"/>
          <w:noProof/>
          <w:sz w:val="24"/>
          <w:szCs w:val="24"/>
        </w:rPr>
        <w:t xml:space="preserve"> The growth stimulus provided by the measures financed by non-repayable financial support is estimated at over 1% of GDP already in 2021 which is an important contribution to the economic</w:t>
      </w:r>
      <w:r>
        <w:rPr>
          <w:rFonts w:ascii="Times New Roman" w:eastAsia="Times New Roman" w:hAnsi="Times New Roman" w:cs="Times New Roman"/>
          <w:noProof/>
          <w:sz w:val="24"/>
          <w:szCs w:val="24"/>
        </w:rPr>
        <w:t xml:space="preserve"> recovery in the aftermath of the pandemic.</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Several measures aim to improve productivity. </w:t>
      </w:r>
      <w:r>
        <w:rPr>
          <w:rFonts w:ascii="Times New Roman" w:eastAsia="Times New Roman" w:hAnsi="Times New Roman" w:cs="Times New Roman"/>
          <w:noProof/>
          <w:sz w:val="24"/>
          <w:szCs w:val="24"/>
        </w:rPr>
        <w:t>Even before the pandemic, Greece’s growth performance had been anaemic, and the economy was facing several challenges to its growth potential, which have been discuss</w:t>
      </w:r>
      <w:r>
        <w:rPr>
          <w:rFonts w:ascii="Times New Roman" w:eastAsia="Times New Roman" w:hAnsi="Times New Roman" w:cs="Times New Roman"/>
          <w:noProof/>
          <w:sz w:val="24"/>
          <w:szCs w:val="24"/>
        </w:rPr>
        <w:t xml:space="preserve">ed in section 2.2 of this document. One of the main factors is the low productivity of Greek firms. Component 4.7 is expected to address several causes of this issue. It includes actions to simplify the business environment, to further improve the ease of </w:t>
      </w:r>
      <w:r>
        <w:rPr>
          <w:rFonts w:ascii="Times New Roman" w:eastAsia="Times New Roman" w:hAnsi="Times New Roman" w:cs="Times New Roman"/>
          <w:noProof/>
          <w:sz w:val="24"/>
          <w:szCs w:val="24"/>
        </w:rPr>
        <w:t>doing business and to incentivise productivity growth through the development of the legal framework to facilitate the increase of average company size through mergers and acquisitions. Also, the plan provides important financial incentives to private inve</w:t>
      </w:r>
      <w:r>
        <w:rPr>
          <w:rFonts w:ascii="Times New Roman" w:eastAsia="Times New Roman" w:hAnsi="Times New Roman" w:cs="Times New Roman"/>
          <w:noProof/>
          <w:sz w:val="24"/>
          <w:szCs w:val="24"/>
        </w:rPr>
        <w:t>stment under the loan facility, which the authorities expect to provide an additional percentage point increase in GDP growth already in 2021. These efforts are complemented by component 2.3, which is expected to improve the digitalisation of small and med</w:t>
      </w:r>
      <w:r>
        <w:rPr>
          <w:rFonts w:ascii="Times New Roman" w:eastAsia="Times New Roman" w:hAnsi="Times New Roman" w:cs="Times New Roman"/>
          <w:noProof/>
          <w:sz w:val="24"/>
          <w:szCs w:val="24"/>
        </w:rPr>
        <w:t>ium sized business and thus is expected to create a good momentum in improving productivity. Finally, component 4.5 provides an important contribution through the promotion of research and innovation through strengthening the relations of the corporate and</w:t>
      </w:r>
      <w:r>
        <w:rPr>
          <w:rFonts w:ascii="Times New Roman" w:eastAsia="Times New Roman" w:hAnsi="Times New Roman" w:cs="Times New Roman"/>
          <w:noProof/>
          <w:sz w:val="24"/>
          <w:szCs w:val="24"/>
        </w:rPr>
        <w:t xml:space="preserve"> the scientific sectors and through increased public-private cooperation in research and development, including supporting of start-ups.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Productivity is also expected to improve by increasing the openness of the economy, thus better exploiting Greece’s co</w:t>
      </w:r>
      <w:r>
        <w:rPr>
          <w:rFonts w:ascii="Times New Roman" w:eastAsia="Times New Roman" w:hAnsi="Times New Roman" w:cs="Times New Roman"/>
          <w:b/>
          <w:bCs/>
          <w:noProof/>
          <w:sz w:val="24"/>
          <w:szCs w:val="24"/>
        </w:rPr>
        <w:t>mparative advantages and exposing the economy to higher competition thereby incentivising improvement in competitiveness.</w:t>
      </w:r>
      <w:r>
        <w:rPr>
          <w:rFonts w:ascii="Times New Roman" w:eastAsia="Times New Roman" w:hAnsi="Times New Roman" w:cs="Times New Roman"/>
          <w:noProof/>
          <w:sz w:val="24"/>
          <w:szCs w:val="24"/>
        </w:rPr>
        <w:t xml:space="preserve"> Component 4.7 has elements that are expected to improve the extroversion of the economy through promoting larger company size, and com</w:t>
      </w:r>
      <w:r>
        <w:rPr>
          <w:rFonts w:ascii="Times New Roman" w:eastAsia="Times New Roman" w:hAnsi="Times New Roman" w:cs="Times New Roman"/>
          <w:noProof/>
          <w:sz w:val="24"/>
          <w:szCs w:val="24"/>
        </w:rPr>
        <w:t>ponent 4.6 takes important steps in this regard too. Recognising some of Greece’s most characteristic industries: tourism, culture and agri-food, it promotes important infrastructural and skill upgrades in these sectors which could lead to increased and mo</w:t>
      </w:r>
      <w:r>
        <w:rPr>
          <w:rFonts w:ascii="Times New Roman" w:eastAsia="Times New Roman" w:hAnsi="Times New Roman" w:cs="Times New Roman"/>
          <w:noProof/>
          <w:sz w:val="24"/>
          <w:szCs w:val="24"/>
        </w:rPr>
        <w:t>re diversified added value from these sectors. The same component is also expected to improve trade facilitation and includes various reforms aiming to increase investment in smart technologies in manufacturing, which could be key for productivity enhancem</w:t>
      </w:r>
      <w:r>
        <w:rPr>
          <w:rFonts w:ascii="Times New Roman" w:eastAsia="Times New Roman" w:hAnsi="Times New Roman" w:cs="Times New Roman"/>
          <w:noProof/>
          <w:sz w:val="24"/>
          <w:szCs w:val="24"/>
        </w:rPr>
        <w:t>ent.</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 contains measures to improve public investment management. </w:t>
      </w:r>
      <w:r>
        <w:rPr>
          <w:rFonts w:ascii="Times New Roman" w:eastAsia="Times New Roman" w:hAnsi="Times New Roman" w:cs="Times New Roman"/>
          <w:noProof/>
          <w:sz w:val="24"/>
          <w:szCs w:val="24"/>
        </w:rPr>
        <w:t xml:space="preserve">Greece has been suffering from lack of planning and monitoring system for implementing large infrastructure projects. This challenge is addressed by component 4.2 which aims to speed </w:t>
      </w:r>
      <w:r>
        <w:rPr>
          <w:rFonts w:ascii="Times New Roman" w:eastAsia="Times New Roman" w:hAnsi="Times New Roman" w:cs="Times New Roman"/>
          <w:noProof/>
          <w:sz w:val="24"/>
          <w:szCs w:val="24"/>
        </w:rPr>
        <w:t>up the implementation of public investment projects through enhancing the policy and planning coordination, and modernising public administration, procurement, and accrual accounting while also strengthening the anti-corruption framework. These are expecte</w:t>
      </w:r>
      <w:r>
        <w:rPr>
          <w:rFonts w:ascii="Times New Roman" w:eastAsia="Times New Roman" w:hAnsi="Times New Roman" w:cs="Times New Roman"/>
          <w:noProof/>
          <w:sz w:val="24"/>
          <w:szCs w:val="24"/>
        </w:rPr>
        <w:t>d to be instrumental in delivering all the public investments described in the plan in a timely and efficient manner.</w:t>
      </w:r>
    </w:p>
    <w:p w:rsidR="00176373" w:rsidRDefault="00E474D1">
      <w:pPr>
        <w:jc w:val="both"/>
        <w:rPr>
          <w:rFonts w:ascii="Times New Roman" w:eastAsia="Times New Roman" w:hAnsi="Times New Roman"/>
          <w:noProof/>
          <w:sz w:val="24"/>
          <w:szCs w:val="24"/>
        </w:rPr>
      </w:pPr>
      <w:r>
        <w:rPr>
          <w:rFonts w:ascii="Times New Roman" w:eastAsia="Times New Roman" w:hAnsi="Times New Roman"/>
          <w:b/>
          <w:bCs/>
          <w:noProof/>
          <w:sz w:val="24"/>
          <w:szCs w:val="24"/>
        </w:rPr>
        <w:t xml:space="preserve">Important steps are taken to improve the tax administration and the efficiency of the judicial system. </w:t>
      </w:r>
      <w:r>
        <w:rPr>
          <w:rFonts w:ascii="Times New Roman" w:eastAsia="Times New Roman" w:hAnsi="Times New Roman"/>
          <w:noProof/>
          <w:sz w:val="24"/>
          <w:szCs w:val="24"/>
        </w:rPr>
        <w:t xml:space="preserve">High tax burden, tax compliance, </w:t>
      </w:r>
      <w:r>
        <w:rPr>
          <w:rFonts w:ascii="Times New Roman" w:eastAsia="Times New Roman" w:hAnsi="Times New Roman"/>
          <w:noProof/>
          <w:sz w:val="24"/>
          <w:szCs w:val="24"/>
        </w:rPr>
        <w:t>red tape, regulatory burden and slow justice system have also been long-standing challenges for potential growth. While the Recovery and Resilience Facility cannot be used directly to reduce taxes, the plan submitted by the authorities includes reforms tha</w:t>
      </w:r>
      <w:r>
        <w:rPr>
          <w:rFonts w:ascii="Times New Roman" w:eastAsia="Times New Roman" w:hAnsi="Times New Roman"/>
          <w:noProof/>
          <w:sz w:val="24"/>
          <w:szCs w:val="24"/>
        </w:rPr>
        <w:t>t pave the way towards a more efficient tax system through the reduction of tax evasion, spearheaded through the digital transformation of the Independent Authority for Public Revenue, which could also allow for creating a more growth-friendly tax environm</w:t>
      </w:r>
      <w:r>
        <w:rPr>
          <w:rFonts w:ascii="Times New Roman" w:eastAsia="Times New Roman" w:hAnsi="Times New Roman"/>
          <w:noProof/>
          <w:sz w:val="24"/>
          <w:szCs w:val="24"/>
        </w:rPr>
        <w:t>ent later on. In particular, component 4.1 introduces a set of wide-ranging reforms and investments that are expected to improve tax administration and collection through digitalisation and simplification of the tax legislation. This component has synergie</w:t>
      </w:r>
      <w:r>
        <w:rPr>
          <w:rFonts w:ascii="Times New Roman" w:eastAsia="Times New Roman" w:hAnsi="Times New Roman"/>
          <w:noProof/>
          <w:sz w:val="24"/>
          <w:szCs w:val="24"/>
        </w:rPr>
        <w:t>s with component 2.3 which promotes the digitalisation of businesses which will facilitate the digitalisation of the tax collection and oversight. Component 4.2 includes initiatives that reduce administrative and regulatory burden, while continuing the eff</w:t>
      </w:r>
      <w:r>
        <w:rPr>
          <w:rFonts w:ascii="Times New Roman" w:eastAsia="Times New Roman" w:hAnsi="Times New Roman"/>
          <w:noProof/>
          <w:sz w:val="24"/>
          <w:szCs w:val="24"/>
        </w:rPr>
        <w:t>orts to modernise the public administration. The plan also includes an ambitious agenda to improve the quality and the efficiency of the justice system. Component 4.3 is expected to continue the digitalisation of judicial procedures and foresees a revision</w:t>
      </w:r>
      <w:r>
        <w:rPr>
          <w:rFonts w:ascii="Times New Roman" w:eastAsia="Times New Roman" w:hAnsi="Times New Roman"/>
          <w:noProof/>
          <w:sz w:val="24"/>
          <w:szCs w:val="24"/>
        </w:rPr>
        <w:t xml:space="preserve"> of the judicial map for administrative, civil and criminal courts to align it with the needs of the 21</w:t>
      </w:r>
      <w:r>
        <w:rPr>
          <w:rFonts w:ascii="Times New Roman" w:eastAsia="Times New Roman" w:hAnsi="Times New Roman"/>
          <w:noProof/>
          <w:sz w:val="24"/>
          <w:szCs w:val="24"/>
          <w:vertAlign w:val="superscript"/>
        </w:rPr>
        <w:t>st</w:t>
      </w:r>
      <w:r>
        <w:rPr>
          <w:rFonts w:ascii="Times New Roman" w:eastAsia="Times New Roman" w:hAnsi="Times New Roman"/>
          <w:noProof/>
          <w:sz w:val="24"/>
          <w:szCs w:val="24"/>
        </w:rPr>
        <w:t xml:space="preserve"> century. This is accompanied by an upgrade the existing infrastructure and measures to improve the skills of judges and judicial staff and to accelera</w:t>
      </w:r>
      <w:r>
        <w:rPr>
          <w:rFonts w:ascii="Times New Roman" w:eastAsia="Times New Roman" w:hAnsi="Times New Roman"/>
          <w:noProof/>
          <w:sz w:val="24"/>
          <w:szCs w:val="24"/>
        </w:rPr>
        <w:t>te justice administration.</w:t>
      </w:r>
    </w:p>
    <w:p w:rsidR="00176373" w:rsidRDefault="00E474D1">
      <w:pPr>
        <w:jc w:val="both"/>
        <w:rPr>
          <w:rFonts w:ascii="Times New Roman" w:eastAsia="Times New Roman" w:hAnsi="Times New Roman"/>
          <w:noProof/>
          <w:sz w:val="24"/>
          <w:szCs w:val="24"/>
        </w:rPr>
      </w:pPr>
      <w:r>
        <w:rPr>
          <w:rFonts w:ascii="Times New Roman" w:eastAsia="Times New Roman" w:hAnsi="Times New Roman"/>
          <w:b/>
          <w:bCs/>
          <w:noProof/>
          <w:sz w:val="24"/>
          <w:szCs w:val="24"/>
        </w:rPr>
        <w:t xml:space="preserve">A new and cheaper pool of financing will become available for Greek firms. </w:t>
      </w:r>
      <w:r>
        <w:rPr>
          <w:rFonts w:ascii="Times New Roman" w:eastAsia="Times New Roman" w:hAnsi="Times New Roman"/>
          <w:noProof/>
          <w:sz w:val="24"/>
          <w:szCs w:val="24"/>
        </w:rPr>
        <w:t>The Loan Facility (component 4.7) addresses the lack of available and affordable financing. Greek banks still face high non-performing loan ratios and oth</w:t>
      </w:r>
      <w:r>
        <w:rPr>
          <w:rFonts w:ascii="Times New Roman" w:eastAsia="Times New Roman" w:hAnsi="Times New Roman"/>
          <w:noProof/>
          <w:sz w:val="24"/>
          <w:szCs w:val="24"/>
        </w:rPr>
        <w:t>er constraints, which limit their lending activity and increase the lending rates. The Loan Facility is expected to make financing both cheaper and more available. The amounts of the Recovery and Resilience Facility loans are passed on to the private secto</w:t>
      </w:r>
      <w:r>
        <w:rPr>
          <w:rFonts w:ascii="Times New Roman" w:eastAsia="Times New Roman" w:hAnsi="Times New Roman"/>
          <w:noProof/>
          <w:sz w:val="24"/>
          <w:szCs w:val="24"/>
        </w:rPr>
        <w:t>r principally through on-lending via international financial institutions and commercial banks. By passing on the favorable lending rates of the loans of the Facility, the average interest charged to companies will be lower, and by sharing the expected los</w:t>
      </w:r>
      <w:r>
        <w:rPr>
          <w:rFonts w:ascii="Times New Roman" w:eastAsia="Times New Roman" w:hAnsi="Times New Roman"/>
          <w:noProof/>
          <w:sz w:val="24"/>
          <w:szCs w:val="24"/>
        </w:rPr>
        <w:t>ses with banks and lending institutions, the availability of financing will increase. The participation of the beneficiary with a small amount of the total investment, ensures the appropriate incentive structure among all parties, mitigating any moral haza</w:t>
      </w:r>
      <w:r>
        <w:rPr>
          <w:rFonts w:ascii="Times New Roman" w:eastAsia="Times New Roman" w:hAnsi="Times New Roman"/>
          <w:noProof/>
          <w:sz w:val="24"/>
          <w:szCs w:val="24"/>
        </w:rPr>
        <w:t>rd concerns. This Loan Facility is expected to provide significant boost to private investments with a focus on green transition and digital transformation. According to the authorities' estimation, it will provide larger growth stimulus than the investmen</w:t>
      </w:r>
      <w:r>
        <w:rPr>
          <w:rFonts w:ascii="Times New Roman" w:eastAsia="Times New Roman" w:hAnsi="Times New Roman"/>
          <w:noProof/>
          <w:sz w:val="24"/>
          <w:szCs w:val="24"/>
        </w:rPr>
        <w:t>ts financed through non-repayable financial support. The actual growth impact will crucially depend on the take-up rate of these loans, and also on the possible crowding out of bank lending.</w:t>
      </w:r>
    </w:p>
    <w:p w:rsidR="00176373" w:rsidRDefault="00E474D1">
      <w:pPr>
        <w:jc w:val="both"/>
        <w:rPr>
          <w:rFonts w:ascii="Times New Roman" w:eastAsia="Times New Roman" w:hAnsi="Times New Roman"/>
          <w:noProof/>
          <w:sz w:val="24"/>
          <w:szCs w:val="24"/>
        </w:rPr>
      </w:pPr>
      <w:r>
        <w:rPr>
          <w:rFonts w:ascii="Times New Roman" w:eastAsia="Times New Roman" w:hAnsi="Times New Roman"/>
          <w:b/>
          <w:bCs/>
          <w:noProof/>
          <w:sz w:val="24"/>
          <w:szCs w:val="24"/>
        </w:rPr>
        <w:t>Beyond the measures directly addressing the challenges identified</w:t>
      </w:r>
      <w:r>
        <w:rPr>
          <w:rFonts w:ascii="Times New Roman" w:eastAsia="Times New Roman" w:hAnsi="Times New Roman"/>
          <w:b/>
          <w:bCs/>
          <w:noProof/>
          <w:sz w:val="24"/>
          <w:szCs w:val="24"/>
        </w:rPr>
        <w:t xml:space="preserve"> in section 2.2, and which are mostly covered under the investments and reforms of the fourth pillar, the recovery and resilience plan proposes several measures that are conducive to growth and employment.</w:t>
      </w:r>
      <w:r>
        <w:rPr>
          <w:rFonts w:ascii="Times New Roman" w:eastAsia="Times New Roman" w:hAnsi="Times New Roman"/>
          <w:noProof/>
          <w:sz w:val="24"/>
          <w:szCs w:val="24"/>
        </w:rPr>
        <w:t xml:space="preserve"> Investments under pillar one, the green transition</w:t>
      </w:r>
      <w:r>
        <w:rPr>
          <w:rFonts w:ascii="Times New Roman" w:eastAsia="Times New Roman" w:hAnsi="Times New Roman"/>
          <w:noProof/>
          <w:sz w:val="24"/>
          <w:szCs w:val="24"/>
        </w:rPr>
        <w:t>, promote growth and productivity through cheaper and more sustainable energy and through better management of natural resources. This includes the reform of renewable energy sources, the renovation of residential buildings, and a horizontal scheme to supp</w:t>
      </w:r>
      <w:r>
        <w:rPr>
          <w:rFonts w:ascii="Times New Roman" w:eastAsia="Times New Roman" w:hAnsi="Times New Roman"/>
          <w:noProof/>
          <w:sz w:val="24"/>
          <w:szCs w:val="24"/>
        </w:rPr>
        <w:t>ort industrial units being established to support the low-carbon economy. The measures under pillar two, the digital transformation, generate the conditions for a number of other reforms to be more effective and efficient for both the public and the privat</w:t>
      </w:r>
      <w:r>
        <w:rPr>
          <w:rFonts w:ascii="Times New Roman" w:eastAsia="Times New Roman" w:hAnsi="Times New Roman"/>
          <w:noProof/>
          <w:sz w:val="24"/>
          <w:szCs w:val="24"/>
        </w:rPr>
        <w:t>e sector. Measures under pillar three, employment, skills and social cohesion, aim to ensure that the recovery and the development going forward happens in an inclusive manner.</w:t>
      </w:r>
    </w:p>
    <w:p w:rsidR="00176373" w:rsidRDefault="00E474D1">
      <w:pPr>
        <w:jc w:val="both"/>
        <w:rPr>
          <w:rFonts w:ascii="Times New Roman" w:eastAsia="Times New Roman" w:hAnsi="Times New Roman"/>
          <w:noProof/>
          <w:sz w:val="24"/>
          <w:szCs w:val="24"/>
        </w:rPr>
      </w:pPr>
      <w:r>
        <w:rPr>
          <w:rFonts w:ascii="Times New Roman" w:eastAsia="Times New Roman" w:hAnsi="Times New Roman"/>
          <w:b/>
          <w:bCs/>
          <w:noProof/>
          <w:sz w:val="24"/>
          <w:szCs w:val="24"/>
        </w:rPr>
        <w:t>The Greek authorities have provided an estimation of the direct growth impact o</w:t>
      </w:r>
      <w:r>
        <w:rPr>
          <w:rFonts w:ascii="Times New Roman" w:eastAsia="Times New Roman" w:hAnsi="Times New Roman"/>
          <w:b/>
          <w:bCs/>
          <w:noProof/>
          <w:sz w:val="24"/>
          <w:szCs w:val="24"/>
        </w:rPr>
        <w:t>f the plan for each measure.</w:t>
      </w:r>
      <w:r>
        <w:rPr>
          <w:rFonts w:ascii="Times New Roman" w:eastAsia="Times New Roman" w:hAnsi="Times New Roman"/>
          <w:noProof/>
          <w:sz w:val="24"/>
          <w:szCs w:val="24"/>
        </w:rPr>
        <w:t xml:space="preserve"> This quantification was done by a static input-output model, excluding endogenous effects on total factor productivity and assigning little or no impact of reforms. This quantification was done by the Centre of Planning and Eco</w:t>
      </w:r>
      <w:r>
        <w:rPr>
          <w:rFonts w:ascii="Times New Roman" w:eastAsia="Times New Roman" w:hAnsi="Times New Roman"/>
          <w:noProof/>
          <w:sz w:val="24"/>
          <w:szCs w:val="24"/>
        </w:rPr>
        <w:t>nomic Research (KEPE). As the authorities point out, these calculations should be treated with caution, and should not be considered to reflect the aggregate impact of the plan which was estimated by the Bank of Greece. The calculations are nevertheless us</w:t>
      </w:r>
      <w:r>
        <w:rPr>
          <w:rFonts w:ascii="Times New Roman" w:eastAsia="Times New Roman" w:hAnsi="Times New Roman"/>
          <w:noProof/>
          <w:sz w:val="24"/>
          <w:szCs w:val="24"/>
        </w:rPr>
        <w:t>eful in showing the direct impact of each measure and the relative impulse of the different pillars. Based on the results, the measures under pillars one and four are expected to have the larger direct economic impact both in terms of GDP and employment, w</w:t>
      </w:r>
      <w:r>
        <w:rPr>
          <w:rFonts w:ascii="Times New Roman" w:eastAsia="Times New Roman" w:hAnsi="Times New Roman"/>
          <w:noProof/>
          <w:sz w:val="24"/>
          <w:szCs w:val="24"/>
        </w:rPr>
        <w:t>hile the measures under pillar two are expected to have the smallest direct economic impact. These impacts are broadly proportional to the cost allocation to the different pillars. On a measure level, KEPE’s estimation assigns positive growth and employmen</w:t>
      </w:r>
      <w:r>
        <w:rPr>
          <w:rFonts w:ascii="Times New Roman" w:eastAsia="Times New Roman" w:hAnsi="Times New Roman"/>
          <w:noProof/>
          <w:sz w:val="24"/>
          <w:szCs w:val="24"/>
        </w:rPr>
        <w:t>t impacts to 140 measures out of the 167 measures included in the analysis.</w:t>
      </w:r>
    </w:p>
    <w:p w:rsidR="00176373" w:rsidRDefault="00E474D1">
      <w:pPr>
        <w:jc w:val="both"/>
        <w:rPr>
          <w:rFonts w:ascii="Times New Roman" w:eastAsia="Times New Roman" w:hAnsi="Times New Roman"/>
          <w:noProof/>
          <w:sz w:val="24"/>
          <w:szCs w:val="24"/>
        </w:rPr>
      </w:pPr>
      <w:r>
        <w:rPr>
          <w:rFonts w:ascii="Times New Roman" w:eastAsia="Times New Roman" w:hAnsi="Times New Roman"/>
          <w:b/>
          <w:bCs/>
          <w:noProof/>
          <w:sz w:val="24"/>
          <w:szCs w:val="24"/>
        </w:rPr>
        <w:t xml:space="preserve">The investments foreseen under the recovery and resilience plan are expected to increase public investment substantially. </w:t>
      </w:r>
      <w:r>
        <w:rPr>
          <w:rFonts w:ascii="Times New Roman" w:eastAsia="Times New Roman" w:hAnsi="Times New Roman"/>
          <w:noProof/>
          <w:sz w:val="24"/>
          <w:szCs w:val="24"/>
        </w:rPr>
        <w:t xml:space="preserve">Public investment in Greece has been low since the global </w:t>
      </w:r>
      <w:r>
        <w:rPr>
          <w:rFonts w:ascii="Times New Roman" w:eastAsia="Times New Roman" w:hAnsi="Times New Roman"/>
          <w:noProof/>
          <w:sz w:val="24"/>
          <w:szCs w:val="24"/>
        </w:rPr>
        <w:t>financial crisis. While public investment between 1995 and 2009 had been hovering around 5% of GDP, it has dropped to an average of 3% between 2010 and 2020. This drop is to a large extent explained by the reduced national spending on investments due to bu</w:t>
      </w:r>
      <w:r>
        <w:rPr>
          <w:rFonts w:ascii="Times New Roman" w:eastAsia="Times New Roman" w:hAnsi="Times New Roman"/>
          <w:noProof/>
          <w:sz w:val="24"/>
          <w:szCs w:val="24"/>
        </w:rPr>
        <w:t>dgetary constraints and to the low absorption rate of the EU structural funds in the early years of the 2014-2020 programming period. According to the Commission’s 2020 autumn forecast, which did not include the investments under the Recovery and Resilienc</w:t>
      </w:r>
      <w:r>
        <w:rPr>
          <w:rFonts w:ascii="Times New Roman" w:eastAsia="Times New Roman" w:hAnsi="Times New Roman"/>
          <w:noProof/>
          <w:sz w:val="24"/>
          <w:szCs w:val="24"/>
        </w:rPr>
        <w:t>e Facility, public investment would have reached 4% of GDP in 2021-2022. Based on the analysis included in Table 4b of the plan, growth enhancing expenditure as a share of GDP would be on average 1.6 percentage points higher due to the measures financed th</w:t>
      </w:r>
      <w:r>
        <w:rPr>
          <w:rFonts w:ascii="Times New Roman" w:eastAsia="Times New Roman" w:hAnsi="Times New Roman"/>
          <w:noProof/>
          <w:sz w:val="24"/>
          <w:szCs w:val="24"/>
        </w:rPr>
        <w:t>rough non-repayable financial support of the Recovery and Resilience Facility compared to the baseline. This is broadly in line with the additional impact assumed by the Commission’s 2021 spring forecast, which expects public investments to reach 5% of GDP</w:t>
      </w:r>
      <w:r>
        <w:rPr>
          <w:rFonts w:ascii="Times New Roman" w:eastAsia="Times New Roman" w:hAnsi="Times New Roman"/>
          <w:noProof/>
          <w:sz w:val="24"/>
          <w:szCs w:val="24"/>
        </w:rPr>
        <w:t xml:space="preserve"> in 2021 and 6% in 2022.</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Strengthening social cohesion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scars on employment caused by the global financial crisis had not been healed before the current pandemic crisis.</w:t>
      </w:r>
      <w:r>
        <w:rPr>
          <w:rFonts w:ascii="Times New Roman" w:eastAsia="Times New Roman" w:hAnsi="Times New Roman" w:cs="Times New Roman"/>
          <w:noProof/>
          <w:sz w:val="24"/>
          <w:szCs w:val="24"/>
        </w:rPr>
        <w:t xml:space="preserve"> Employment and participation levels have been low, and unemployment is still the hi</w:t>
      </w:r>
      <w:r>
        <w:rPr>
          <w:rFonts w:ascii="Times New Roman" w:eastAsia="Times New Roman" w:hAnsi="Times New Roman" w:cs="Times New Roman"/>
          <w:noProof/>
          <w:sz w:val="24"/>
          <w:szCs w:val="24"/>
        </w:rPr>
        <w:t>ghest in the EU despite its downward trend since 2013. Youth unemployment and long-term unemployment have been particularly and persistently high, which is detrimental to social cohesion.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presents a comprehensive set of mea</w:t>
      </w:r>
      <w:r>
        <w:rPr>
          <w:rFonts w:ascii="Times New Roman" w:eastAsia="Times New Roman" w:hAnsi="Times New Roman" w:cs="Times New Roman"/>
          <w:b/>
          <w:bCs/>
          <w:noProof/>
          <w:sz w:val="24"/>
          <w:szCs w:val="24"/>
        </w:rPr>
        <w:t xml:space="preserve">sures to address labour market deficiencies and to improve social cohesion. </w:t>
      </w:r>
      <w:r>
        <w:rPr>
          <w:rFonts w:ascii="Times New Roman" w:eastAsia="Times New Roman" w:hAnsi="Times New Roman" w:cs="Times New Roman"/>
          <w:noProof/>
          <w:sz w:val="24"/>
          <w:szCs w:val="24"/>
        </w:rPr>
        <w:t>These policies include investments in human capital, activation policies and social services, fighting inequalities, modernising the labour market, and increasing social inclusion.</w:t>
      </w:r>
      <w:r>
        <w:rPr>
          <w:rFonts w:ascii="Times New Roman" w:eastAsia="Times New Roman" w:hAnsi="Times New Roman" w:cs="Times New Roman"/>
          <w:noProof/>
          <w:sz w:val="24"/>
          <w:szCs w:val="24"/>
        </w:rPr>
        <w:t xml:space="preserve"> The plan provides a detailed mapping of selected interventions to address the vulnerabilities identified by the Social Scoreboard. According to the estimation of the plan, the implementation of all its measures could lead to 180 000 – 200 000 new permanen</w:t>
      </w:r>
      <w:r>
        <w:rPr>
          <w:rFonts w:ascii="Times New Roman" w:eastAsia="Times New Roman" w:hAnsi="Times New Roman" w:cs="Times New Roman"/>
          <w:noProof/>
          <w:sz w:val="24"/>
          <w:szCs w:val="24"/>
        </w:rPr>
        <w:t>t jobs.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Measures under the third pillar of the plan provide the backbone of strengthening social cohesion and contribute to the European Pillar of Social Rights by improving several labour market and social indicators.</w:t>
      </w:r>
      <w:r>
        <w:rPr>
          <w:rFonts w:ascii="Times New Roman" w:eastAsia="Times New Roman" w:hAnsi="Times New Roman" w:cs="Times New Roman"/>
          <w:noProof/>
          <w:sz w:val="24"/>
          <w:szCs w:val="24"/>
        </w:rPr>
        <w:t xml:space="preserve"> The measures of component 3.1 aim to </w:t>
      </w:r>
      <w:r>
        <w:rPr>
          <w:rFonts w:ascii="Times New Roman" w:eastAsia="Times New Roman" w:hAnsi="Times New Roman" w:cs="Times New Roman"/>
          <w:noProof/>
          <w:sz w:val="24"/>
          <w:szCs w:val="24"/>
        </w:rPr>
        <w:t>build capacities of employment and social structures, strengthen institutions and reduce vulnerabilities to shocks through a thorough revision of the labour code, and improvements in public administration efficiency (digitalisation of employment and social</w:t>
      </w:r>
      <w:r>
        <w:rPr>
          <w:rFonts w:ascii="Times New Roman" w:eastAsia="Times New Roman" w:hAnsi="Times New Roman" w:cs="Times New Roman"/>
          <w:noProof/>
          <w:sz w:val="24"/>
          <w:szCs w:val="24"/>
        </w:rPr>
        <w:t xml:space="preserve"> security systems and better labour market monitoring). The investments in active labour market policies and reforms of passive labour market policies to remove disincentives to participation are conducive to reducing unemployment and increasing employment</w:t>
      </w:r>
      <w:r>
        <w:rPr>
          <w:rFonts w:ascii="Times New Roman" w:eastAsia="Times New Roman" w:hAnsi="Times New Roman" w:cs="Times New Roman"/>
          <w:noProof/>
          <w:sz w:val="24"/>
          <w:szCs w:val="24"/>
        </w:rPr>
        <w:t>. They include programmes of hiring incentives combined with upskilling, designed in line with the Commission Recommendation on an effective</w:t>
      </w:r>
      <w:r>
        <w:rPr>
          <w:noProof/>
        </w:rPr>
        <w:t xml:space="preserve"> </w:t>
      </w:r>
      <w:r>
        <w:rPr>
          <w:rFonts w:ascii="Times New Roman" w:eastAsia="Times New Roman" w:hAnsi="Times New Roman" w:cs="Times New Roman"/>
          <w:noProof/>
          <w:sz w:val="24"/>
          <w:szCs w:val="24"/>
        </w:rPr>
        <w:t>active support to employment following the COVID-19 crisis (EASE). Component 3.2 improves the quality of human capi</w:t>
      </w:r>
      <w:r>
        <w:rPr>
          <w:rFonts w:ascii="Times New Roman" w:eastAsia="Times New Roman" w:hAnsi="Times New Roman" w:cs="Times New Roman"/>
          <w:noProof/>
          <w:sz w:val="24"/>
          <w:szCs w:val="24"/>
        </w:rPr>
        <w:t>tal through increased spending on education, training, reskilling, and upskilling alongside a reform of the life-long learning system. This is expected to address another long-standing vulnerability of the Greek economy: skill mismatches which contribute t</w:t>
      </w:r>
      <w:r>
        <w:rPr>
          <w:rFonts w:ascii="Times New Roman" w:eastAsia="Times New Roman" w:hAnsi="Times New Roman" w:cs="Times New Roman"/>
          <w:noProof/>
          <w:sz w:val="24"/>
          <w:szCs w:val="24"/>
        </w:rPr>
        <w:t>o long-term unemployment. Component 3.4 promotes labour market integration of vulnerable groups such as persons with disabilities refugees and Roma. It also improves availability of early childhood education and care and access to effective social policies</w:t>
      </w:r>
      <w:r>
        <w:rPr>
          <w:rFonts w:ascii="Times New Roman" w:eastAsia="Times New Roman" w:hAnsi="Times New Roman" w:cs="Times New Roman"/>
          <w:noProof/>
          <w:sz w:val="24"/>
          <w:szCs w:val="24"/>
        </w:rPr>
        <w:t xml:space="preserve"> through digital transformation of the social protection system and development of social services, notably for vulnerable children and for persons with disabilities.</w:t>
      </w:r>
      <w:r>
        <w:rPr>
          <w:noProof/>
        </w:rPr>
        <w:t xml:space="preserve"> </w:t>
      </w:r>
    </w:p>
    <w:p w:rsidR="00176373" w:rsidRDefault="00E474D1">
      <w:pPr>
        <w:pStyle w:val="paragraph"/>
        <w:keepNext/>
        <w:jc w:val="both"/>
        <w:rPr>
          <w:noProof/>
        </w:rPr>
      </w:pPr>
      <w:r>
        <w:rPr>
          <w:noProof/>
        </w:rPr>
        <w:t xml:space="preserve">Box </w:t>
      </w:r>
      <w:r>
        <w:rPr>
          <w:noProof/>
        </w:rPr>
        <w:fldChar w:fldCharType="begin"/>
      </w:r>
      <w:r>
        <w:rPr>
          <w:noProof/>
        </w:rPr>
        <w:instrText xml:space="preserve"> SEQ Box \* ARABIC </w:instrText>
      </w:r>
      <w:r>
        <w:rPr>
          <w:noProof/>
        </w:rPr>
        <w:fldChar w:fldCharType="separate"/>
      </w:r>
      <w:r>
        <w:rPr>
          <w:noProof/>
        </w:rPr>
        <w:t>3</w:t>
      </w:r>
      <w:r>
        <w:rPr>
          <w:noProof/>
        </w:rPr>
        <w:fldChar w:fldCharType="end"/>
      </w:r>
      <w:r>
        <w:rPr>
          <w:noProof/>
        </w:rPr>
        <w:t xml:space="preserve"> Employment and social challenges in light of the Social Scoreboard accompanying the European Pillar of Social Rights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176373">
        <w:tc>
          <w:tcPr>
            <w:tcW w:w="9350" w:type="dxa"/>
          </w:tcPr>
          <w:p w:rsidR="00176373" w:rsidRDefault="00E474D1">
            <w:pPr>
              <w:spacing w:after="120" w:line="276" w:lineRule="auto"/>
              <w:ind w:right="85"/>
              <w:jc w:val="both"/>
              <w:rPr>
                <w:rFonts w:ascii="Times New Roman" w:hAnsi="Times New Roman" w:cs="Times New Roman"/>
                <w:noProof/>
                <w:color w:val="000000" w:themeColor="text1"/>
              </w:rPr>
            </w:pPr>
            <w:r>
              <w:rPr>
                <w:rFonts w:ascii="Times New Roman" w:hAnsi="Times New Roman" w:cs="Times New Roman"/>
                <w:b/>
                <w:bCs/>
                <w:noProof/>
                <w:color w:val="000000" w:themeColor="text1"/>
              </w:rPr>
              <w:t xml:space="preserve">The Social Scoreboard supporting the European Pillar of Social Rights points to a number of employment and social challenges in Greece. </w:t>
            </w:r>
            <w:r>
              <w:rPr>
                <w:rFonts w:ascii="Times New Roman" w:hAnsi="Times New Roman" w:cs="Times New Roman"/>
                <w:noProof/>
                <w:color w:val="000000" w:themeColor="text1"/>
              </w:rPr>
              <w:t>Th</w:t>
            </w:r>
            <w:r>
              <w:rPr>
                <w:rFonts w:ascii="Times New Roman" w:hAnsi="Times New Roman" w:cs="Times New Roman"/>
                <w:noProof/>
                <w:color w:val="000000" w:themeColor="text1"/>
              </w:rPr>
              <w:t>e COVID-19 crisis has halted the positive labour market developments observed in the past years and risks leading to an increase in the share of people at risk of poverty or social exclusion (AROPE).</w:t>
            </w:r>
            <w:r>
              <w:rPr>
                <w:rFonts w:ascii="Times New Roman" w:hAnsi="Times New Roman" w:cs="Times New Roman"/>
                <w:b/>
                <w:bCs/>
                <w:noProof/>
                <w:color w:val="000000" w:themeColor="text1"/>
              </w:rPr>
              <w:t xml:space="preserve"> </w:t>
            </w:r>
            <w:r>
              <w:rPr>
                <w:rFonts w:ascii="Times New Roman" w:hAnsi="Times New Roman" w:cs="Times New Roman"/>
                <w:noProof/>
                <w:color w:val="000000" w:themeColor="text1"/>
              </w:rPr>
              <w:t>The unemployment rate, at 15.8% in December 2020, is far</w:t>
            </w:r>
            <w:r>
              <w:rPr>
                <w:rFonts w:ascii="Times New Roman" w:hAnsi="Times New Roman" w:cs="Times New Roman"/>
                <w:noProof/>
                <w:color w:val="000000" w:themeColor="text1"/>
              </w:rPr>
              <w:t xml:space="preserve"> above the EU average (7.5% at the same point in time). The share of long-term unemployed remains extremely high in Greece (66.4% in Q4 2020). The overall employment rate remains the lowest in the EU at 61.5% in Q4 2020 and the employment rate of women is </w:t>
            </w:r>
            <w:r>
              <w:rPr>
                <w:rFonts w:ascii="Times New Roman" w:hAnsi="Times New Roman" w:cs="Times New Roman"/>
                <w:noProof/>
                <w:color w:val="000000" w:themeColor="text1"/>
              </w:rPr>
              <w:t>about 18 pps below that of men. This very large gender employment gap is only partly attributable to caring responsibilities of women. A remarkable increase has been observed in childcare enrolment rates in recent years, with 32.4% of children aged less th</w:t>
            </w:r>
            <w:r>
              <w:rPr>
                <w:rFonts w:ascii="Times New Roman" w:hAnsi="Times New Roman" w:cs="Times New Roman"/>
                <w:noProof/>
                <w:color w:val="000000" w:themeColor="text1"/>
              </w:rPr>
              <w:t xml:space="preserve">an 3 years in formal childcare in 2019 compared to 20.5% in 2017. </w:t>
            </w:r>
          </w:p>
          <w:p w:rsidR="00176373" w:rsidRDefault="00E474D1">
            <w:pPr>
              <w:spacing w:after="120" w:line="276" w:lineRule="auto"/>
              <w:ind w:right="85"/>
              <w:jc w:val="both"/>
              <w:rPr>
                <w:rFonts w:ascii="Times New Roman" w:hAnsi="Times New Roman" w:cs="Times New Roman"/>
                <w:noProof/>
                <w:color w:val="000000" w:themeColor="text1"/>
              </w:rPr>
            </w:pPr>
            <w:r>
              <w:rPr>
                <w:rFonts w:ascii="Times New Roman" w:hAnsi="Times New Roman" w:cs="Times New Roman"/>
                <w:noProof/>
                <w:color w:val="000000" w:themeColor="text1"/>
                <w:highlight w:val="cyan"/>
                <w:lang w:eastAsia="en-GB"/>
              </w:rPr>
              <w:drawing>
                <wp:anchor distT="0" distB="0" distL="114300" distR="114300" simplePos="0" relativeHeight="251658244" behindDoc="1" locked="0" layoutInCell="1" allowOverlap="1">
                  <wp:simplePos x="0" y="0"/>
                  <wp:positionH relativeFrom="column">
                    <wp:posOffset>-4445</wp:posOffset>
                  </wp:positionH>
                  <wp:positionV relativeFrom="paragraph">
                    <wp:posOffset>60325</wp:posOffset>
                  </wp:positionV>
                  <wp:extent cx="3062126" cy="5184000"/>
                  <wp:effectExtent l="0" t="0" r="5080" b="0"/>
                  <wp:wrapTight wrapText="bothSides">
                    <wp:wrapPolygon edited="0">
                      <wp:start x="0" y="0"/>
                      <wp:lineTo x="0" y="21513"/>
                      <wp:lineTo x="21501" y="21513"/>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3062126" cy="5184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0000" w:themeColor="text1"/>
              </w:rPr>
              <w:t xml:space="preserve">The employment situation of young people in Greece is critical. </w:t>
            </w:r>
            <w:r>
              <w:rPr>
                <w:rFonts w:ascii="Times New Roman" w:hAnsi="Times New Roman" w:cs="Times New Roman"/>
                <w:noProof/>
                <w:color w:val="000000" w:themeColor="text1"/>
              </w:rPr>
              <w:t>Despite a continued decline in recent years, the share of young people aged 15-29 not in education, employment or training (</w:t>
            </w:r>
            <w:r>
              <w:rPr>
                <w:rFonts w:ascii="Times New Roman" w:hAnsi="Times New Roman" w:cs="Times New Roman"/>
                <w:noProof/>
                <w:color w:val="000000" w:themeColor="text1"/>
              </w:rPr>
              <w:t xml:space="preserve">NEET) remained among the highest in the EU and has significantly worsened in the current crisis (19.1% in Q4 2020). Of particular concern is the situation for the 25-29 age group, for which the NEET rate in 2020 was double the one for the 15-24 age group. </w:t>
            </w:r>
          </w:p>
          <w:p w:rsidR="00176373" w:rsidRDefault="00E474D1">
            <w:pPr>
              <w:spacing w:after="120" w:line="276" w:lineRule="auto"/>
              <w:ind w:right="85"/>
              <w:jc w:val="both"/>
              <w:rPr>
                <w:rFonts w:ascii="Times New Roman" w:hAnsi="Times New Roman" w:cs="Times New Roman"/>
                <w:noProof/>
                <w:color w:val="000000"/>
              </w:rPr>
            </w:pPr>
            <w:r>
              <w:rPr>
                <w:rFonts w:ascii="Times New Roman" w:hAnsi="Times New Roman" w:cs="Times New Roman"/>
                <w:b/>
                <w:bCs/>
                <w:noProof/>
                <w:color w:val="000000" w:themeColor="text1"/>
              </w:rPr>
              <w:t>While poverty has been gradually decreasing in the years before the crisis, the pandemic may reverse this trend</w:t>
            </w:r>
            <w:r>
              <w:rPr>
                <w:rFonts w:ascii="Times New Roman" w:hAnsi="Times New Roman" w:cs="Times New Roman"/>
                <w:noProof/>
                <w:color w:val="000000" w:themeColor="text1"/>
              </w:rPr>
              <w:t>. In 2019, the at risk of poverty or social inclusion rate was among the highest in the EU at 30%, well above the EU average (20.9%). The impact</w:t>
            </w:r>
            <w:r>
              <w:rPr>
                <w:rFonts w:ascii="Times New Roman" w:hAnsi="Times New Roman" w:cs="Times New Roman"/>
                <w:noProof/>
                <w:color w:val="000000" w:themeColor="text1"/>
              </w:rPr>
              <w:t xml:space="preserve"> of social transfers on poverty reduction, at 22.8%, is much below the EU average (32.4% in the EU). </w:t>
            </w:r>
          </w:p>
          <w:p w:rsidR="00176373" w:rsidRDefault="00E474D1">
            <w:pPr>
              <w:spacing w:after="120" w:line="276" w:lineRule="auto"/>
              <w:ind w:right="85"/>
              <w:jc w:val="both"/>
              <w:rPr>
                <w:rFonts w:ascii="Times New Roman" w:hAnsi="Times New Roman" w:cs="Times New Roman"/>
                <w:noProof/>
                <w:color w:val="000000"/>
              </w:rPr>
            </w:pPr>
            <w:r>
              <w:rPr>
                <w:rFonts w:ascii="Times New Roman" w:hAnsi="Times New Roman" w:cs="Times New Roman"/>
                <w:b/>
                <w:bCs/>
                <w:noProof/>
              </w:rPr>
              <w:t>The recovery and resilience plan submitted by Greece addresses a multitude of employment and social challenges relevant for the implementation of the Pill</w:t>
            </w:r>
            <w:r>
              <w:rPr>
                <w:rFonts w:ascii="Times New Roman" w:hAnsi="Times New Roman" w:cs="Times New Roman"/>
                <w:b/>
                <w:bCs/>
                <w:noProof/>
              </w:rPr>
              <w:t>ar</w:t>
            </w:r>
            <w:r>
              <w:rPr>
                <w:rFonts w:ascii="Times New Roman" w:hAnsi="Times New Roman" w:cs="Times New Roman"/>
                <w:noProof/>
              </w:rPr>
              <w:t>. To foster equal opportunities and access to the labour market, the plan envisages a new strategy for lifelong learning and a modernisation of the upskilling and reskilling system. The reform would redesign and upgrade the current fragmented programmes,</w:t>
            </w:r>
            <w:r>
              <w:rPr>
                <w:rFonts w:ascii="Times New Roman" w:hAnsi="Times New Roman" w:cs="Times New Roman"/>
                <w:noProof/>
              </w:rPr>
              <w:t xml:space="preserve"> establishing new curricula linked to labour market needs and an assessment framework for the providers of upskilling programmes. Investments to further upgrading vocational education and training are also envisaged. To improve labour market dynamics and w</w:t>
            </w:r>
            <w:r>
              <w:rPr>
                <w:rFonts w:ascii="Times New Roman" w:hAnsi="Times New Roman" w:cs="Times New Roman"/>
                <w:noProof/>
              </w:rPr>
              <w:t>orking conditions, Greece also plans a labour law reform aimed at improving the labour market functioning and significant investments in wage subsidies and upskilling/reskilling programmes that will complement activation programmes supported by the Europea</w:t>
            </w:r>
            <w:r>
              <w:rPr>
                <w:rFonts w:ascii="Times New Roman" w:hAnsi="Times New Roman" w:cs="Times New Roman"/>
                <w:noProof/>
              </w:rPr>
              <w:t>n Social Fund. Reforms improving incentives to work and investments in enhancing the public employment services are also foreseen. However, the structural reform needed to ensure timely and tailored delivery of active labour market policies to jobseekers n</w:t>
            </w:r>
            <w:r>
              <w:rPr>
                <w:rFonts w:ascii="Times New Roman" w:hAnsi="Times New Roman" w:cs="Times New Roman"/>
                <w:noProof/>
              </w:rPr>
              <w:t xml:space="preserve">ationwide is not sufficiently addressed. </w:t>
            </w:r>
          </w:p>
          <w:p w:rsidR="00176373" w:rsidRDefault="00E474D1">
            <w:pPr>
              <w:jc w:val="both"/>
              <w:rPr>
                <w:rFonts w:ascii="Times New Roman" w:eastAsia="Times New Roman" w:hAnsi="Times New Roman" w:cs="Times New Roman"/>
                <w:noProof/>
                <w:sz w:val="24"/>
                <w:szCs w:val="24"/>
              </w:rPr>
            </w:pPr>
            <w:r>
              <w:rPr>
                <w:rFonts w:ascii="Times New Roman" w:hAnsi="Times New Roman" w:cs="Times New Roman"/>
                <w:b/>
                <w:bCs/>
                <w:noProof/>
                <w:color w:val="000000" w:themeColor="text1"/>
              </w:rPr>
              <w:t>With more people likely to fall back on the basic safety nets due to the COVID-19 crisis, reforms on social protection and inclusion are important in order to provide much needed support, in synergy with European S</w:t>
            </w:r>
            <w:r>
              <w:rPr>
                <w:rFonts w:ascii="Times New Roman" w:hAnsi="Times New Roman" w:cs="Times New Roman"/>
                <w:b/>
                <w:bCs/>
                <w:noProof/>
                <w:color w:val="000000" w:themeColor="text1"/>
              </w:rPr>
              <w:t>ocial Fund funding</w:t>
            </w:r>
            <w:r>
              <w:rPr>
                <w:rFonts w:ascii="Times New Roman" w:hAnsi="Times New Roman" w:cs="Times New Roman"/>
                <w:noProof/>
                <w:color w:val="000000" w:themeColor="text1"/>
              </w:rPr>
              <w:t>.</w:t>
            </w:r>
            <w:r>
              <w:rPr>
                <w:rFonts w:ascii="Times New Roman" w:hAnsi="Times New Roman" w:cs="Times New Roman"/>
                <w:noProof/>
              </w:rPr>
              <w:t xml:space="preserve"> The plan includes a multitude of interventions in the social area aimed, inter alia, at expanding access to early childhood education and care, deinstitutionalization of children and adolescents, support to persons with disabilities and</w:t>
            </w:r>
            <w:r>
              <w:rPr>
                <w:rFonts w:ascii="Times New Roman" w:hAnsi="Times New Roman" w:cs="Times New Roman"/>
                <w:noProof/>
              </w:rPr>
              <w:t xml:space="preserve"> the labour market integration of vulnerable groups.</w:t>
            </w:r>
            <w:r>
              <w:rPr>
                <w:rFonts w:ascii="Times New Roman" w:hAnsi="Times New Roman" w:cs="Times New Roman"/>
                <w:b/>
                <w:bCs/>
                <w:noProof/>
                <w:color w:val="000000" w:themeColor="text1"/>
              </w:rPr>
              <w:t xml:space="preserve"> </w:t>
            </w:r>
            <w:r>
              <w:rPr>
                <w:rFonts w:ascii="Times New Roman" w:hAnsi="Times New Roman" w:cs="Times New Roman"/>
                <w:noProof/>
                <w:color w:val="000000" w:themeColor="text1"/>
              </w:rPr>
              <w:t>Nonetheless, while relevant to address the investment needs related to social inclusion, the interventions lack an overall framework for strengthening access to social services, including housing. Finall</w:t>
            </w:r>
            <w:r>
              <w:rPr>
                <w:rFonts w:ascii="Times New Roman" w:hAnsi="Times New Roman" w:cs="Times New Roman"/>
                <w:noProof/>
                <w:color w:val="000000" w:themeColor="text1"/>
              </w:rPr>
              <w:t>y, the plan includes measures aimed at reforming and expanding primary health care and investing in the digitalisation of health services. These measures are important to help further reduce the still high self-reported unmet needs for medical care (8.1% c</w:t>
            </w:r>
            <w:r>
              <w:rPr>
                <w:rFonts w:ascii="Times New Roman" w:hAnsi="Times New Roman" w:cs="Times New Roman"/>
                <w:noProof/>
                <w:color w:val="000000" w:themeColor="text1"/>
              </w:rPr>
              <w:t>ompared to 1.7% in the EU in 2019).</w:t>
            </w:r>
          </w:p>
        </w:tc>
      </w:tr>
    </w:tbl>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Reducing vulnerability and increasing resilience</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Several measures and components aim to reduce the country’s vulnerabilities and to increase its capacity to absorb shocks.</w:t>
      </w:r>
      <w:r>
        <w:rPr>
          <w:rFonts w:ascii="Times New Roman" w:eastAsia="Times New Roman" w:hAnsi="Times New Roman" w:cs="Times New Roman"/>
          <w:noProof/>
          <w:sz w:val="24"/>
          <w:szCs w:val="24"/>
        </w:rPr>
        <w:t xml:space="preserve"> The main vulnerabilities identified by the Macroeconomic Imbalances Procedure are: 1) high public debt, 2) high ratio of non-performing loans in the banking sector, 3) high stock of external liabilities, 4) low activity and employment rates and high unemp</w:t>
      </w:r>
      <w:r>
        <w:rPr>
          <w:rFonts w:ascii="Times New Roman" w:eastAsia="Times New Roman" w:hAnsi="Times New Roman" w:cs="Times New Roman"/>
          <w:noProof/>
          <w:sz w:val="24"/>
          <w:szCs w:val="24"/>
        </w:rPr>
        <w:t>loyment especially among the young, and 5) low growth potential. These vulnerabilities typically have inertia, and correcting them requires considerable amount of time. The common feature of these imbalances is that their correction requires improving grow</w:t>
      </w:r>
      <w:r>
        <w:rPr>
          <w:rFonts w:ascii="Times New Roman" w:eastAsia="Times New Roman" w:hAnsi="Times New Roman" w:cs="Times New Roman"/>
          <w:noProof/>
          <w:sz w:val="24"/>
          <w:szCs w:val="24"/>
        </w:rPr>
        <w:t xml:space="preserve">th potential and employment in a sustainable and inclusive manner. Most of the measures discussed in the previous two sub-sections are therefore highly relevant here too.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capacity to withstand shocks crucially depends on at least four factors.</w:t>
      </w:r>
      <w:r>
        <w:rPr>
          <w:rFonts w:ascii="Times New Roman" w:eastAsia="Times New Roman" w:hAnsi="Times New Roman" w:cs="Times New Roman"/>
          <w:noProof/>
          <w:sz w:val="24"/>
          <w:szCs w:val="24"/>
        </w:rPr>
        <w:t xml:space="preserve"> First, </w:t>
      </w:r>
      <w:r>
        <w:rPr>
          <w:rFonts w:ascii="Times New Roman" w:eastAsia="Times New Roman" w:hAnsi="Times New Roman" w:cs="Times New Roman"/>
          <w:noProof/>
          <w:sz w:val="24"/>
          <w:szCs w:val="24"/>
        </w:rPr>
        <w:t>sufficiently flexible labour market complemented with well targeted and effective social safety net is necessary to limit damages to employment in case of a negative shock. Second, fiscal policy should be in a position to act counter-cyclically, allowing t</w:t>
      </w:r>
      <w:r>
        <w:rPr>
          <w:rFonts w:ascii="Times New Roman" w:eastAsia="Times New Roman" w:hAnsi="Times New Roman" w:cs="Times New Roman"/>
          <w:noProof/>
          <w:sz w:val="24"/>
          <w:szCs w:val="24"/>
        </w:rPr>
        <w:t>he automatic stabilisers to operate freely, while safeguarding sustainability of public finances. Third, the public administration should have the capacity to implement coordinated policy responses in time of need, and to be a helpful partner of the privat</w:t>
      </w:r>
      <w:r>
        <w:rPr>
          <w:rFonts w:ascii="Times New Roman" w:eastAsia="Times New Roman" w:hAnsi="Times New Roman" w:cs="Times New Roman"/>
          <w:noProof/>
          <w:sz w:val="24"/>
          <w:szCs w:val="24"/>
        </w:rPr>
        <w:t xml:space="preserve">e sector in normal times too. Finally, a well-functioning financial market plays a crucial role in both preventing crises and in mitigating their impacts by avoiding financial acceleration.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planned reforms in the labour market are expected to improve </w:t>
      </w:r>
      <w:r>
        <w:rPr>
          <w:rFonts w:ascii="Times New Roman" w:eastAsia="Times New Roman" w:hAnsi="Times New Roman" w:cs="Times New Roman"/>
          <w:b/>
          <w:bCs/>
          <w:noProof/>
          <w:sz w:val="24"/>
          <w:szCs w:val="24"/>
        </w:rPr>
        <w:t xml:space="preserve">its resilience. </w:t>
      </w:r>
      <w:r>
        <w:rPr>
          <w:rFonts w:ascii="Times New Roman" w:eastAsia="Times New Roman" w:hAnsi="Times New Roman" w:cs="Times New Roman"/>
          <w:noProof/>
          <w:sz w:val="24"/>
          <w:szCs w:val="24"/>
        </w:rPr>
        <w:t>As discussed above, the modernisation of the labour code under component 3.1 is expected to bring a</w:t>
      </w:r>
      <w:r>
        <w:rPr>
          <w:noProof/>
        </w:rPr>
        <w:t xml:space="preserve"> </w:t>
      </w:r>
      <w:r>
        <w:rPr>
          <w:rFonts w:ascii="Times New Roman" w:eastAsia="Times New Roman" w:hAnsi="Times New Roman" w:cs="Times New Roman"/>
          <w:noProof/>
          <w:sz w:val="24"/>
          <w:szCs w:val="24"/>
        </w:rPr>
        <w:t>structural reform of individual labour law, collective labour law, trade union law, and of monitoring systems. Under the same component, siz</w:t>
      </w:r>
      <w:r>
        <w:rPr>
          <w:rFonts w:ascii="Times New Roman" w:eastAsia="Times New Roman" w:hAnsi="Times New Roman" w:cs="Times New Roman"/>
          <w:noProof/>
          <w:sz w:val="24"/>
          <w:szCs w:val="24"/>
        </w:rPr>
        <w:t>eable investments in active labour market policies, including reskilling and upskilling as well as hiring incentives, accompanied by enhancement of the public employment service will help reduce unemployment. Passive labour market policies will be redesign</w:t>
      </w:r>
      <w:r>
        <w:rPr>
          <w:rFonts w:ascii="Times New Roman" w:eastAsia="Times New Roman" w:hAnsi="Times New Roman" w:cs="Times New Roman"/>
          <w:noProof/>
          <w:sz w:val="24"/>
          <w:szCs w:val="24"/>
        </w:rPr>
        <w:t>ed to provide better incentives to return to work. Labour market resilience is also expected to be strengthened by further reforms and investments that promote and support lifelong learning (component 4.3 and 3.2), vocational training (component 3.2) and o</w:t>
      </w:r>
      <w:r>
        <w:rPr>
          <w:rFonts w:ascii="Times New Roman" w:eastAsia="Times New Roman" w:hAnsi="Times New Roman" w:cs="Times New Roman"/>
          <w:noProof/>
          <w:sz w:val="24"/>
          <w:szCs w:val="24"/>
        </w:rPr>
        <w:t>ther types of education (component 3.4).</w:t>
      </w:r>
    </w:p>
    <w:p w:rsidR="00176373" w:rsidRDefault="00E474D1">
      <w:p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 xml:space="preserve">Further strengthening of the tax and public administration are expected to support a more resilient economy. </w:t>
      </w:r>
      <w:r>
        <w:rPr>
          <w:rFonts w:ascii="Times New Roman" w:eastAsia="Times New Roman" w:hAnsi="Times New Roman" w:cs="Times New Roman"/>
          <w:noProof/>
          <w:sz w:val="24"/>
          <w:szCs w:val="24"/>
        </w:rPr>
        <w:t>Over the medium and long term, reducing tax evasion and creating a fair and growth-friendly tax environmen</w:t>
      </w:r>
      <w:r>
        <w:rPr>
          <w:rFonts w:ascii="Times New Roman" w:eastAsia="Times New Roman" w:hAnsi="Times New Roman" w:cs="Times New Roman"/>
          <w:noProof/>
          <w:sz w:val="24"/>
          <w:szCs w:val="24"/>
        </w:rPr>
        <w:t>t can be beneficial to provide fiscal space for necessary policy interventions. Component 4.1 improves revenue collection and administration through incentives to increase electronic transactions and through the digitalisation and automatisation of VAT ref</w:t>
      </w:r>
      <w:r>
        <w:rPr>
          <w:rFonts w:ascii="Times New Roman" w:eastAsia="Times New Roman" w:hAnsi="Times New Roman" w:cs="Times New Roman"/>
          <w:noProof/>
          <w:sz w:val="24"/>
          <w:szCs w:val="24"/>
        </w:rPr>
        <w:t xml:space="preserve">unds. Furthermore, there are several sub-projects that increase the capacities of the Independent Authority of Public Revenue, which shall be instrumental in fighting tax evasion. More broadly, there are several measures that improve public administration </w:t>
      </w:r>
      <w:r>
        <w:rPr>
          <w:rFonts w:ascii="Times New Roman" w:eastAsia="Times New Roman" w:hAnsi="Times New Roman" w:cs="Times New Roman"/>
          <w:noProof/>
          <w:sz w:val="24"/>
          <w:szCs w:val="24"/>
        </w:rPr>
        <w:t>in general, for example reforms under component 4.2, which is the principal component of modernising public administration, but also under component 2.2 by making the public administration more digital, and better enabled to react quickly to shocks, by qui</w:t>
      </w:r>
      <w:r>
        <w:rPr>
          <w:rFonts w:ascii="Times New Roman" w:eastAsia="Times New Roman" w:hAnsi="Times New Roman" w:cs="Times New Roman"/>
          <w:noProof/>
          <w:sz w:val="24"/>
          <w:szCs w:val="24"/>
        </w:rPr>
        <w:t>cker reaction trough more efficient and digital processes and closer and more direct connection to citizens and businesses.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w:t>
      </w:r>
      <w:r>
        <w:rPr>
          <w:noProof/>
        </w:rPr>
        <w:t xml:space="preserve"> </w:t>
      </w:r>
      <w:r>
        <w:rPr>
          <w:rFonts w:ascii="Times New Roman" w:eastAsia="Times New Roman" w:hAnsi="Times New Roman" w:cs="Times New Roman"/>
          <w:b/>
          <w:bCs/>
          <w:noProof/>
          <w:sz w:val="24"/>
          <w:szCs w:val="24"/>
        </w:rPr>
        <w:t xml:space="preserve">includes a number of reforms to strengthen the financial sector and capital markets </w:t>
      </w:r>
      <w:r>
        <w:rPr>
          <w:rFonts w:ascii="Times New Roman" w:eastAsia="Times New Roman" w:hAnsi="Times New Roman" w:cs="Times New Roman"/>
          <w:noProof/>
          <w:sz w:val="24"/>
          <w:szCs w:val="24"/>
        </w:rPr>
        <w:t>Measures aim to upgrade the necessary d</w:t>
      </w:r>
      <w:r>
        <w:rPr>
          <w:rFonts w:ascii="Times New Roman" w:eastAsia="Times New Roman" w:hAnsi="Times New Roman" w:cs="Times New Roman"/>
          <w:noProof/>
          <w:sz w:val="24"/>
          <w:szCs w:val="24"/>
        </w:rPr>
        <w:t>igital infrastructure needed to support the recently adopted insolvency framework that entered into force on 1</w:t>
      </w:r>
      <w:r>
        <w:rPr>
          <w:rFonts w:ascii="Times New Roman" w:eastAsia="Times New Roman" w:hAnsi="Times New Roman" w:cs="Times New Roman"/>
          <w:bCs/>
          <w:noProof/>
          <w:sz w:val="24"/>
          <w:szCs w:val="24"/>
        </w:rPr>
        <w:t> </w:t>
      </w:r>
      <w:r>
        <w:rPr>
          <w:rFonts w:ascii="Times New Roman" w:eastAsia="Times New Roman" w:hAnsi="Times New Roman" w:cs="Times New Roman"/>
          <w:noProof/>
          <w:sz w:val="24"/>
          <w:szCs w:val="24"/>
        </w:rPr>
        <w:t xml:space="preserve">June 2021 and was </w:t>
      </w:r>
      <w:r>
        <w:rPr>
          <w:rFonts w:ascii="Times New Roman" w:eastAsia="Times New Roman" w:hAnsi="Times New Roman" w:cs="Times New Roman"/>
          <w:bCs/>
          <w:noProof/>
          <w:sz w:val="24"/>
          <w:szCs w:val="24"/>
        </w:rPr>
        <w:t xml:space="preserve">assessed </w:t>
      </w:r>
      <w:r>
        <w:rPr>
          <w:rFonts w:ascii="Times New Roman" w:eastAsia="Times New Roman" w:hAnsi="Times New Roman" w:cs="Times New Roman"/>
          <w:noProof/>
          <w:sz w:val="24"/>
          <w:szCs w:val="24"/>
        </w:rPr>
        <w:t>under enhanced surveillance. Reforms under component 4.4 include an improved monitoring registry for private debt, the</w:t>
      </w:r>
      <w:r>
        <w:rPr>
          <w:rFonts w:ascii="Times New Roman" w:eastAsia="Times New Roman" w:hAnsi="Times New Roman" w:cs="Times New Roman"/>
          <w:noProof/>
          <w:sz w:val="24"/>
          <w:szCs w:val="24"/>
        </w:rPr>
        <w:t xml:space="preserve"> development of a public credit bureau, a central credit register, and a credit expansion observatory. These are all beneficial in reducing asymmetric information between public entities, financial institutions, households and businesses, which may lead to</w:t>
      </w:r>
      <w:r>
        <w:rPr>
          <w:rFonts w:ascii="Times New Roman" w:eastAsia="Times New Roman" w:hAnsi="Times New Roman" w:cs="Times New Roman"/>
          <w:noProof/>
          <w:sz w:val="24"/>
          <w:szCs w:val="24"/>
        </w:rPr>
        <w:t xml:space="preserve"> a more efficient allocation of credit, through the reduction of risk premia, as well as facilitate further growth in the secondary market for non-performing loans. The capital markets are expected to be strengthened through the </w:t>
      </w:r>
      <w:r>
        <w:rPr>
          <w:rFonts w:ascii="Times New Roman" w:hAnsi="Times New Roman" w:cs="Times New Roman"/>
          <w:noProof/>
          <w:sz w:val="24"/>
          <w:szCs w:val="24"/>
        </w:rPr>
        <w:t>codification and modernisat</w:t>
      </w:r>
      <w:r>
        <w:rPr>
          <w:rFonts w:ascii="Times New Roman" w:hAnsi="Times New Roman" w:cs="Times New Roman"/>
          <w:noProof/>
          <w:sz w:val="24"/>
          <w:szCs w:val="24"/>
        </w:rPr>
        <w:t>ion of the regulatory and legislative framework for capital markets and the digitalisation of the internal processes and organization of the Hellenic Capital Market Commission. These efforts aim to provide a more robust regulatory framework for the capital</w:t>
      </w:r>
      <w:r>
        <w:rPr>
          <w:rFonts w:ascii="Times New Roman" w:hAnsi="Times New Roman" w:cs="Times New Roman"/>
          <w:noProof/>
          <w:sz w:val="24"/>
          <w:szCs w:val="24"/>
        </w:rPr>
        <w:t xml:space="preserve"> markets, which could then complement bank financing. The Loan Facility proposed in the recovery and resilience plan is also expected to help both the financial sector through risk sharing and the corporate sector by providing cheaper financing, which may </w:t>
      </w:r>
      <w:r>
        <w:rPr>
          <w:rFonts w:ascii="Times New Roman" w:hAnsi="Times New Roman" w:cs="Times New Roman"/>
          <w:noProof/>
          <w:sz w:val="24"/>
          <w:szCs w:val="24"/>
        </w:rPr>
        <w:t>improve the resilience of the economy as a whole.</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Resilience is also expected to be improved through investments in and measures supporting the health care system. </w:t>
      </w:r>
      <w:r>
        <w:rPr>
          <w:rFonts w:ascii="Times New Roman" w:eastAsia="Times New Roman" w:hAnsi="Times New Roman" w:cs="Times New Roman"/>
          <w:noProof/>
          <w:sz w:val="24"/>
          <w:szCs w:val="24"/>
        </w:rPr>
        <w:t>The health care system in Greece currently has a number of structural problems including sup</w:t>
      </w:r>
      <w:r>
        <w:rPr>
          <w:rFonts w:ascii="Times New Roman" w:eastAsia="Times New Roman" w:hAnsi="Times New Roman" w:cs="Times New Roman"/>
          <w:noProof/>
          <w:sz w:val="24"/>
          <w:szCs w:val="24"/>
        </w:rPr>
        <w:t>plier-induced demand, lack of family doctors, insufficiently means-tested co-payments and limited investments, reflected in continually increasing public health-care spending. Component 3.3 sets out to remedy some of the current deficiencies. Health-care c</w:t>
      </w:r>
      <w:r>
        <w:rPr>
          <w:rFonts w:ascii="Times New Roman" w:eastAsia="Times New Roman" w:hAnsi="Times New Roman" w:cs="Times New Roman"/>
          <w:noProof/>
          <w:sz w:val="24"/>
          <w:szCs w:val="24"/>
        </w:rPr>
        <w:t>osts and their monitoring are expected to be rationalised including through digitalisation and by implementing an organisational reform of the health care system establishing an activity-based reimbursement system and a quality assessment framework. Health</w:t>
      </w:r>
      <w:r>
        <w:rPr>
          <w:rFonts w:ascii="Times New Roman" w:eastAsia="Times New Roman" w:hAnsi="Times New Roman" w:cs="Times New Roman"/>
          <w:noProof/>
          <w:sz w:val="24"/>
          <w:szCs w:val="24"/>
        </w:rPr>
        <w:t xml:space="preserve"> infrastructure will be upgraded through much-needed investments, and providers will be incentivised to carry out R&amp;D, as part of the clawbacks will be eligible for writing-off against R&amp;D expenditure. The measures to strengthen primary health care and the</w:t>
      </w:r>
      <w:r>
        <w:rPr>
          <w:rFonts w:ascii="Times New Roman" w:eastAsia="Times New Roman" w:hAnsi="Times New Roman" w:cs="Times New Roman"/>
          <w:noProof/>
          <w:sz w:val="24"/>
          <w:szCs w:val="24"/>
        </w:rPr>
        <w:t xml:space="preserve"> creation of a national public health prevention strategy can contribute to the general improvement of the health state of the population and to increasing the efficiency and the sustainability and resilience of the health care system.</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Cohesion and converg</w:t>
      </w:r>
      <w:r>
        <w:rPr>
          <w:rFonts w:ascii="Times New Roman" w:eastAsia="Times New Roman" w:hAnsi="Times New Roman" w:cs="Times New Roman"/>
          <w:i/>
          <w:iCs/>
          <w:noProof/>
          <w:sz w:val="24"/>
          <w:szCs w:val="24"/>
        </w:rPr>
        <w:t>ence</w:t>
      </w:r>
    </w:p>
    <w:p w:rsidR="00176373" w:rsidRDefault="00E474D1">
      <w:p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 xml:space="preserve">The recovery and resilience plan is expected to contribute to enhancing economic, social and territorial cohesion and convergence. </w:t>
      </w:r>
      <w:r>
        <w:rPr>
          <w:rFonts w:ascii="Times New Roman" w:eastAsia="Times New Roman" w:hAnsi="Times New Roman" w:cs="Times New Roman"/>
          <w:noProof/>
          <w:sz w:val="24"/>
          <w:szCs w:val="24"/>
        </w:rPr>
        <w:t>There are currently considerable economic, social and territorial disparities in Greece. The problems of high unemployme</w:t>
      </w:r>
      <w:r>
        <w:rPr>
          <w:rFonts w:ascii="Times New Roman" w:eastAsia="Times New Roman" w:hAnsi="Times New Roman" w:cs="Times New Roman"/>
          <w:noProof/>
          <w:sz w:val="24"/>
          <w:szCs w:val="24"/>
        </w:rPr>
        <w:t>nt and the resulting poverty (especially among children and working-age population)</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persist despite improvements brought about by economic recovery prior to the COVID-19 crisis and social welfare reforms including, most notably, the introduction of the gua</w:t>
      </w:r>
      <w:r>
        <w:rPr>
          <w:rFonts w:ascii="Times New Roman" w:eastAsia="Times New Roman" w:hAnsi="Times New Roman" w:cs="Times New Roman"/>
          <w:noProof/>
          <w:sz w:val="24"/>
          <w:szCs w:val="24"/>
        </w:rPr>
        <w:t>ranteed minimum income reform in 2017. Economic disparities often translate to regional disparities as rural areas have typically moderate employment possibilities to offer.</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A broad set of growth-enhancing measures are expected to deliver growth, thereby r</w:t>
      </w:r>
      <w:r>
        <w:rPr>
          <w:rFonts w:ascii="Times New Roman" w:eastAsia="Times New Roman" w:hAnsi="Times New Roman" w:cs="Times New Roman"/>
          <w:b/>
          <w:bCs/>
          <w:noProof/>
          <w:sz w:val="24"/>
          <w:szCs w:val="24"/>
        </w:rPr>
        <w:t xml:space="preserve">educing economic disparities. </w:t>
      </w:r>
      <w:r>
        <w:rPr>
          <w:rFonts w:ascii="Times New Roman" w:eastAsia="Times New Roman" w:hAnsi="Times New Roman" w:cs="Times New Roman"/>
          <w:noProof/>
          <w:sz w:val="24"/>
          <w:szCs w:val="24"/>
        </w:rPr>
        <w:t>The most effective policy to fight against poverty is to create economic growth and permanent jobs. As discussed in previous subsections, the plan includes a wide range of measures that are expected to help kick-start the econ</w:t>
      </w:r>
      <w:r>
        <w:rPr>
          <w:rFonts w:ascii="Times New Roman" w:eastAsia="Times New Roman" w:hAnsi="Times New Roman" w:cs="Times New Roman"/>
          <w:noProof/>
          <w:sz w:val="24"/>
          <w:szCs w:val="24"/>
        </w:rPr>
        <w:t>omy. Within these measures, the ones that aim to support small and medium sized enterprises are particularly relevant for reducing economic disparities. The simplification of business and tax administration (component 4.1), the improvement of the financial</w:t>
      </w:r>
      <w:r>
        <w:rPr>
          <w:rFonts w:ascii="Times New Roman" w:eastAsia="Times New Roman" w:hAnsi="Times New Roman" w:cs="Times New Roman"/>
          <w:noProof/>
          <w:sz w:val="24"/>
          <w:szCs w:val="24"/>
        </w:rPr>
        <w:t xml:space="preserve"> markets (component 4.4), the upskilling of cultural professionals, the development of tourism (component 4.6) and improvement of the business environment (component 4.7) are all expected to contribute to providing a better ground to grow for smaller enter</w:t>
      </w:r>
      <w:r>
        <w:rPr>
          <w:rFonts w:ascii="Times New Roman" w:eastAsia="Times New Roman" w:hAnsi="Times New Roman" w:cs="Times New Roman"/>
          <w:noProof/>
          <w:sz w:val="24"/>
          <w:szCs w:val="24"/>
        </w:rPr>
        <w:t xml:space="preserve">prises which in turn can generate growth in the underprivileged parts of the population where these enterprises might operate. </w:t>
      </w:r>
    </w:p>
    <w:p w:rsidR="00176373" w:rsidRDefault="00E474D1">
      <w:pPr>
        <w:jc w:val="both"/>
        <w:rPr>
          <w:rFonts w:ascii="Times New Roman" w:eastAsia="Times New Roman" w:hAnsi="Times New Roman" w:cs="Times New Roman"/>
          <w:b/>
          <w:noProof/>
          <w:sz w:val="24"/>
          <w:szCs w:val="24"/>
        </w:rPr>
      </w:pPr>
      <w:r>
        <w:rPr>
          <w:rFonts w:ascii="Times New Roman" w:eastAsia="Times New Roman" w:hAnsi="Times New Roman" w:cs="Times New Roman"/>
          <w:b/>
          <w:bCs/>
          <w:noProof/>
          <w:sz w:val="24"/>
          <w:szCs w:val="24"/>
        </w:rPr>
        <w:t>Most of the measures under the third pillar of the plan are expected to improve social cohesion and reduce poverty and inequalit</w:t>
      </w:r>
      <w:r>
        <w:rPr>
          <w:rFonts w:ascii="Times New Roman" w:eastAsia="Times New Roman" w:hAnsi="Times New Roman" w:cs="Times New Roman"/>
          <w:b/>
          <w:bCs/>
          <w:noProof/>
          <w:sz w:val="24"/>
          <w:szCs w:val="24"/>
        </w:rPr>
        <w:t>ies.</w:t>
      </w:r>
      <w:r>
        <w:rPr>
          <w:rFonts w:ascii="Times New Roman" w:eastAsia="Times New Roman" w:hAnsi="Times New Roman" w:cs="Times New Roman"/>
          <w:noProof/>
          <w:sz w:val="24"/>
          <w:szCs w:val="24"/>
        </w:rPr>
        <w:t xml:space="preserve"> The labour market reforms and active labour market policies under component 3.1 will be instrumental in this regard. The Plan also envisages investment in human capital and skills in particular, by upgrading education, vocational education and trainin</w:t>
      </w:r>
      <w:r>
        <w:rPr>
          <w:rFonts w:ascii="Times New Roman" w:eastAsia="Times New Roman" w:hAnsi="Times New Roman" w:cs="Times New Roman"/>
          <w:noProof/>
          <w:sz w:val="24"/>
          <w:szCs w:val="24"/>
        </w:rPr>
        <w:t>g and life-long learning systems under component 3.2. In addition, the public health prevention programme is expected to help in improving the overall health of the labour force. Finally, component 3.4 will improve access to social services and promote lab</w:t>
      </w:r>
      <w:r>
        <w:rPr>
          <w:rFonts w:ascii="Times New Roman" w:eastAsia="Times New Roman" w:hAnsi="Times New Roman" w:cs="Times New Roman"/>
          <w:noProof/>
          <w:sz w:val="24"/>
          <w:szCs w:val="24"/>
        </w:rPr>
        <w:t>our market integration of vulnerable groups, including refugees. Measures such as expanding early childhood education and care, child protection, diversity awareness, and support to persons with disabilities are all steps towards a more inclusive society o</w:t>
      </w:r>
      <w:r>
        <w:rPr>
          <w:rFonts w:ascii="Times New Roman" w:eastAsia="Times New Roman" w:hAnsi="Times New Roman" w:cs="Times New Roman"/>
          <w:noProof/>
          <w:sz w:val="24"/>
          <w:szCs w:val="24"/>
        </w:rPr>
        <w:t xml:space="preserve">f equal opportunities.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plan addresses regional disparities primarily through investments in transportation infrastructure and programmes to develop tourism and the cultural sector. </w:t>
      </w:r>
      <w:r>
        <w:rPr>
          <w:rFonts w:ascii="Times New Roman" w:eastAsia="Times New Roman" w:hAnsi="Times New Roman" w:cs="Times New Roman"/>
          <w:noProof/>
          <w:sz w:val="24"/>
          <w:szCs w:val="24"/>
        </w:rPr>
        <w:t>Greece’s current domestic transportation system faces a number of chal</w:t>
      </w:r>
      <w:r>
        <w:rPr>
          <w:rFonts w:ascii="Times New Roman" w:eastAsia="Times New Roman" w:hAnsi="Times New Roman" w:cs="Times New Roman"/>
          <w:noProof/>
          <w:sz w:val="24"/>
          <w:szCs w:val="24"/>
        </w:rPr>
        <w:t>lenges, whereas the country’s geographical features would call for a well-functioning and affordable transport network in order to reduce regional disparities. One of the main objectives of component 4.6 is the improvement of the transportation infrastruct</w:t>
      </w:r>
      <w:r>
        <w:rPr>
          <w:rFonts w:ascii="Times New Roman" w:eastAsia="Times New Roman" w:hAnsi="Times New Roman" w:cs="Times New Roman"/>
          <w:noProof/>
          <w:sz w:val="24"/>
          <w:szCs w:val="24"/>
        </w:rPr>
        <w:t>ure. Measures include building of new highways, road safety upgrades, the development of the railway system, the upgrade of regional ports and the certification of 13 regional airports with the European Union Aviation Safety Agency (EASA) compliance progra</w:t>
      </w:r>
      <w:r>
        <w:rPr>
          <w:rFonts w:ascii="Times New Roman" w:eastAsia="Times New Roman" w:hAnsi="Times New Roman" w:cs="Times New Roman"/>
          <w:noProof/>
          <w:sz w:val="24"/>
          <w:szCs w:val="24"/>
        </w:rPr>
        <w:t xml:space="preserve">m. Further measures under this component aim to promote culture, tourism and agriculture as engines of regional growth. Interventions under other components contribute to reducing regional disparities too: the revitalisation of territories affected by the </w:t>
      </w:r>
      <w:r>
        <w:rPr>
          <w:rFonts w:ascii="Times New Roman" w:eastAsia="Times New Roman" w:hAnsi="Times New Roman" w:cs="Times New Roman"/>
          <w:noProof/>
          <w:sz w:val="24"/>
          <w:szCs w:val="24"/>
        </w:rPr>
        <w:t>termination of lignite mines and the improvement of interconnections should provide more stable and affordable electricity for the islands, thus enhancing their potential as tourist destinations (component 1.1), the establishment of a strategic National Di</w:t>
      </w:r>
      <w:r>
        <w:rPr>
          <w:rFonts w:ascii="Times New Roman" w:eastAsia="Times New Roman" w:hAnsi="Times New Roman" w:cs="Times New Roman"/>
          <w:noProof/>
          <w:sz w:val="24"/>
          <w:szCs w:val="24"/>
        </w:rPr>
        <w:t>saster Management system (component 1.4), the digital transformation of the health care sector (component 3.3).</w:t>
      </w:r>
    </w:p>
    <w:p w:rsidR="00176373" w:rsidRDefault="00E474D1">
      <w:pPr>
        <w:keepNext/>
        <w:jc w:val="both"/>
        <w:rPr>
          <w:rFonts w:ascii="Times New Roman" w:hAnsi="Times New Roman"/>
          <w:i/>
          <w:noProof/>
          <w:sz w:val="24"/>
          <w:szCs w:val="24"/>
        </w:rPr>
      </w:pPr>
      <w:r>
        <w:rPr>
          <w:rFonts w:ascii="Times New Roman" w:hAnsi="Times New Roman"/>
          <w:i/>
          <w:iCs/>
          <w:noProof/>
          <w:sz w:val="24"/>
          <w:szCs w:val="24"/>
        </w:rPr>
        <w:t>Conclusion</w:t>
      </w:r>
    </w:p>
    <w:p w:rsidR="00176373" w:rsidRDefault="00E474D1">
      <w:pPr>
        <w:jc w:val="both"/>
        <w:rPr>
          <w:rFonts w:ascii="Times New Roman" w:eastAsia="Times New Roman" w:hAnsi="Times New Roman" w:cs="Times New Roman"/>
          <w:noProof/>
          <w:sz w:val="24"/>
          <w:szCs w:val="24"/>
        </w:rPr>
      </w:pPr>
      <w:r>
        <w:rPr>
          <w:rFonts w:ascii="Times New Roman" w:hAnsi="Times New Roman"/>
          <w:i/>
          <w:iCs/>
          <w:noProof/>
          <w:sz w:val="24"/>
          <w:szCs w:val="24"/>
        </w:rPr>
        <w:t xml:space="preserve">Taking into consideration all reforms and investments envisaged by Greece, its recovery and resilience plan is expected to have a </w:t>
      </w:r>
      <w:r>
        <w:rPr>
          <w:rFonts w:ascii="Times New Roman" w:hAnsi="Times New Roman"/>
          <w:i/>
          <w:iCs/>
          <w:noProof/>
          <w:sz w:val="24"/>
          <w:szCs w:val="24"/>
        </w:rPr>
        <w:t>high impact on strengthening the growth potential, job creation, and economic, social and institutional resilience of the Member State, on contributing to the implementation of the European Pillar of Social Rights, including through the promotion of polici</w:t>
      </w:r>
      <w:r>
        <w:rPr>
          <w:rFonts w:ascii="Times New Roman" w:hAnsi="Times New Roman"/>
          <w:i/>
          <w:iCs/>
          <w:noProof/>
          <w:sz w:val="24"/>
          <w:szCs w:val="24"/>
        </w:rPr>
        <w:t>es for children and youth, and on mitigating the economic and social impact of the COVID-19 crisis, thereby enhancing the economic, social and territorial cohesion and convergence within the Union. This would warrant a rating of A under the assessment crit</w:t>
      </w:r>
      <w:r>
        <w:rPr>
          <w:rFonts w:ascii="Times New Roman" w:hAnsi="Times New Roman"/>
          <w:i/>
          <w:iCs/>
          <w:noProof/>
          <w:sz w:val="24"/>
          <w:szCs w:val="24"/>
        </w:rPr>
        <w:t>erion 2.3 of Annex V to the RRF Regulation</w:t>
      </w:r>
      <w:r>
        <w:rPr>
          <w:rFonts w:ascii="Times New Roman" w:eastAsia="Times New Roman" w:hAnsi="Times New Roman" w:cs="Times New Roman"/>
          <w:noProof/>
          <w:sz w:val="24"/>
          <w:szCs w:val="24"/>
        </w:rPr>
        <w:t>.</w:t>
      </w:r>
    </w:p>
    <w:p w:rsidR="00176373" w:rsidRDefault="00E474D1">
      <w:pPr>
        <w:pStyle w:val="Heading2"/>
        <w:numPr>
          <w:ilvl w:val="1"/>
          <w:numId w:val="10"/>
        </w:numPr>
        <w:rPr>
          <w:i/>
          <w:noProof/>
          <w:sz w:val="28"/>
          <w:szCs w:val="28"/>
        </w:rPr>
      </w:pPr>
      <w:bookmarkStart w:id="322" w:name="_Toc71667436"/>
      <w:bookmarkStart w:id="323" w:name="_Toc71705286"/>
      <w:bookmarkStart w:id="324" w:name="_Toc71730945"/>
      <w:bookmarkStart w:id="325" w:name="_Toc71736551"/>
      <w:bookmarkStart w:id="326" w:name="_Toc71737040"/>
      <w:bookmarkStart w:id="327" w:name="_Toc72157508"/>
      <w:bookmarkStart w:id="328" w:name="_Toc72158555"/>
      <w:bookmarkStart w:id="329" w:name="_Toc72158871"/>
      <w:bookmarkStart w:id="330" w:name="_Toc72159286"/>
      <w:bookmarkStart w:id="331" w:name="_Toc72159638"/>
      <w:bookmarkStart w:id="332" w:name="_Toc72160000"/>
      <w:bookmarkStart w:id="333" w:name="_Toc72160079"/>
      <w:bookmarkStart w:id="334" w:name="_Toc72160178"/>
      <w:bookmarkStart w:id="335" w:name="_Toc72162534"/>
      <w:bookmarkStart w:id="336" w:name="_Toc72162927"/>
      <w:bookmarkStart w:id="337" w:name="_Toc72165635"/>
      <w:bookmarkStart w:id="338" w:name="_Toc72165938"/>
      <w:bookmarkStart w:id="339" w:name="_Toc72166179"/>
      <w:bookmarkStart w:id="340" w:name="_Toc72166231"/>
      <w:bookmarkStart w:id="341" w:name="_Toc72166392"/>
      <w:bookmarkStart w:id="342" w:name="_Toc72166503"/>
      <w:bookmarkStart w:id="343" w:name="_Toc72166640"/>
      <w:bookmarkStart w:id="344" w:name="_Toc72166692"/>
      <w:bookmarkStart w:id="345" w:name="_Toc72166830"/>
      <w:bookmarkStart w:id="346" w:name="_Toc72167117"/>
      <w:bookmarkStart w:id="347" w:name="_Toc72167207"/>
      <w:bookmarkStart w:id="348" w:name="_Toc72167625"/>
      <w:bookmarkStart w:id="349" w:name="_Toc72182207"/>
      <w:bookmarkStart w:id="350" w:name="_Toc72182309"/>
      <w:bookmarkStart w:id="351" w:name="_Toc72182471"/>
      <w:bookmarkStart w:id="352" w:name="_Toc72182551"/>
      <w:bookmarkStart w:id="353" w:name="_Toc72182631"/>
      <w:bookmarkStart w:id="354" w:name="_Toc72183130"/>
      <w:bookmarkStart w:id="355" w:name="_Toc72183221"/>
      <w:bookmarkStart w:id="356" w:name="_Toc72183627"/>
      <w:bookmarkStart w:id="357" w:name="_Toc72183707"/>
      <w:bookmarkStart w:id="358" w:name="_Toc72183787"/>
      <w:bookmarkStart w:id="359" w:name="_Toc72184264"/>
      <w:bookmarkStart w:id="360" w:name="_Toc72184666"/>
      <w:bookmarkStart w:id="361" w:name="_Toc72184832"/>
      <w:bookmarkStart w:id="362" w:name="_Toc72185623"/>
      <w:bookmarkStart w:id="363" w:name="_Toc72185859"/>
      <w:bookmarkStart w:id="364" w:name="_Toc72185940"/>
      <w:bookmarkStart w:id="365" w:name="_Toc72186126"/>
      <w:bookmarkStart w:id="366" w:name="_Toc72186206"/>
      <w:bookmarkStart w:id="367" w:name="_Toc72186670"/>
      <w:bookmarkStart w:id="368" w:name="_Toc72187496"/>
      <w:bookmarkStart w:id="369" w:name="_Toc72187973"/>
      <w:bookmarkStart w:id="370" w:name="_Toc72188334"/>
      <w:bookmarkStart w:id="371" w:name="_Toc72190849"/>
      <w:bookmarkStart w:id="372" w:name="_Toc72194052"/>
      <w:bookmarkStart w:id="373" w:name="_Toc66388708"/>
      <w:bookmarkStart w:id="374" w:name="_Toc74305327"/>
      <w:bookmarkStart w:id="375" w:name="_Toc71665335"/>
      <w:bookmarkStart w:id="376" w:name="_Toc71740464"/>
      <w:bookmarkStart w:id="377" w:name="_Toc71792459"/>
      <w:bookmarkStart w:id="378" w:name="_Toc72158510"/>
      <w:bookmarkStart w:id="379" w:name="_Toc72170713"/>
      <w:bookmarkStart w:id="380" w:name="_Toc72176841"/>
      <w:bookmarkStart w:id="381" w:name="_Toc72179412"/>
      <w:bookmarkStart w:id="382" w:name="_Toc72176050"/>
      <w:bookmarkStart w:id="383" w:name="_Toc72181723"/>
      <w:bookmarkStart w:id="384" w:name="_Toc72178572"/>
      <w:bookmarkStart w:id="385" w:name="_Toc72182459"/>
      <w:bookmarkStart w:id="386" w:name="_Toc72326494"/>
      <w:bookmarkStart w:id="387" w:name="_Toc72326525"/>
      <w:bookmarkStart w:id="388" w:name="_Toc72183456"/>
      <w:bookmarkStart w:id="389" w:name="_Toc72187270"/>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noProof/>
        </w:rPr>
        <w:t xml:space="preserve">The principle of </w:t>
      </w:r>
      <w:bookmarkStart w:id="390" w:name="_Toc62455203"/>
      <w:bookmarkStart w:id="391" w:name="_Toc62818226"/>
      <w:bookmarkStart w:id="392" w:name="_Toc62818773"/>
      <w:bookmarkStart w:id="393" w:name="_Toc63417222"/>
      <w:bookmarkStart w:id="394" w:name="_Toc63418912"/>
      <w:bookmarkStart w:id="395" w:name="_Toc63418937"/>
      <w:bookmarkStart w:id="396" w:name="_Toc64281623"/>
      <w:r>
        <w:rPr>
          <w:noProof/>
        </w:rPr>
        <w:t>‘do no significant harm’</w:t>
      </w:r>
      <w:bookmarkEnd w:id="374"/>
      <w:r>
        <w:rPr>
          <w:noProof/>
        </w:rPr>
        <w:t xml:space="preserve"> </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val="en-IE" w:eastAsia="en-GB"/>
        </w:rPr>
        <w:t>The RRF Regulation provides that no measure included in the recovery and resilience plan should lead to significant harm to any of the six environmental objectives withi</w:t>
      </w:r>
      <w:r>
        <w:rPr>
          <w:rFonts w:ascii="Times New Roman" w:hAnsi="Times New Roman" w:cs="Times New Roman"/>
          <w:b/>
          <w:bCs/>
          <w:noProof/>
          <w:sz w:val="24"/>
          <w:szCs w:val="24"/>
          <w:lang w:val="en-IE" w:eastAsia="en-GB"/>
        </w:rPr>
        <w:t>n the meaning of Article 17 of the Taxonomy Regulation</w:t>
      </w:r>
      <w:r>
        <w:rPr>
          <w:rFonts w:ascii="Times New Roman" w:hAnsi="Times New Roman" w:cs="Times New Roman"/>
          <w:b/>
          <w:bCs/>
          <w:noProof/>
          <w:sz w:val="24"/>
          <w:szCs w:val="24"/>
          <w:vertAlign w:val="superscript"/>
          <w:lang w:val="en-IE" w:eastAsia="en-GB"/>
        </w:rPr>
        <w:footnoteReference w:id="32"/>
      </w:r>
      <w:r>
        <w:rPr>
          <w:rFonts w:ascii="Times New Roman" w:hAnsi="Times New Roman" w:cs="Times New Roman"/>
          <w:noProof/>
          <w:sz w:val="24"/>
          <w:szCs w:val="24"/>
          <w:lang w:val="en-IE" w:eastAsia="en-GB"/>
        </w:rPr>
        <w:t>. In line with the RRF Regulation and the Technical Guidance on the Application of ‘do no significant harm’</w:t>
      </w:r>
      <w:r>
        <w:rPr>
          <w:rStyle w:val="FootnoteReference"/>
          <w:rFonts w:ascii="Times New Roman" w:hAnsi="Times New Roman" w:cs="Times New Roman"/>
          <w:noProof/>
          <w:sz w:val="24"/>
          <w:szCs w:val="24"/>
          <w:lang w:val="en-IE" w:eastAsia="en-GB"/>
        </w:rPr>
        <w:footnoteReference w:id="33"/>
      </w:r>
      <w:r>
        <w:rPr>
          <w:rFonts w:ascii="Times New Roman" w:hAnsi="Times New Roman" w:cs="Times New Roman"/>
          <w:noProof/>
          <w:sz w:val="24"/>
          <w:szCs w:val="24"/>
          <w:lang w:val="en-IE" w:eastAsia="en-GB"/>
        </w:rPr>
        <w:t xml:space="preserve"> (‘DNSH Technical Guidance’), Member States provide a ‘do no significant harm’ (DNSH) assessm</w:t>
      </w:r>
      <w:r>
        <w:rPr>
          <w:rFonts w:ascii="Times New Roman" w:hAnsi="Times New Roman" w:cs="Times New Roman"/>
          <w:noProof/>
          <w:sz w:val="24"/>
          <w:szCs w:val="24"/>
          <w:lang w:val="en-IE" w:eastAsia="en-GB"/>
        </w:rPr>
        <w:t>ent, on which basis the Commission assesses whether each and every measure (i.e. each reform and each investment) included in the plans complies with DNSH. DNSH compliance is therefore a necessary condition for the Commission to positively assess the recov</w:t>
      </w:r>
      <w:r>
        <w:rPr>
          <w:rFonts w:ascii="Times New Roman" w:hAnsi="Times New Roman" w:cs="Times New Roman"/>
          <w:noProof/>
          <w:sz w:val="24"/>
          <w:szCs w:val="24"/>
          <w:lang w:val="en-IE" w:eastAsia="en-GB"/>
        </w:rPr>
        <w:t xml:space="preserve">ery and resilience plan. Greece has included a DNSH assessment for each measure included in its plan in accordance with the template provided by the Commission, and in line with the DNSH Technical Guidance. The Commission has assessed whether and how each </w:t>
      </w:r>
      <w:r>
        <w:rPr>
          <w:rFonts w:ascii="Times New Roman" w:hAnsi="Times New Roman" w:cs="Times New Roman"/>
          <w:noProof/>
          <w:sz w:val="24"/>
          <w:szCs w:val="24"/>
          <w:lang w:val="en-IE" w:eastAsia="en-GB"/>
        </w:rPr>
        <w:t>measure in Greece’s plan complies with DNSH on that basis.</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val="en-IE" w:eastAsia="en-GB"/>
        </w:rPr>
        <w:t>The Greek plan is expected to ensure that no significant harm is done to environmental objectives by only selecting or designing measures complying with DNSH.</w:t>
      </w:r>
      <w:r>
        <w:rPr>
          <w:rFonts w:ascii="Times New Roman" w:hAnsi="Times New Roman" w:cs="Times New Roman"/>
          <w:noProof/>
          <w:sz w:val="24"/>
          <w:szCs w:val="24"/>
          <w:lang w:val="en-IE" w:eastAsia="en-GB"/>
        </w:rPr>
        <w:t xml:space="preserve"> By selecting measures that either cont</w:t>
      </w:r>
      <w:r>
        <w:rPr>
          <w:rFonts w:ascii="Times New Roman" w:hAnsi="Times New Roman" w:cs="Times New Roman"/>
          <w:noProof/>
          <w:sz w:val="24"/>
          <w:szCs w:val="24"/>
          <w:lang w:val="en-IE" w:eastAsia="en-GB"/>
        </w:rPr>
        <w:t>ribute substantially to environmental objectives, such as those on reforestation, or have no or an insignificant foreseeable impact on environmental objectives (such as those on labour market, social policy, or public administration), many measures in Gree</w:t>
      </w:r>
      <w:r>
        <w:rPr>
          <w:rFonts w:ascii="Times New Roman" w:hAnsi="Times New Roman" w:cs="Times New Roman"/>
          <w:noProof/>
          <w:sz w:val="24"/>
          <w:szCs w:val="24"/>
          <w:lang w:val="en-IE" w:eastAsia="en-GB"/>
        </w:rPr>
        <w:t xml:space="preserve">ce’s plan can be considered DNSH compliant from the outset. Other measures are designed to ensure compliance with DNSH, directly or by requiring </w:t>
      </w:r>
      <w:r>
        <w:rPr>
          <w:rFonts w:ascii="Times New Roman" w:hAnsi="Times New Roman" w:cs="Times New Roman"/>
          <w:noProof/>
          <w:sz w:val="24"/>
          <w:szCs w:val="24"/>
          <w:lang w:eastAsia="en-GB"/>
        </w:rPr>
        <w:t>specific evidence and commitments through milestones and targets to substantiate that they will not lead to sig</w:t>
      </w:r>
      <w:r>
        <w:rPr>
          <w:rFonts w:ascii="Times New Roman" w:hAnsi="Times New Roman" w:cs="Times New Roman"/>
          <w:noProof/>
          <w:sz w:val="24"/>
          <w:szCs w:val="24"/>
          <w:lang w:eastAsia="en-GB"/>
        </w:rPr>
        <w:t>nificant harm to environmental objectives. A summary of the most relevant issues is included below.</w:t>
      </w:r>
    </w:p>
    <w:p w:rsidR="00176373" w:rsidRDefault="00E474D1">
      <w:pPr>
        <w:jc w:val="both"/>
        <w:rPr>
          <w:rFonts w:ascii="Times New Roman" w:hAnsi="Times New Roman" w:cs="Times New Roman"/>
          <w:noProof/>
          <w:sz w:val="24"/>
          <w:szCs w:val="24"/>
          <w:lang w:val="en-IE" w:eastAsia="en-GB"/>
        </w:rPr>
      </w:pPr>
      <w:r>
        <w:rPr>
          <w:rFonts w:ascii="Times New Roman" w:hAnsi="Times New Roman" w:cs="Times New Roman"/>
          <w:b/>
          <w:bCs/>
          <w:noProof/>
          <w:sz w:val="24"/>
          <w:szCs w:val="24"/>
          <w:lang w:eastAsia="en-GB"/>
        </w:rPr>
        <w:t>DNSH-compliant measures facilitate the green transition</w:t>
      </w:r>
      <w:r>
        <w:rPr>
          <w:rFonts w:ascii="Times New Roman" w:hAnsi="Times New Roman" w:cs="Times New Roman"/>
          <w:noProof/>
          <w:sz w:val="24"/>
          <w:szCs w:val="24"/>
          <w:lang w:eastAsia="en-GB"/>
        </w:rPr>
        <w:t>. The self-assessment clarified compliance, in particular for investments in energy networks in component 1.1, where submarine cables will be laid or the distribution network will be upgraded. The latter measure in particular is meant to better protect the</w:t>
      </w:r>
      <w:r>
        <w:rPr>
          <w:rFonts w:ascii="Times New Roman" w:hAnsi="Times New Roman" w:cs="Times New Roman"/>
          <w:noProof/>
          <w:sz w:val="24"/>
          <w:szCs w:val="24"/>
          <w:lang w:eastAsia="en-GB"/>
        </w:rPr>
        <w:t xml:space="preserve"> environment, for example by putting underground cables which currently pass through forest areas. For the renovation of residential and public buildings in component 1.2 (as well as in pillar 3 for measures on healthcare and childcare) the respect of the </w:t>
      </w:r>
      <w:r>
        <w:rPr>
          <w:rFonts w:ascii="Times New Roman" w:hAnsi="Times New Roman" w:cs="Times New Roman"/>
          <w:noProof/>
          <w:sz w:val="24"/>
          <w:szCs w:val="24"/>
          <w:lang w:eastAsia="en-GB"/>
        </w:rPr>
        <w:t>principle will be ensured through compliance with the minimum requirements in the Energy Performance of Buildings Directive, and respecting the circular economy principles when it comes to construction waste. This means in particular that 70% of the constr</w:t>
      </w:r>
      <w:r>
        <w:rPr>
          <w:rFonts w:ascii="Times New Roman" w:hAnsi="Times New Roman" w:cs="Times New Roman"/>
          <w:noProof/>
          <w:sz w:val="24"/>
          <w:szCs w:val="24"/>
          <w:lang w:eastAsia="en-GB"/>
        </w:rPr>
        <w:t xml:space="preserve">uction waste will be recycled. Reforms such as the establishment of a new marine spatial planning framework are also meant to directly protect the marine environment and biodiversity. In component 1.3, </w:t>
      </w:r>
      <w:r>
        <w:rPr>
          <w:rFonts w:ascii="Times New Roman" w:hAnsi="Times New Roman" w:cs="Times New Roman"/>
          <w:noProof/>
          <w:sz w:val="24"/>
          <w:szCs w:val="24"/>
          <w:lang w:val="en-IE" w:eastAsia="en-GB"/>
        </w:rPr>
        <w:t xml:space="preserve">investment in public transportation vehicles has been </w:t>
      </w:r>
      <w:r>
        <w:rPr>
          <w:rFonts w:ascii="Times New Roman" w:hAnsi="Times New Roman" w:cs="Times New Roman"/>
          <w:noProof/>
          <w:sz w:val="24"/>
          <w:szCs w:val="24"/>
          <w:lang w:val="en-IE" w:eastAsia="en-GB"/>
        </w:rPr>
        <w:t>limited to electric vehicles, while</w:t>
      </w:r>
      <w:r>
        <w:rPr>
          <w:rFonts w:ascii="Times New Roman" w:hAnsi="Times New Roman" w:cs="Times New Roman"/>
          <w:noProof/>
          <w:sz w:val="24"/>
          <w:szCs w:val="24"/>
          <w:lang w:eastAsia="en-GB"/>
        </w:rPr>
        <w:t xml:space="preserve"> for the development of a “first of its kind” CO2 geological storage facility in Greece, the authorities have thoroughly analysed the possible environmental implications, also excluding the possibility that technologies, </w:t>
      </w:r>
      <w:r>
        <w:rPr>
          <w:rFonts w:ascii="Times New Roman" w:hAnsi="Times New Roman" w:cs="Times New Roman"/>
          <w:noProof/>
          <w:sz w:val="24"/>
          <w:szCs w:val="24"/>
          <w:lang w:eastAsia="en-GB"/>
        </w:rPr>
        <w:t>facilities or equipment engineered towards enhanced oil recovery are used, ensuring that any possible extraction of oil or gas is limited to the indispensable needs of managing pressure and ensuring safety of the storage sites.</w:t>
      </w:r>
      <w:r>
        <w:rPr>
          <w:rFonts w:ascii="Times New Roman" w:hAnsi="Times New Roman" w:cs="Times New Roman"/>
          <w:noProof/>
          <w:sz w:val="24"/>
          <w:szCs w:val="24"/>
          <w:lang w:val="en-IE" w:eastAsia="en-GB"/>
        </w:rPr>
        <w:t xml:space="preserve"> </w:t>
      </w:r>
      <w:r>
        <w:rPr>
          <w:rFonts w:ascii="Times New Roman" w:hAnsi="Times New Roman" w:cs="Times New Roman"/>
          <w:noProof/>
          <w:sz w:val="24"/>
          <w:szCs w:val="24"/>
          <w:lang w:eastAsia="en-GB"/>
        </w:rPr>
        <w:t>For irrigation, flood mitiga</w:t>
      </w:r>
      <w:r>
        <w:rPr>
          <w:rFonts w:ascii="Times New Roman" w:hAnsi="Times New Roman" w:cs="Times New Roman"/>
          <w:noProof/>
          <w:sz w:val="24"/>
          <w:szCs w:val="24"/>
          <w:lang w:eastAsia="en-GB"/>
        </w:rPr>
        <w:t>tion and water measures included in component 1.4, compliance with the DNSH principle will be ensured inter alia by requiring that any work regarding dams is in line with the Water Framework Directive, ensuring among others that new extraction is only allo</w:t>
      </w:r>
      <w:r>
        <w:rPr>
          <w:rFonts w:ascii="Times New Roman" w:hAnsi="Times New Roman" w:cs="Times New Roman"/>
          <w:noProof/>
          <w:sz w:val="24"/>
          <w:szCs w:val="24"/>
          <w:lang w:eastAsia="en-GB"/>
        </w:rPr>
        <w:t xml:space="preserve">wed if the status of the water body is in good status and will remain so, also taking into account the projected impacts of climate change based on best science. In the same component, compliance of the purchase and upgrade of special purpose vehicles for </w:t>
      </w:r>
      <w:r>
        <w:rPr>
          <w:rFonts w:ascii="Times New Roman" w:hAnsi="Times New Roman" w:cs="Times New Roman"/>
          <w:noProof/>
          <w:sz w:val="24"/>
          <w:szCs w:val="24"/>
          <w:lang w:eastAsia="en-GB"/>
        </w:rPr>
        <w:t xml:space="preserve">civil protection and firefighting with DNSH is ensured by such vehicles being “best-in-class” from the environmental performance point of view.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 xml:space="preserve">Measures included in pillar 2 (digital) or pillar 4 (investment) were also designed to ensure respect with the </w:t>
      </w:r>
      <w:r>
        <w:rPr>
          <w:rFonts w:ascii="Times New Roman" w:hAnsi="Times New Roman" w:cs="Times New Roman"/>
          <w:b/>
          <w:bCs/>
          <w:noProof/>
          <w:sz w:val="24"/>
          <w:szCs w:val="24"/>
          <w:lang w:eastAsia="en-GB"/>
        </w:rPr>
        <w:t>DNSH principle.</w:t>
      </w:r>
      <w:r>
        <w:rPr>
          <w:rFonts w:ascii="Times New Roman" w:hAnsi="Times New Roman" w:cs="Times New Roman"/>
          <w:noProof/>
          <w:sz w:val="24"/>
          <w:szCs w:val="24"/>
          <w:lang w:eastAsia="en-GB"/>
        </w:rPr>
        <w:t xml:space="preserve"> The laying of fibre submarine cables to interconnect mainland Greece with its islands and with Cyprus will be subject to an environmental impact assessment, while investment in cloud computing will focus on energy efficient equipment. The i</w:t>
      </w:r>
      <w:r>
        <w:rPr>
          <w:rFonts w:ascii="Times New Roman" w:hAnsi="Times New Roman" w:cs="Times New Roman"/>
          <w:noProof/>
          <w:sz w:val="24"/>
          <w:szCs w:val="24"/>
          <w:lang w:eastAsia="en-GB"/>
        </w:rPr>
        <w:t>nvestments in motorways in pillar 4 are accompanied by flanking measures, such as, investments in alternative fuels infrastructure (8 000 charging stations), a major road safety programme with interventions in more than 7 000 dangerous locations, road acce</w:t>
      </w:r>
      <w:r>
        <w:rPr>
          <w:rFonts w:ascii="Times New Roman" w:hAnsi="Times New Roman" w:cs="Times New Roman"/>
          <w:noProof/>
          <w:sz w:val="24"/>
          <w:szCs w:val="24"/>
          <w:lang w:eastAsia="en-GB"/>
        </w:rPr>
        <w:t>ss reforms (such as electronic tolling), measures supporting the shift towards electric vehicles including buses and taxis, a reform of the railway sector to support switching from road to rail, and railway investments in the TEN-T core network and suburba</w:t>
      </w:r>
      <w:r>
        <w:rPr>
          <w:rFonts w:ascii="Times New Roman" w:hAnsi="Times New Roman" w:cs="Times New Roman"/>
          <w:noProof/>
          <w:sz w:val="24"/>
          <w:szCs w:val="24"/>
          <w:lang w:eastAsia="en-GB"/>
        </w:rPr>
        <w:t>n rail. Interventions in the rail infrastructure, including projects on the TEN-T core network and on suburban rail, are also meant to modernise and electrify the network. In component 4.3, for the construction of new judicial buildings compliance with the</w:t>
      </w:r>
      <w:r>
        <w:rPr>
          <w:rFonts w:ascii="Times New Roman" w:hAnsi="Times New Roman" w:cs="Times New Roman"/>
          <w:noProof/>
          <w:sz w:val="24"/>
          <w:szCs w:val="24"/>
          <w:lang w:eastAsia="en-GB"/>
        </w:rPr>
        <w:t xml:space="preserve"> criteria defining near-zero energy buildings will be required.</w:t>
      </w:r>
    </w:p>
    <w:p w:rsidR="00176373" w:rsidRDefault="00E474D1">
      <w:pPr>
        <w:jc w:val="both"/>
        <w:rPr>
          <w:rFonts w:ascii="Times New Roman" w:hAnsi="Times New Roman" w:cs="Times New Roman"/>
          <w:noProof/>
          <w:sz w:val="24"/>
          <w:szCs w:val="24"/>
          <w:lang w:val="en-IE" w:eastAsia="en-GB"/>
        </w:rPr>
      </w:pPr>
      <w:r>
        <w:rPr>
          <w:rFonts w:ascii="Times New Roman" w:hAnsi="Times New Roman" w:cs="Times New Roman"/>
          <w:b/>
          <w:bCs/>
          <w:noProof/>
          <w:sz w:val="24"/>
          <w:szCs w:val="24"/>
          <w:lang w:val="en-IE" w:eastAsia="en-GB"/>
        </w:rPr>
        <w:t>The plan also includes measures of a horizontal nature, which are designed to be DNSH compliant.</w:t>
      </w:r>
      <w:r>
        <w:rPr>
          <w:rFonts w:ascii="Times New Roman" w:hAnsi="Times New Roman" w:cs="Times New Roman"/>
          <w:noProof/>
          <w:sz w:val="24"/>
          <w:szCs w:val="24"/>
          <w:lang w:val="en-IE" w:eastAsia="en-GB"/>
        </w:rPr>
        <w:t xml:space="preserve"> As set out in the DNSH Technical Guidance, </w:t>
      </w:r>
      <w:r>
        <w:rPr>
          <w:rFonts w:ascii="Times New Roman" w:hAnsi="Times New Roman" w:cs="Times New Roman"/>
          <w:noProof/>
          <w:sz w:val="24"/>
          <w:szCs w:val="24"/>
          <w:lang w:eastAsia="en-GB"/>
        </w:rPr>
        <w:t>measures of a more general nature, such as broad ind</w:t>
      </w:r>
      <w:r>
        <w:rPr>
          <w:rFonts w:ascii="Times New Roman" w:hAnsi="Times New Roman" w:cs="Times New Roman"/>
          <w:noProof/>
          <w:sz w:val="24"/>
          <w:szCs w:val="24"/>
          <w:lang w:eastAsia="en-GB"/>
        </w:rPr>
        <w:t xml:space="preserve">ustry support schemes (e.g. financial instruments covering investments in companies across multiple sectors), should be designed to ensure adherence of the relevant investments with DNSH. The plan contains such broad measures, such as the use of RRF loans </w:t>
      </w:r>
      <w:r>
        <w:rPr>
          <w:rFonts w:ascii="Times New Roman" w:hAnsi="Times New Roman" w:cs="Times New Roman"/>
          <w:noProof/>
          <w:sz w:val="24"/>
          <w:szCs w:val="24"/>
          <w:lang w:eastAsia="en-GB"/>
        </w:rPr>
        <w:t xml:space="preserve">to provide loan and equity funding to companies, or measures to support the development of innovative products and services. For these – as for other more specific measures – Greece will, inter alia, apply selection criteria that are based on an exclusion </w:t>
      </w:r>
      <w:r>
        <w:rPr>
          <w:rFonts w:ascii="Times New Roman" w:hAnsi="Times New Roman" w:cs="Times New Roman"/>
          <w:noProof/>
          <w:sz w:val="24"/>
          <w:szCs w:val="24"/>
          <w:lang w:eastAsia="en-GB"/>
        </w:rPr>
        <w:t>list that excludes from support investments related to fossil fuels, activities under the ETS with projected CO2 equivalent emissions that are not substantially lower than the relevant benchmarks established for free allocation, investments in facilities f</w:t>
      </w:r>
      <w:r>
        <w:rPr>
          <w:rFonts w:ascii="Times New Roman" w:hAnsi="Times New Roman" w:cs="Times New Roman"/>
          <w:noProof/>
          <w:sz w:val="24"/>
          <w:szCs w:val="24"/>
          <w:lang w:eastAsia="en-GB"/>
        </w:rPr>
        <w:t xml:space="preserve">or the disposal of waste in landfill, in mechanical biological treatment (MBT) plants, and incinerators for the treatment of waste, and activities where the long-term disposal of waste may cause long-term harm to the environment. </w:t>
      </w:r>
      <w:r>
        <w:rPr>
          <w:rFonts w:ascii="Times New Roman" w:hAnsi="Times New Roman" w:cs="Times New Roman"/>
          <w:noProof/>
          <w:sz w:val="24"/>
          <w:szCs w:val="24"/>
          <w:lang w:val="en-IE" w:eastAsia="en-GB"/>
        </w:rPr>
        <w:t>Through this approach, Gre</w:t>
      </w:r>
      <w:r>
        <w:rPr>
          <w:rFonts w:ascii="Times New Roman" w:hAnsi="Times New Roman" w:cs="Times New Roman"/>
          <w:noProof/>
          <w:sz w:val="24"/>
          <w:szCs w:val="24"/>
          <w:lang w:val="en-IE" w:eastAsia="en-GB"/>
        </w:rPr>
        <w:t>ece ensures that the broad measures included in the plan are DNSH compliant.</w:t>
      </w:r>
    </w:p>
    <w:p w:rsidR="00176373" w:rsidRDefault="00E474D1">
      <w:pPr>
        <w:jc w:val="both"/>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 xml:space="preserve">Conclusion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i/>
          <w:iCs/>
          <w:noProof/>
          <w:sz w:val="24"/>
          <w:szCs w:val="24"/>
          <w:lang w:eastAsia="en-GB"/>
        </w:rPr>
        <w:t>Taking into consideration the assessment of all the measures envisaged, no measure for the implementation of reforms and investments projects included in Greece’s recovery and resilience plan is expected to do a significant harm to environmental objectives</w:t>
      </w:r>
      <w:r>
        <w:rPr>
          <w:rFonts w:ascii="Times New Roman" w:hAnsi="Times New Roman" w:cs="Times New Roman"/>
          <w:i/>
          <w:iCs/>
          <w:noProof/>
          <w:sz w:val="24"/>
          <w:szCs w:val="24"/>
          <w:lang w:eastAsia="en-GB"/>
        </w:rPr>
        <w:t xml:space="preserve"> within the meaning of Article 17 of Regulation (EU) No 2020/852 (the principle of ‘do no significant harm’). This would warrant a rating of </w:t>
      </w:r>
      <w:r>
        <w:rPr>
          <w:rFonts w:ascii="Times New Roman" w:hAnsi="Times New Roman" w:cs="Times New Roman"/>
          <w:i/>
          <w:noProof/>
          <w:sz w:val="24"/>
          <w:szCs w:val="24"/>
          <w:lang w:eastAsia="en-GB"/>
        </w:rPr>
        <w:t>A</w:t>
      </w:r>
      <w:r>
        <w:rPr>
          <w:rFonts w:ascii="Times New Roman" w:hAnsi="Times New Roman" w:cs="Times New Roman"/>
          <w:i/>
          <w:iCs/>
          <w:noProof/>
          <w:sz w:val="24"/>
          <w:szCs w:val="24"/>
          <w:lang w:eastAsia="en-GB"/>
        </w:rPr>
        <w:t xml:space="preserve"> under the assessment criterion 2.4 of Annex V to the Recovery and Resilience Facility Regulation</w:t>
      </w:r>
      <w:r>
        <w:rPr>
          <w:rFonts w:ascii="Times New Roman" w:hAnsi="Times New Roman" w:cs="Times New Roman"/>
          <w:noProof/>
          <w:sz w:val="24"/>
          <w:szCs w:val="24"/>
          <w:lang w:eastAsia="en-GB"/>
        </w:rPr>
        <w:t>.</w:t>
      </w:r>
    </w:p>
    <w:p w:rsidR="00176373" w:rsidRDefault="00E474D1">
      <w:pPr>
        <w:pStyle w:val="Heading2"/>
        <w:numPr>
          <w:ilvl w:val="1"/>
          <w:numId w:val="10"/>
        </w:numPr>
        <w:rPr>
          <w:i/>
          <w:caps/>
          <w:noProof/>
          <w:color w:val="444444"/>
          <w:sz w:val="28"/>
          <w:szCs w:val="28"/>
          <w:shd w:val="clear" w:color="auto" w:fill="FFFFFF"/>
        </w:rPr>
      </w:pPr>
      <w:bookmarkStart w:id="397" w:name="_Toc66388710"/>
      <w:bookmarkStart w:id="398" w:name="_Toc72170714"/>
      <w:bookmarkStart w:id="399" w:name="_Toc72176842"/>
      <w:bookmarkStart w:id="400" w:name="_Toc72179413"/>
      <w:bookmarkStart w:id="401" w:name="_Toc72176051"/>
      <w:bookmarkStart w:id="402" w:name="_Toc72181724"/>
      <w:bookmarkStart w:id="403" w:name="_Toc72178573"/>
      <w:bookmarkStart w:id="404" w:name="_Toc72182460"/>
      <w:bookmarkStart w:id="405" w:name="_Toc72183457"/>
      <w:bookmarkStart w:id="406" w:name="_Toc72187271"/>
      <w:bookmarkStart w:id="407" w:name="_Toc72326495"/>
      <w:bookmarkStart w:id="408" w:name="_Toc72326526"/>
      <w:bookmarkStart w:id="409" w:name="_Toc74305328"/>
      <w:bookmarkStart w:id="410" w:name="_Toc62455204"/>
      <w:bookmarkStart w:id="411" w:name="_Toc62818227"/>
      <w:bookmarkStart w:id="412" w:name="_Toc62818774"/>
      <w:bookmarkStart w:id="413" w:name="_Toc63417223"/>
      <w:bookmarkStart w:id="414" w:name="_Toc63418913"/>
      <w:bookmarkStart w:id="415" w:name="_Toc63418938"/>
      <w:bookmarkStart w:id="416" w:name="_Toc64281624"/>
      <w:bookmarkStart w:id="417" w:name="_Toc71665336"/>
      <w:bookmarkStart w:id="418" w:name="_Toc71740465"/>
      <w:bookmarkStart w:id="419" w:name="_Toc71792460"/>
      <w:bookmarkStart w:id="420" w:name="_Toc72158511"/>
      <w:bookmarkEnd w:id="397"/>
      <w:r>
        <w:rPr>
          <w:noProof/>
        </w:rPr>
        <w:t>Green transitio</w:t>
      </w:r>
      <w:r>
        <w:rPr>
          <w:noProof/>
        </w:rPr>
        <w:t>n</w:t>
      </w:r>
      <w:bookmarkEnd w:id="398"/>
      <w:bookmarkEnd w:id="399"/>
      <w:bookmarkEnd w:id="400"/>
      <w:bookmarkEnd w:id="401"/>
      <w:bookmarkEnd w:id="402"/>
      <w:bookmarkEnd w:id="403"/>
      <w:bookmarkEnd w:id="404"/>
      <w:bookmarkEnd w:id="405"/>
      <w:bookmarkEnd w:id="406"/>
      <w:bookmarkEnd w:id="407"/>
      <w:bookmarkEnd w:id="408"/>
      <w:bookmarkEnd w:id="409"/>
      <w:r>
        <w:rPr>
          <w:noProof/>
        </w:rPr>
        <w:t xml:space="preserve"> </w:t>
      </w:r>
      <w:bookmarkEnd w:id="410"/>
      <w:bookmarkEnd w:id="411"/>
      <w:bookmarkEnd w:id="412"/>
      <w:bookmarkEnd w:id="413"/>
      <w:bookmarkEnd w:id="414"/>
      <w:bookmarkEnd w:id="415"/>
      <w:bookmarkEnd w:id="416"/>
      <w:bookmarkEnd w:id="417"/>
      <w:bookmarkEnd w:id="418"/>
      <w:bookmarkEnd w:id="419"/>
      <w:bookmarkEnd w:id="420"/>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This section assesses to what extent the proposed measures fulfil the elements corresponding to assessment criterion 2.5 of Annex V to the RRF Regulation</w:t>
      </w:r>
      <w:r>
        <w:rPr>
          <w:rFonts w:ascii="Times New Roman" w:hAnsi="Times New Roman" w:cs="Times New Roman"/>
          <w:noProof/>
          <w:sz w:val="24"/>
          <w:szCs w:val="24"/>
          <w:lang w:eastAsia="en-GB"/>
        </w:rPr>
        <w:t xml:space="preserve">. The assessment focuses in particular on whether the climate tracking methodology from Annex VI to </w:t>
      </w:r>
      <w:r>
        <w:rPr>
          <w:rFonts w:ascii="Times New Roman" w:hAnsi="Times New Roman" w:cs="Times New Roman"/>
          <w:noProof/>
          <w:sz w:val="24"/>
          <w:szCs w:val="24"/>
          <w:lang w:eastAsia="en-GB"/>
        </w:rPr>
        <w:t>the RRF Regulation has been applied correctly and the 37% target has been reached, while it also sets out the impact of the measures on the green transition, including biodiversity.</w:t>
      </w:r>
    </w:p>
    <w:p w:rsidR="00176373" w:rsidRDefault="00E474D1">
      <w:pPr>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Climate target</w:t>
      </w:r>
    </w:p>
    <w:p w:rsidR="00176373" w:rsidRDefault="00E474D1">
      <w:pPr>
        <w:jc w:val="both"/>
        <w:rPr>
          <w:rFonts w:ascii="Times New Roman" w:hAnsi="Times New Roman" w:cs="Times New Roman"/>
          <w:b/>
          <w:bCs/>
          <w:noProof/>
          <w:sz w:val="24"/>
          <w:szCs w:val="24"/>
          <w:lang w:eastAsia="en-GB"/>
        </w:rPr>
      </w:pPr>
      <w:r>
        <w:rPr>
          <w:rFonts w:ascii="Times New Roman" w:hAnsi="Times New Roman" w:cs="Times New Roman"/>
          <w:b/>
          <w:bCs/>
          <w:noProof/>
          <w:sz w:val="24"/>
          <w:szCs w:val="24"/>
          <w:lang w:eastAsia="en-GB"/>
        </w:rPr>
        <w:t xml:space="preserve">Greece’s recovery and resilience plan dedicates EUR 11 428 </w:t>
      </w:r>
      <w:r>
        <w:rPr>
          <w:rFonts w:ascii="Times New Roman" w:hAnsi="Times New Roman" w:cs="Times New Roman"/>
          <w:b/>
          <w:bCs/>
          <w:noProof/>
          <w:sz w:val="24"/>
          <w:szCs w:val="24"/>
          <w:lang w:eastAsia="en-GB"/>
        </w:rPr>
        <w:t>million to the climate objective, which represents 37.5 % of the plan’s total allocation in non-repayable financial support and loans</w:t>
      </w:r>
      <w:r>
        <w:rPr>
          <w:rFonts w:ascii="Times New Roman" w:hAnsi="Times New Roman" w:cs="Times New Roman"/>
          <w:noProof/>
          <w:sz w:val="24"/>
          <w:szCs w:val="24"/>
          <w:lang w:eastAsia="en-GB"/>
        </w:rPr>
        <w:t xml:space="preserve">. The investments financed by non-repayable financial support contribute by 37.8 % to the green transition, while the Loan </w:t>
      </w:r>
      <w:r>
        <w:rPr>
          <w:rFonts w:ascii="Times New Roman" w:hAnsi="Times New Roman" w:cs="Times New Roman"/>
          <w:noProof/>
          <w:sz w:val="24"/>
          <w:szCs w:val="24"/>
          <w:lang w:eastAsia="en-GB"/>
        </w:rPr>
        <w:t>Facility financed through the loan allocation contribute by 37.0 % to the climate objective. This exceeds the minimum climate target of 37% of the total allocation as set out in the Recovery and Resilience Facility Regulation and is based on a correct appl</w:t>
      </w:r>
      <w:r>
        <w:rPr>
          <w:rFonts w:ascii="Times New Roman" w:hAnsi="Times New Roman" w:cs="Times New Roman"/>
          <w:noProof/>
          <w:sz w:val="24"/>
          <w:szCs w:val="24"/>
          <w:lang w:eastAsia="en-GB"/>
        </w:rPr>
        <w:t>ication of the methodology for climate tracking as set out in Annex VI to that Regulation, by identifying intervention fields, and corresponding coefficients for the calculation of support to climate change objectives. Greece’s plan does not use any uplift</w:t>
      </w:r>
      <w:r>
        <w:rPr>
          <w:rFonts w:ascii="Times New Roman" w:hAnsi="Times New Roman" w:cs="Times New Roman"/>
          <w:noProof/>
          <w:sz w:val="24"/>
          <w:szCs w:val="24"/>
          <w:lang w:eastAsia="en-GB"/>
        </w:rPr>
        <w:t>ing or increase of certain climate coefficients for investments.</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main pillar contributing to climate change objectives is the green pillar, which is constituted of four components covering a total of 35 measures</w:t>
      </w:r>
      <w:r>
        <w:rPr>
          <w:rFonts w:ascii="Times New Roman" w:hAnsi="Times New Roman" w:cs="Times New Roman"/>
          <w:noProof/>
          <w:sz w:val="24"/>
          <w:szCs w:val="24"/>
          <w:lang w:eastAsia="en-GB"/>
        </w:rPr>
        <w:t>. The large majority of these measures co</w:t>
      </w:r>
      <w:r>
        <w:rPr>
          <w:rFonts w:ascii="Times New Roman" w:hAnsi="Times New Roman" w:cs="Times New Roman"/>
          <w:noProof/>
          <w:sz w:val="24"/>
          <w:szCs w:val="24"/>
          <w:lang w:eastAsia="en-GB"/>
        </w:rPr>
        <w:t>ntribute towards the climate change objective through a broad range of interventions, stretching from smart energy systems and renewable energy sources to cycling infrastructure and energy efficiency.</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Component 1.1, based on the ‘PowerUp’ flagship</w:t>
      </w:r>
      <w:r>
        <w:rPr>
          <w:rFonts w:ascii="Times New Roman" w:hAnsi="Times New Roman" w:cs="Times New Roman"/>
          <w:noProof/>
          <w:sz w:val="24"/>
          <w:szCs w:val="24"/>
          <w:lang w:eastAsia="en-GB"/>
        </w:rPr>
        <w:t xml:space="preserve"> (overall</w:t>
      </w:r>
      <w:r>
        <w:rPr>
          <w:rFonts w:ascii="Times New Roman" w:hAnsi="Times New Roman" w:cs="Times New Roman"/>
          <w:noProof/>
          <w:sz w:val="24"/>
          <w:szCs w:val="24"/>
          <w:lang w:eastAsia="en-GB"/>
        </w:rPr>
        <w:t xml:space="preserve"> estimated value: EUR 1.20 billion) includes a number of investments contributing towards the climate objective, such as the support for installation of storage systems to enhance renewable energy sources’ (RES) penetration. The component also includes an </w:t>
      </w:r>
      <w:r>
        <w:rPr>
          <w:rFonts w:ascii="Times New Roman" w:hAnsi="Times New Roman" w:cs="Times New Roman"/>
          <w:noProof/>
          <w:sz w:val="24"/>
          <w:szCs w:val="24"/>
          <w:lang w:eastAsia="en-GB"/>
        </w:rPr>
        <w:t>important reform concerning the RES support scheme to producers that aims to ensure that it remains viable. Strong emphasis is placed on electricity interconnections between the islands and the mainland, and in particular, the connection of the Cyclades Is</w:t>
      </w:r>
      <w:r>
        <w:rPr>
          <w:rFonts w:ascii="Times New Roman" w:hAnsi="Times New Roman" w:cs="Times New Roman"/>
          <w:noProof/>
          <w:sz w:val="24"/>
          <w:szCs w:val="24"/>
          <w:lang w:eastAsia="en-GB"/>
        </w:rPr>
        <w:t>lands to the mainland’s grid.</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Component 1.2, based on the Renovation wave flagship</w:t>
      </w:r>
      <w:r>
        <w:rPr>
          <w:rFonts w:ascii="Times New Roman" w:hAnsi="Times New Roman" w:cs="Times New Roman"/>
          <w:noProof/>
          <w:sz w:val="24"/>
          <w:szCs w:val="24"/>
          <w:lang w:eastAsia="en-GB"/>
        </w:rPr>
        <w:t xml:space="preserve"> (overall estimated value: EUR 2.71 billion) covers significant investments in enhancing energy efficiency in Greece’s building stock, including a flagship investment in “Ene</w:t>
      </w:r>
      <w:r>
        <w:rPr>
          <w:rFonts w:ascii="Times New Roman" w:hAnsi="Times New Roman" w:cs="Times New Roman"/>
          <w:noProof/>
          <w:sz w:val="24"/>
          <w:szCs w:val="24"/>
          <w:lang w:eastAsia="en-GB"/>
        </w:rPr>
        <w:t>rgy renovation of residential buildings” that is estimated at EUR 1.253 billion. The measures related to renovation and enhancing energy efficiency will result in average primary energy savings or greenhouse gas reduction of 30%. The component also include</w:t>
      </w:r>
      <w:r>
        <w:rPr>
          <w:rFonts w:ascii="Times New Roman" w:hAnsi="Times New Roman" w:cs="Times New Roman"/>
          <w:noProof/>
          <w:sz w:val="24"/>
          <w:szCs w:val="24"/>
          <w:lang w:eastAsia="en-GB"/>
        </w:rPr>
        <w:t>s an important reform to develop urban plans in order to set a comprehensive and coherent framework for urban policy and the relevant planning systems. The urban plans will include a dedicated chapter on adaptation measures at the municipal level to streng</w:t>
      </w:r>
      <w:r>
        <w:rPr>
          <w:rFonts w:ascii="Times New Roman" w:hAnsi="Times New Roman" w:cs="Times New Roman"/>
          <w:noProof/>
          <w:sz w:val="24"/>
          <w:szCs w:val="24"/>
          <w:lang w:eastAsia="en-GB"/>
        </w:rPr>
        <w:t>then overall climate resilience.</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Component 1.3, based on the clean, smart and fair urban mobility flagship</w:t>
      </w:r>
      <w:r>
        <w:rPr>
          <w:rFonts w:ascii="Times New Roman" w:hAnsi="Times New Roman" w:cs="Times New Roman"/>
          <w:noProof/>
          <w:sz w:val="24"/>
          <w:szCs w:val="24"/>
          <w:lang w:eastAsia="en-GB"/>
        </w:rPr>
        <w:t xml:space="preserve"> (overall estimated value: EUR 520 million) aims to make urban mobility cleaner, smarter, safer and fairer. It covers measures for the installation of</w:t>
      </w:r>
      <w:r>
        <w:rPr>
          <w:rFonts w:ascii="Times New Roman" w:hAnsi="Times New Roman" w:cs="Times New Roman"/>
          <w:noProof/>
          <w:sz w:val="24"/>
          <w:szCs w:val="24"/>
          <w:lang w:eastAsia="en-GB"/>
        </w:rPr>
        <w:t xml:space="preserve"> more than 8 000 charging points for electric vehicles and replacement of 2 000 taxis and 220 public transport busses with battery electric vehicles. Further, it covers the development of Greece’s first Carbon Capture, Utilization and Storage Facility (CCU</w:t>
      </w:r>
      <w:r>
        <w:rPr>
          <w:rFonts w:ascii="Times New Roman" w:hAnsi="Times New Roman" w:cs="Times New Roman"/>
          <w:noProof/>
          <w:sz w:val="24"/>
          <w:szCs w:val="24"/>
          <w:lang w:eastAsia="en-GB"/>
        </w:rPr>
        <w:t>S) contributing to the clean energy transition. This component also contains key reforms, including revising the legislative framework for public urban and regional passenger transportation services and carrying out a feasibility study for the establishmen</w:t>
      </w:r>
      <w:r>
        <w:rPr>
          <w:rFonts w:ascii="Times New Roman" w:hAnsi="Times New Roman" w:cs="Times New Roman"/>
          <w:noProof/>
          <w:sz w:val="24"/>
          <w:szCs w:val="24"/>
          <w:lang w:eastAsia="en-GB"/>
        </w:rPr>
        <w:t>t of an electro-mobility agency.</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Component 1.4</w:t>
      </w:r>
      <w:r>
        <w:rPr>
          <w:rFonts w:ascii="Times New Roman" w:hAnsi="Times New Roman" w:cs="Times New Roman"/>
          <w:noProof/>
          <w:sz w:val="24"/>
          <w:szCs w:val="24"/>
          <w:lang w:eastAsia="en-GB"/>
        </w:rPr>
        <w:t xml:space="preserve"> (overall estimated value: EUR 1.76 billion) covers a range of measures related to the environmental protection ranging from reforestation and biodiversity protection to improving the irrigation network and was</w:t>
      </w:r>
      <w:r>
        <w:rPr>
          <w:rFonts w:ascii="Times New Roman" w:hAnsi="Times New Roman" w:cs="Times New Roman"/>
          <w:noProof/>
          <w:sz w:val="24"/>
          <w:szCs w:val="24"/>
          <w:lang w:eastAsia="en-GB"/>
        </w:rPr>
        <w:t>tewater management. The component also includes measures aiming to enhance the operational capabilities of Greece’s civil protection and disaster management systems in order to address climate related risks, such as floods and forest fires.</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second pill</w:t>
      </w:r>
      <w:r>
        <w:rPr>
          <w:rFonts w:ascii="Times New Roman" w:hAnsi="Times New Roman" w:cs="Times New Roman"/>
          <w:b/>
          <w:bCs/>
          <w:noProof/>
          <w:sz w:val="24"/>
          <w:szCs w:val="24"/>
          <w:lang w:eastAsia="en-GB"/>
        </w:rPr>
        <w:t>ar (digital)</w:t>
      </w:r>
      <w:r>
        <w:rPr>
          <w:rFonts w:ascii="Times New Roman" w:hAnsi="Times New Roman" w:cs="Times New Roman"/>
          <w:noProof/>
          <w:sz w:val="24"/>
          <w:szCs w:val="24"/>
          <w:lang w:eastAsia="en-GB"/>
        </w:rPr>
        <w:t xml:space="preserve"> </w:t>
      </w:r>
      <w:r>
        <w:rPr>
          <w:rFonts w:ascii="Times New Roman" w:hAnsi="Times New Roman" w:cs="Times New Roman"/>
          <w:b/>
          <w:bCs/>
          <w:noProof/>
          <w:sz w:val="24"/>
          <w:szCs w:val="24"/>
          <w:lang w:eastAsia="en-GB"/>
        </w:rPr>
        <w:t>of the plan also contains measures contributing towards the climate objective.</w:t>
      </w:r>
      <w:r>
        <w:rPr>
          <w:rFonts w:ascii="Times New Roman" w:hAnsi="Times New Roman" w:cs="Times New Roman"/>
          <w:noProof/>
          <w:sz w:val="24"/>
          <w:szCs w:val="24"/>
          <w:lang w:eastAsia="en-GB"/>
        </w:rPr>
        <w:t xml:space="preserve"> This pillar includes three components out of which component 2.2 aiming to modernise and enhance the digital services of the Greek public administration contains tw</w:t>
      </w:r>
      <w:r>
        <w:rPr>
          <w:rFonts w:ascii="Times New Roman" w:hAnsi="Times New Roman" w:cs="Times New Roman"/>
          <w:noProof/>
          <w:sz w:val="24"/>
          <w:szCs w:val="24"/>
          <w:lang w:eastAsia="en-GB"/>
        </w:rPr>
        <w:t>o measures contributing towards the climate objective. Both measures relate to the supply and upgrade of government cloud infrastructure and services and will follow the European Code of Conduct on Data Centre Energy Efficiency aiming to reduce energy cons</w:t>
      </w:r>
      <w:r>
        <w:rPr>
          <w:rFonts w:ascii="Times New Roman" w:hAnsi="Times New Roman" w:cs="Times New Roman"/>
          <w:noProof/>
          <w:sz w:val="24"/>
          <w:szCs w:val="24"/>
          <w:lang w:eastAsia="en-GB"/>
        </w:rPr>
        <w:t>umption of data centres through applying best practices.</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third pillar, focusing on employment, skills and social cohesion, contains measures contributing towards the climate objective in three out of its four components</w:t>
      </w:r>
      <w:r>
        <w:rPr>
          <w:rFonts w:ascii="Times New Roman" w:hAnsi="Times New Roman" w:cs="Times New Roman"/>
          <w:noProof/>
          <w:sz w:val="24"/>
          <w:szCs w:val="24"/>
          <w:lang w:eastAsia="en-GB"/>
        </w:rPr>
        <w:t>. Components 3.1 and 3.2 aiming t</w:t>
      </w:r>
      <w:r>
        <w:rPr>
          <w:rFonts w:ascii="Times New Roman" w:hAnsi="Times New Roman" w:cs="Times New Roman"/>
          <w:noProof/>
          <w:sz w:val="24"/>
          <w:szCs w:val="24"/>
          <w:lang w:eastAsia="en-GB"/>
        </w:rPr>
        <w:t>o support employment and strengthen labour force upskilling contain dedicated funds for improving green skills and supporting job creation in the green economy. The new strategy for lifelong skilling includes training programmes on green skills, covering r</w:t>
      </w:r>
      <w:r>
        <w:rPr>
          <w:rFonts w:ascii="Times New Roman" w:hAnsi="Times New Roman" w:cs="Times New Roman"/>
          <w:noProof/>
          <w:sz w:val="24"/>
          <w:szCs w:val="24"/>
          <w:lang w:eastAsia="en-GB"/>
        </w:rPr>
        <w:t>esource efficiency, low-carbon industry, climate reliance and managing natural assets. The remaining climate related measures focus on energy efficiency renovations, including infrastructure upgrades for hospitals under component 3.3.</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fourth pillar, co</w:t>
      </w:r>
      <w:r>
        <w:rPr>
          <w:rFonts w:ascii="Times New Roman" w:hAnsi="Times New Roman" w:cs="Times New Roman"/>
          <w:b/>
          <w:bCs/>
          <w:noProof/>
          <w:sz w:val="24"/>
          <w:szCs w:val="24"/>
          <w:lang w:eastAsia="en-GB"/>
        </w:rPr>
        <w:t>vering tax policy, private investments and transformation of the economy, also includes a number of measures contributing towards the climate objective</w:t>
      </w:r>
      <w:r>
        <w:rPr>
          <w:rFonts w:ascii="Times New Roman" w:hAnsi="Times New Roman" w:cs="Times New Roman"/>
          <w:noProof/>
          <w:sz w:val="24"/>
          <w:szCs w:val="24"/>
          <w:lang w:eastAsia="en-GB"/>
        </w:rPr>
        <w:t>. In particular, the components “Modernise and improve resilience of key economic sectors” and “Improve c</w:t>
      </w:r>
      <w:r>
        <w:rPr>
          <w:rFonts w:ascii="Times New Roman" w:hAnsi="Times New Roman" w:cs="Times New Roman"/>
          <w:noProof/>
          <w:sz w:val="24"/>
          <w:szCs w:val="24"/>
          <w:lang w:eastAsia="en-GB"/>
        </w:rPr>
        <w:t>ompetitiveness and promote private investments and trade” contain significant investments related to climate change. The former component includes measures to strengthen the urban and national rail network as well as targeted support to the agricultural se</w:t>
      </w:r>
      <w:r>
        <w:rPr>
          <w:rFonts w:ascii="Times New Roman" w:hAnsi="Times New Roman" w:cs="Times New Roman"/>
          <w:noProof/>
          <w:sz w:val="24"/>
          <w:szCs w:val="24"/>
          <w:lang w:eastAsia="en-GB"/>
        </w:rPr>
        <w:t xml:space="preserve">ctor for climate adaptation measures. The latter component contains a Loan Facility for EUR 12 728 million that shall allocate at least 37% of its funds to activities supporting the climate transition, such as efficiency and demonstration projects for the </w:t>
      </w:r>
      <w:r>
        <w:rPr>
          <w:rFonts w:ascii="Times New Roman" w:hAnsi="Times New Roman" w:cs="Times New Roman"/>
          <w:noProof/>
          <w:sz w:val="24"/>
          <w:szCs w:val="24"/>
          <w:lang w:eastAsia="en-GB"/>
        </w:rPr>
        <w:t>private sector with significant energy savings or reduction of greenhouse gas emissions, new resources energy sources’ capacity (solar and wind) and smart energy systems. Finally, component 4.1 includes a reform introducing tax incentives for super-deducti</w:t>
      </w:r>
      <w:r>
        <w:rPr>
          <w:rFonts w:ascii="Times New Roman" w:hAnsi="Times New Roman" w:cs="Times New Roman"/>
          <w:noProof/>
          <w:sz w:val="24"/>
          <w:szCs w:val="24"/>
          <w:lang w:eastAsia="en-GB"/>
        </w:rPr>
        <w:t>on of SME expenses on green and digital investments and is expected to increase investment for the green and digital transitions.</w:t>
      </w: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rPr>
          <w:noProof/>
        </w:rPr>
        <w:t xml:space="preserve"> Climate contribution per component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693"/>
        <w:gridCol w:w="1766"/>
        <w:gridCol w:w="1766"/>
      </w:tblGrid>
      <w:tr w:rsidR="00176373">
        <w:trPr>
          <w:cantSplit/>
          <w:trHeight w:val="600"/>
        </w:trPr>
        <w:tc>
          <w:tcPr>
            <w:tcW w:w="2272" w:type="pct"/>
            <w:shd w:val="clear" w:color="auto" w:fill="E7E6E6" w:themeFill="background2"/>
            <w:vAlign w:val="center"/>
            <w:hideMark/>
          </w:tcPr>
          <w:p w:rsidR="00176373" w:rsidRDefault="00E474D1">
            <w:pPr>
              <w:widowControl w:val="0"/>
              <w:spacing w:after="0"/>
              <w:jc w:val="center"/>
              <w:rPr>
                <w:rFonts w:ascii="Times New Roman" w:hAnsi="Times New Roman" w:cs="Times New Roman"/>
                <w:b/>
                <w:bCs/>
                <w:noProof/>
                <w:lang w:eastAsia="en-GB"/>
              </w:rPr>
            </w:pPr>
            <w:r>
              <w:rPr>
                <w:rFonts w:ascii="Times New Roman" w:hAnsi="Times New Roman" w:cs="Times New Roman"/>
                <w:b/>
                <w:bCs/>
                <w:noProof/>
                <w:lang w:eastAsia="en-GB"/>
              </w:rPr>
              <w:t>Component and name of the measure</w:t>
            </w:r>
          </w:p>
        </w:tc>
        <w:tc>
          <w:tcPr>
            <w:tcW w:w="884" w:type="pct"/>
            <w:shd w:val="clear" w:color="auto" w:fill="E7E6E6" w:themeFill="background2"/>
            <w:vAlign w:val="center"/>
            <w:hideMark/>
          </w:tcPr>
          <w:p w:rsidR="00176373" w:rsidRDefault="00E474D1">
            <w:pPr>
              <w:widowControl w:val="0"/>
              <w:spacing w:after="0"/>
              <w:jc w:val="center"/>
              <w:rPr>
                <w:rFonts w:ascii="Times New Roman" w:hAnsi="Times New Roman" w:cs="Times New Roman"/>
                <w:b/>
                <w:bCs/>
                <w:noProof/>
                <w:lang w:eastAsia="en-GB"/>
              </w:rPr>
            </w:pPr>
            <w:r>
              <w:rPr>
                <w:rFonts w:ascii="Times New Roman" w:hAnsi="Times New Roman" w:cs="Times New Roman"/>
                <w:b/>
                <w:bCs/>
                <w:noProof/>
                <w:lang w:eastAsia="en-GB"/>
              </w:rPr>
              <w:t>Cost</w:t>
            </w:r>
          </w:p>
          <w:p w:rsidR="00176373" w:rsidRDefault="00E474D1">
            <w:pPr>
              <w:widowControl w:val="0"/>
              <w:spacing w:after="0"/>
              <w:jc w:val="center"/>
              <w:rPr>
                <w:rFonts w:ascii="Times New Roman" w:hAnsi="Times New Roman" w:cs="Times New Roman"/>
                <w:b/>
                <w:bCs/>
                <w:noProof/>
                <w:lang w:eastAsia="en-GB"/>
              </w:rPr>
            </w:pPr>
            <w:r>
              <w:rPr>
                <w:rFonts w:ascii="Times New Roman" w:hAnsi="Times New Roman" w:cs="Times New Roman"/>
                <w:b/>
                <w:bCs/>
                <w:noProof/>
                <w:lang w:eastAsia="en-GB"/>
              </w:rPr>
              <w:t>(EUR million)</w:t>
            </w:r>
          </w:p>
        </w:tc>
        <w:tc>
          <w:tcPr>
            <w:tcW w:w="922" w:type="pct"/>
            <w:shd w:val="clear" w:color="auto" w:fill="E7E6E6" w:themeFill="background2"/>
            <w:vAlign w:val="center"/>
            <w:hideMark/>
          </w:tcPr>
          <w:p w:rsidR="00176373" w:rsidRDefault="00E474D1">
            <w:pPr>
              <w:widowControl w:val="0"/>
              <w:spacing w:after="0"/>
              <w:jc w:val="center"/>
              <w:rPr>
                <w:rFonts w:ascii="Times New Roman" w:hAnsi="Times New Roman" w:cs="Times New Roman"/>
                <w:b/>
                <w:bCs/>
                <w:noProof/>
                <w:lang w:eastAsia="en-GB"/>
              </w:rPr>
            </w:pPr>
            <w:r>
              <w:rPr>
                <w:rFonts w:ascii="Times New Roman" w:hAnsi="Times New Roman" w:cs="Times New Roman"/>
                <w:b/>
                <w:bCs/>
                <w:noProof/>
                <w:lang w:eastAsia="en-GB"/>
              </w:rPr>
              <w:t>Climate contribution (EUR million)</w:t>
            </w:r>
          </w:p>
        </w:tc>
        <w:tc>
          <w:tcPr>
            <w:tcW w:w="922" w:type="pct"/>
            <w:shd w:val="clear" w:color="auto" w:fill="E7E6E6" w:themeFill="background2"/>
            <w:vAlign w:val="center"/>
            <w:hideMark/>
          </w:tcPr>
          <w:p w:rsidR="00176373" w:rsidRDefault="00E474D1">
            <w:pPr>
              <w:widowControl w:val="0"/>
              <w:spacing w:after="0"/>
              <w:jc w:val="center"/>
              <w:rPr>
                <w:rFonts w:ascii="Times New Roman" w:hAnsi="Times New Roman" w:cs="Times New Roman"/>
                <w:b/>
                <w:bCs/>
                <w:noProof/>
                <w:lang w:eastAsia="en-GB"/>
              </w:rPr>
            </w:pPr>
            <w:r>
              <w:rPr>
                <w:rFonts w:ascii="Times New Roman" w:hAnsi="Times New Roman" w:cs="Times New Roman"/>
                <w:b/>
                <w:bCs/>
                <w:noProof/>
                <w:lang w:eastAsia="en-GB"/>
              </w:rPr>
              <w:t>Climate contribution * (percentage)</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1.1. Power up</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1 200.3</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987.8</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3.2%</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1.2. Renovate</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2 711.5</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2 532.5</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8.3%</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1.3. Recharge and refuel</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520.0</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520.0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1.7%</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1.4. Sustainable use of resources, climate resilience and environmental</w:t>
            </w:r>
            <w:r>
              <w:rPr>
                <w:rFonts w:ascii="Times New Roman" w:eastAsia="Times New Roman" w:hAnsi="Times New Roman" w:cs="Times New Roman"/>
                <w:noProof/>
                <w:color w:val="000000"/>
              </w:rPr>
              <w:t xml:space="preserve"> protection</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1 762.7</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1 065.1</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3.5%</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2.1. Connect</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521.6</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2.2. Modernise</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1 280.6</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63.2</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0.2%</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2.3. Digitalisation of businesses</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375.0</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3.1. Promote job creation and participation in the labour market</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776.3</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100.00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0.3%</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 xml:space="preserve">3.2. Education, </w:t>
            </w:r>
            <w:r>
              <w:rPr>
                <w:rFonts w:ascii="Times New Roman" w:eastAsia="Times New Roman" w:hAnsi="Times New Roman" w:cs="Times New Roman"/>
                <w:noProof/>
                <w:color w:val="000000"/>
              </w:rPr>
              <w:t>vocational education and training, and skills</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2 311.4</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513.00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1.7%</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3.3. Improve resilience, accessibility and sustainability of healthcare</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1 485.7</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204.7</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0.7%</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3.4. Increase access to effective and inclusive social policies</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611.4</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4.1. Making taxes</w:t>
            </w:r>
            <w:r>
              <w:rPr>
                <w:rFonts w:ascii="Times New Roman" w:eastAsia="Times New Roman" w:hAnsi="Times New Roman" w:cs="Times New Roman"/>
                <w:noProof/>
                <w:color w:val="000000"/>
              </w:rPr>
              <w:t xml:space="preserve"> more growth friendly and improving tax administration and tax collection</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187.2</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4.2. Modernise the public administration, including through speeding up the implementation of public investments, improving the public procurement framework, capacity</w:t>
            </w:r>
            <w:r>
              <w:rPr>
                <w:rFonts w:ascii="Times New Roman" w:eastAsia="Times New Roman" w:hAnsi="Times New Roman" w:cs="Times New Roman"/>
                <w:noProof/>
                <w:color w:val="000000"/>
              </w:rPr>
              <w:t xml:space="preserve"> building measures and fighting corruption</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188.8</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4.3. Improve the efficiency of the justice system</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250.7</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color w:val="000000"/>
                <w:lang w:eastAsia="en-GB"/>
              </w:rPr>
            </w:pPr>
            <w:r>
              <w:rPr>
                <w:rFonts w:ascii="Times New Roman" w:hAnsi="Times New Roman" w:cs="Times New Roman"/>
                <w:noProof/>
                <w:color w:val="000000"/>
              </w:rPr>
              <w:t>38.4</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0.1%</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4.4. Strengthen the financial sector and capital markets</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20.7</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4.5. Promote research and innovation</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443.6</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50.00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0.2%</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4.6. Modernise and improve resilience of key economic sectors</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3 742.1</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644.3</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2.1%</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4.7. Improve competitiveness and promote private investments and trade</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12 733.7</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4 709.6</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15.4%</w:t>
            </w:r>
          </w:p>
        </w:tc>
      </w:tr>
      <w:tr w:rsidR="00176373">
        <w:trPr>
          <w:cantSplit/>
          <w:trHeight w:val="300"/>
        </w:trPr>
        <w:tc>
          <w:tcPr>
            <w:tcW w:w="2272" w:type="pct"/>
            <w:shd w:val="clear" w:color="auto" w:fill="auto"/>
            <w:vAlign w:val="center"/>
          </w:tcPr>
          <w:p w:rsidR="00176373" w:rsidRDefault="00E474D1">
            <w:pPr>
              <w:widowControl w:val="0"/>
              <w:spacing w:after="0"/>
              <w:rPr>
                <w:rFonts w:ascii="Times New Roman" w:hAnsi="Times New Roman" w:cs="Times New Roman"/>
                <w:noProof/>
                <w:lang w:eastAsia="en-GB"/>
              </w:rPr>
            </w:pPr>
            <w:r>
              <w:rPr>
                <w:rFonts w:ascii="Times New Roman" w:eastAsia="Times New Roman" w:hAnsi="Times New Roman" w:cs="Times New Roman"/>
                <w:noProof/>
                <w:color w:val="000000"/>
              </w:rPr>
              <w:t>Technical assistance</w:t>
            </w:r>
          </w:p>
        </w:tc>
        <w:tc>
          <w:tcPr>
            <w:tcW w:w="884"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40.0</w:t>
            </w:r>
          </w:p>
        </w:tc>
        <w:tc>
          <w:tcPr>
            <w:tcW w:w="922" w:type="pct"/>
            <w:shd w:val="clear" w:color="auto" w:fill="auto"/>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0.00</w:t>
            </w:r>
          </w:p>
        </w:tc>
        <w:tc>
          <w:tcPr>
            <w:tcW w:w="922" w:type="pct"/>
            <w:shd w:val="clear" w:color="auto" w:fill="auto"/>
            <w:noWrap/>
            <w:vAlign w:val="center"/>
          </w:tcPr>
          <w:p w:rsidR="00176373" w:rsidRDefault="00E474D1">
            <w:pPr>
              <w:widowControl w:val="0"/>
              <w:spacing w:after="0"/>
              <w:jc w:val="right"/>
              <w:rPr>
                <w:rFonts w:ascii="Times New Roman" w:hAnsi="Times New Roman" w:cs="Times New Roman"/>
                <w:noProof/>
                <w:lang w:eastAsia="en-GB"/>
              </w:rPr>
            </w:pPr>
            <w:r>
              <w:rPr>
                <w:rFonts w:ascii="Times New Roman" w:hAnsi="Times New Roman" w:cs="Times New Roman"/>
                <w:noProof/>
                <w:color w:val="000000"/>
              </w:rPr>
              <w:t>0.0%</w:t>
            </w:r>
          </w:p>
        </w:tc>
      </w:tr>
      <w:tr w:rsidR="00176373">
        <w:trPr>
          <w:cantSplit/>
          <w:trHeight w:val="315"/>
        </w:trPr>
        <w:tc>
          <w:tcPr>
            <w:tcW w:w="2272" w:type="pct"/>
            <w:shd w:val="clear" w:color="auto" w:fill="auto"/>
            <w:vAlign w:val="center"/>
            <w:hideMark/>
          </w:tcPr>
          <w:p w:rsidR="00176373" w:rsidRDefault="00E474D1">
            <w:pPr>
              <w:widowControl w:val="0"/>
              <w:spacing w:after="0"/>
              <w:rPr>
                <w:rFonts w:ascii="Times New Roman" w:hAnsi="Times New Roman" w:cs="Times New Roman"/>
                <w:b/>
                <w:bCs/>
                <w:noProof/>
                <w:lang w:eastAsia="en-GB"/>
              </w:rPr>
            </w:pPr>
            <w:r>
              <w:rPr>
                <w:rFonts w:ascii="Times New Roman" w:eastAsia="Times New Roman" w:hAnsi="Times New Roman" w:cs="Times New Roman"/>
                <w:b/>
                <w:bCs/>
                <w:noProof/>
                <w:color w:val="000000"/>
              </w:rPr>
              <w:t>Total</w:t>
            </w:r>
          </w:p>
        </w:tc>
        <w:tc>
          <w:tcPr>
            <w:tcW w:w="884" w:type="pct"/>
            <w:shd w:val="clear" w:color="auto" w:fill="auto"/>
            <w:noWrap/>
            <w:vAlign w:val="center"/>
            <w:hideMark/>
          </w:tcPr>
          <w:p w:rsidR="00176373" w:rsidRDefault="00E474D1">
            <w:pPr>
              <w:widowControl w:val="0"/>
              <w:spacing w:after="0"/>
              <w:jc w:val="right"/>
              <w:rPr>
                <w:rFonts w:ascii="Times New Roman" w:hAnsi="Times New Roman" w:cs="Times New Roman"/>
                <w:b/>
                <w:bCs/>
                <w:noProof/>
                <w:lang w:eastAsia="en-GB"/>
              </w:rPr>
            </w:pPr>
            <w:r>
              <w:rPr>
                <w:rFonts w:ascii="Times New Roman" w:hAnsi="Times New Roman" w:cs="Times New Roman"/>
                <w:b/>
                <w:bCs/>
                <w:noProof/>
                <w:color w:val="000000"/>
              </w:rPr>
              <w:t>31 163.5</w:t>
            </w:r>
          </w:p>
        </w:tc>
        <w:tc>
          <w:tcPr>
            <w:tcW w:w="922" w:type="pct"/>
            <w:shd w:val="clear" w:color="auto" w:fill="auto"/>
            <w:noWrap/>
            <w:vAlign w:val="center"/>
            <w:hideMark/>
          </w:tcPr>
          <w:p w:rsidR="00176373" w:rsidRDefault="00E474D1">
            <w:pPr>
              <w:widowControl w:val="0"/>
              <w:spacing w:after="0"/>
              <w:jc w:val="right"/>
              <w:rPr>
                <w:rFonts w:ascii="Times New Roman" w:hAnsi="Times New Roman" w:cs="Times New Roman"/>
                <w:b/>
                <w:bCs/>
                <w:noProof/>
                <w:lang w:eastAsia="en-GB"/>
              </w:rPr>
            </w:pPr>
            <w:r>
              <w:rPr>
                <w:rFonts w:ascii="Times New Roman" w:hAnsi="Times New Roman" w:cs="Times New Roman"/>
                <w:b/>
                <w:bCs/>
                <w:noProof/>
                <w:color w:val="000000"/>
              </w:rPr>
              <w:t>11 428.5</w:t>
            </w:r>
          </w:p>
        </w:tc>
        <w:tc>
          <w:tcPr>
            <w:tcW w:w="922" w:type="pct"/>
            <w:shd w:val="clear" w:color="auto" w:fill="auto"/>
            <w:noWrap/>
            <w:vAlign w:val="center"/>
            <w:hideMark/>
          </w:tcPr>
          <w:p w:rsidR="00176373" w:rsidRDefault="00E474D1">
            <w:pPr>
              <w:widowControl w:val="0"/>
              <w:spacing w:after="0"/>
              <w:jc w:val="right"/>
              <w:rPr>
                <w:rFonts w:ascii="Times New Roman" w:hAnsi="Times New Roman" w:cs="Times New Roman"/>
                <w:b/>
                <w:bCs/>
                <w:noProof/>
                <w:lang w:eastAsia="en-GB"/>
              </w:rPr>
            </w:pPr>
            <w:r>
              <w:rPr>
                <w:rFonts w:ascii="Times New Roman" w:hAnsi="Times New Roman" w:cs="Times New Roman"/>
                <w:b/>
                <w:bCs/>
                <w:noProof/>
                <w:color w:val="000000"/>
              </w:rPr>
              <w:t>37.5%</w:t>
            </w:r>
          </w:p>
        </w:tc>
      </w:tr>
    </w:tbl>
    <w:p w:rsidR="00176373" w:rsidRDefault="00E474D1">
      <w:pPr>
        <w:jc w:val="both"/>
        <w:rPr>
          <w:rFonts w:ascii="Times New Roman" w:hAnsi="Times New Roman" w:cs="Times New Roman"/>
          <w:i/>
          <w:noProof/>
          <w:sz w:val="20"/>
          <w:szCs w:val="20"/>
          <w:lang w:eastAsia="en-GB"/>
        </w:rPr>
      </w:pPr>
      <w:r>
        <w:rPr>
          <w:rFonts w:ascii="Times New Roman" w:hAnsi="Times New Roman" w:cs="Times New Roman"/>
          <w:i/>
          <w:noProof/>
          <w:sz w:val="20"/>
          <w:szCs w:val="20"/>
          <w:lang w:eastAsia="en-GB"/>
        </w:rPr>
        <w:t xml:space="preserve">* Please </w:t>
      </w:r>
      <w:r>
        <w:rPr>
          <w:rFonts w:ascii="Times New Roman" w:hAnsi="Times New Roman" w:cs="Times New Roman"/>
          <w:i/>
          <w:noProof/>
          <w:sz w:val="20"/>
          <w:szCs w:val="20"/>
          <w:lang w:eastAsia="en-GB"/>
        </w:rPr>
        <w:t>note that the climate change contribution in percentage is calculated based on Greece’s total allocation of non-repayable financial support (EUR 17 769.9 million) and loans (EUR 12 727.54 million).</w:t>
      </w:r>
    </w:p>
    <w:p w:rsidR="00176373" w:rsidRDefault="00E474D1">
      <w:pPr>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 xml:space="preserve">Green transition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recovery and resilience plan contrib</w:t>
      </w:r>
      <w:r>
        <w:rPr>
          <w:rFonts w:ascii="Times New Roman" w:hAnsi="Times New Roman" w:cs="Times New Roman"/>
          <w:b/>
          <w:bCs/>
          <w:noProof/>
          <w:sz w:val="24"/>
          <w:szCs w:val="24"/>
          <w:lang w:eastAsia="en-GB"/>
        </w:rPr>
        <w:t>utes to Greece’s green transition, addresses the related challenges and is overall well aligned with the priorities of the European Green Deal and its 2030 climate target plan as well as the goal to make the EU climate-neutral by 2050.</w:t>
      </w:r>
      <w:r>
        <w:rPr>
          <w:rFonts w:ascii="Times New Roman" w:hAnsi="Times New Roman" w:cs="Times New Roman"/>
          <w:noProof/>
          <w:sz w:val="24"/>
          <w:szCs w:val="24"/>
          <w:lang w:eastAsia="en-GB"/>
        </w:rPr>
        <w:t xml:space="preserve"> The plan contains co</w:t>
      </w:r>
      <w:r>
        <w:rPr>
          <w:rFonts w:ascii="Times New Roman" w:hAnsi="Times New Roman" w:cs="Times New Roman"/>
          <w:noProof/>
          <w:sz w:val="24"/>
          <w:szCs w:val="24"/>
          <w:lang w:eastAsia="en-GB"/>
        </w:rPr>
        <w:t>mponents addressing a number of the green transition areas and making contributions to achieving those goals. On clean energy, component 1.1 includes both reforms and investments aiming to increase the renewable energy sources in Greece’s energy mix. On bu</w:t>
      </w:r>
      <w:r>
        <w:rPr>
          <w:rFonts w:ascii="Times New Roman" w:hAnsi="Times New Roman" w:cs="Times New Roman"/>
          <w:noProof/>
          <w:sz w:val="24"/>
          <w:szCs w:val="24"/>
          <w:lang w:eastAsia="en-GB"/>
        </w:rPr>
        <w:t>ilding and renovating, sizeable investments are planned under component 1.2 to improve the energy efficiency of Greece’s ageing housing stock, complemented by actions targeting energy poor households as well as reforms and investments for urban plans devel</w:t>
      </w:r>
      <w:r>
        <w:rPr>
          <w:rFonts w:ascii="Times New Roman" w:hAnsi="Times New Roman" w:cs="Times New Roman"/>
          <w:noProof/>
          <w:sz w:val="24"/>
          <w:szCs w:val="24"/>
          <w:lang w:eastAsia="en-GB"/>
        </w:rPr>
        <w:t>opment and interventions, setting a framework to support green investments and enhance climate resilience of cities. On sustainable mobility, component 1.3 includes both reforms and investments aiming to improve urban public transport and enhance the infra</w:t>
      </w:r>
      <w:r>
        <w:rPr>
          <w:rFonts w:ascii="Times New Roman" w:hAnsi="Times New Roman" w:cs="Times New Roman"/>
          <w:noProof/>
          <w:sz w:val="24"/>
          <w:szCs w:val="24"/>
          <w:lang w:eastAsia="en-GB"/>
        </w:rPr>
        <w:t>structure for electric vehicles. Component 1.4 includes measures to promote and support biodiversity as well, such as a new system for permanent monitoring of species and habitat types, and the support to the reforestation of 16,500ha of degraded forest ec</w:t>
      </w:r>
      <w:r>
        <w:rPr>
          <w:rFonts w:ascii="Times New Roman" w:hAnsi="Times New Roman" w:cs="Times New Roman"/>
          <w:noProof/>
          <w:sz w:val="24"/>
          <w:szCs w:val="24"/>
          <w:lang w:eastAsia="en-GB"/>
        </w:rPr>
        <w:t>osystems, mainly through native species. Finally, on sustainable agriculture, component 4.6 includes a measure aiming at</w:t>
      </w:r>
      <w:r>
        <w:rPr>
          <w:noProof/>
        </w:rPr>
        <w:t xml:space="preserve"> </w:t>
      </w:r>
      <w:r>
        <w:rPr>
          <w:rFonts w:ascii="Times New Roman" w:hAnsi="Times New Roman" w:cs="Times New Roman"/>
          <w:noProof/>
          <w:sz w:val="24"/>
          <w:szCs w:val="24"/>
          <w:lang w:eastAsia="en-GB"/>
        </w:rPr>
        <w:t>increasing the added value of agricultural products, promoting innovation, and protecting the environment. The key objectives of the me</w:t>
      </w:r>
      <w:r>
        <w:rPr>
          <w:rFonts w:ascii="Times New Roman" w:hAnsi="Times New Roman" w:cs="Times New Roman"/>
          <w:noProof/>
          <w:sz w:val="24"/>
          <w:szCs w:val="24"/>
          <w:lang w:eastAsia="en-GB"/>
        </w:rPr>
        <w:t>asure include increasing competitiveness, with a greater emphasis on research, technology, and digitisation, improving the level of skills in the rural/agricultural sector, improving the environmental profile of agricultural holdings and mitigating the eff</w:t>
      </w:r>
      <w:r>
        <w:rPr>
          <w:rFonts w:ascii="Times New Roman" w:hAnsi="Times New Roman" w:cs="Times New Roman"/>
          <w:noProof/>
          <w:sz w:val="24"/>
          <w:szCs w:val="24"/>
          <w:lang w:eastAsia="en-GB"/>
        </w:rPr>
        <w:t>ects of climate change.</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plan is in line with the strategic priorities of Greece’s National Energy and Climate Plan (NECP) and its specific</w:t>
      </w:r>
      <w:r>
        <w:rPr>
          <w:rFonts w:ascii="Times New Roman" w:hAnsi="Times New Roman" w:cs="Times New Roman"/>
          <w:noProof/>
          <w:sz w:val="24"/>
          <w:szCs w:val="24"/>
          <w:lang w:eastAsia="en-GB"/>
        </w:rPr>
        <w:t xml:space="preserve"> </w:t>
      </w:r>
      <w:r>
        <w:rPr>
          <w:rFonts w:ascii="Times New Roman" w:hAnsi="Times New Roman" w:cs="Times New Roman"/>
          <w:b/>
          <w:bCs/>
          <w:noProof/>
          <w:sz w:val="24"/>
          <w:szCs w:val="24"/>
          <w:lang w:eastAsia="en-GB"/>
        </w:rPr>
        <w:t>targets particularly Greece’s ambitious plan to decommission its lignite plants</w:t>
      </w:r>
      <w:r>
        <w:rPr>
          <w:rFonts w:ascii="Times New Roman" w:hAnsi="Times New Roman" w:cs="Times New Roman"/>
          <w:noProof/>
          <w:sz w:val="24"/>
          <w:szCs w:val="24"/>
          <w:lang w:eastAsia="en-GB"/>
        </w:rPr>
        <w:t>, while it also addresses to a lar</w:t>
      </w:r>
      <w:r>
        <w:rPr>
          <w:rFonts w:ascii="Times New Roman" w:hAnsi="Times New Roman" w:cs="Times New Roman"/>
          <w:noProof/>
          <w:sz w:val="24"/>
          <w:szCs w:val="24"/>
          <w:lang w:eastAsia="en-GB"/>
        </w:rPr>
        <w:t>ge extent the comments raised by the Commission as part of the assessment of Greece’s NECP. The recovery and resilience plan includes reforms and investments serving all five dimensions of the NECP and Greece’s ambitious decarbonisation goals focusing on r</w:t>
      </w:r>
      <w:r>
        <w:rPr>
          <w:rFonts w:ascii="Times New Roman" w:hAnsi="Times New Roman" w:cs="Times New Roman"/>
          <w:noProof/>
          <w:sz w:val="24"/>
          <w:szCs w:val="24"/>
          <w:lang w:eastAsia="en-GB"/>
        </w:rPr>
        <w:t>enewable energy, energy efficiency and clean mobility. Regarding renewable energy sources, the plan includes investments amounting to additional capacity of 6.5 GW by 2025. This equals 74% of the set target by 2030 through frontloading investments and cont</w:t>
      </w:r>
      <w:r>
        <w:rPr>
          <w:rFonts w:ascii="Times New Roman" w:hAnsi="Times New Roman" w:cs="Times New Roman"/>
          <w:noProof/>
          <w:sz w:val="24"/>
          <w:szCs w:val="24"/>
          <w:lang w:eastAsia="en-GB"/>
        </w:rPr>
        <w:t xml:space="preserve">ributing towards achieving the increased 55% net greenhouse gas emissions reduction target. Further, a reform promoting RES production storage and investments for storage, upgrading grids and to connect several non-interconnected islands with the mainland </w:t>
      </w:r>
      <w:r>
        <w:rPr>
          <w:rFonts w:ascii="Times New Roman" w:hAnsi="Times New Roman" w:cs="Times New Roman"/>
          <w:noProof/>
          <w:sz w:val="24"/>
          <w:szCs w:val="24"/>
          <w:lang w:eastAsia="en-GB"/>
        </w:rPr>
        <w:t>are significantly contributing to Greece’s decarbonisation targets, its interconnectivity and security of supply. To ensure the challenging timeline of the decommissioning of existing lignite-fired power generation is met, the plan includes reforms and inv</w:t>
      </w:r>
      <w:r>
        <w:rPr>
          <w:rFonts w:ascii="Times New Roman" w:hAnsi="Times New Roman" w:cs="Times New Roman"/>
          <w:noProof/>
          <w:sz w:val="24"/>
          <w:szCs w:val="24"/>
          <w:lang w:eastAsia="en-GB"/>
        </w:rPr>
        <w:t>estments aimed at completing the internal energy market. This entails a reform for the establishment of a market monitoring mechanism for the National Regulatory Authority (RAE) and the participation of demand-side response (DSR) in the balancing market in</w:t>
      </w:r>
      <w:r>
        <w:rPr>
          <w:rFonts w:ascii="Times New Roman" w:hAnsi="Times New Roman" w:cs="Times New Roman"/>
          <w:noProof/>
          <w:sz w:val="24"/>
          <w:szCs w:val="24"/>
          <w:lang w:eastAsia="en-GB"/>
        </w:rPr>
        <w:t>creasing completion at the wholesale level. Further, a new RES licensing simplification reform and a maritime spatial planning that will allow, among other, for energy production from renewable sources in offshore and coastal areas, are also part of the pl</w:t>
      </w:r>
      <w:r>
        <w:rPr>
          <w:rFonts w:ascii="Times New Roman" w:hAnsi="Times New Roman" w:cs="Times New Roman"/>
          <w:noProof/>
          <w:sz w:val="24"/>
          <w:szCs w:val="24"/>
          <w:lang w:eastAsia="en-GB"/>
        </w:rPr>
        <w:t>an. This reform is expected to further unlock Greece’s potential on offshore and facilitate Greece’s transition from lignite to cleaner energy sources, while respecting environmental protection, and in line with the European Green deal objectives.</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Energy e</w:t>
      </w:r>
      <w:r>
        <w:rPr>
          <w:rFonts w:ascii="Times New Roman" w:hAnsi="Times New Roman" w:cs="Times New Roman"/>
          <w:b/>
          <w:bCs/>
          <w:noProof/>
          <w:sz w:val="24"/>
          <w:szCs w:val="24"/>
          <w:lang w:eastAsia="en-GB"/>
        </w:rPr>
        <w:t>fficiency measures are also a priority for Greece and the plan dedicates a significant budget to energy efficiency measures.</w:t>
      </w:r>
      <w:r>
        <w:rPr>
          <w:rFonts w:ascii="Times New Roman" w:hAnsi="Times New Roman" w:cs="Times New Roman"/>
          <w:noProof/>
          <w:sz w:val="24"/>
          <w:szCs w:val="24"/>
          <w:lang w:eastAsia="en-GB"/>
        </w:rPr>
        <w:t xml:space="preserve"> In the NECP, Greece estimated a total planned budget for all energy efficiency measures of EUR 11 billion and the goals were assess</w:t>
      </w:r>
      <w:r>
        <w:rPr>
          <w:rFonts w:ascii="Times New Roman" w:hAnsi="Times New Roman" w:cs="Times New Roman"/>
          <w:noProof/>
          <w:sz w:val="24"/>
          <w:szCs w:val="24"/>
          <w:lang w:eastAsia="en-GB"/>
        </w:rPr>
        <w:t>ed by the Commission as credible but not sufficiently ambitious </w:t>
      </w:r>
      <w:r>
        <w:rPr>
          <w:rStyle w:val="FootnoteReference"/>
          <w:rFonts w:ascii="Times New Roman" w:hAnsi="Times New Roman" w:cs="Times New Roman"/>
          <w:noProof/>
          <w:sz w:val="24"/>
          <w:szCs w:val="24"/>
          <w:lang w:eastAsia="en-GB"/>
        </w:rPr>
        <w:footnoteReference w:id="34"/>
      </w:r>
      <w:r>
        <w:rPr>
          <w:rFonts w:ascii="Times New Roman" w:hAnsi="Times New Roman" w:cs="Times New Roman"/>
          <w:noProof/>
          <w:sz w:val="24"/>
          <w:szCs w:val="24"/>
          <w:lang w:eastAsia="en-GB"/>
        </w:rPr>
        <w:t>. In line with the ‘Renovation Wave’ Flagship, the Renovate component uses EUR 2.19 billion covering a part of the NECP budget and some of the measures contained therein. The plan proposes si</w:t>
      </w:r>
      <w:r>
        <w:rPr>
          <w:rFonts w:ascii="Times New Roman" w:hAnsi="Times New Roman" w:cs="Times New Roman"/>
          <w:noProof/>
          <w:sz w:val="24"/>
          <w:szCs w:val="24"/>
          <w:lang w:eastAsia="en-GB"/>
        </w:rPr>
        <w:t>gnificant support and additional funding for buildings renovation</w:t>
      </w:r>
      <w:r>
        <w:rPr>
          <w:noProof/>
        </w:rPr>
        <w:t xml:space="preserve">. </w:t>
      </w:r>
      <w:r>
        <w:rPr>
          <w:rFonts w:ascii="Times New Roman" w:hAnsi="Times New Roman" w:cs="Times New Roman"/>
          <w:noProof/>
          <w:sz w:val="24"/>
          <w:szCs w:val="24"/>
          <w:lang w:eastAsia="en-GB"/>
        </w:rPr>
        <w:t>At the same time, substantial amounts of additional public funding will still be needed to mobilise the total volume of investments necessary to deliver on the remaining of the energy savin</w:t>
      </w:r>
      <w:r>
        <w:rPr>
          <w:rFonts w:ascii="Times New Roman" w:hAnsi="Times New Roman" w:cs="Times New Roman"/>
          <w:noProof/>
          <w:sz w:val="24"/>
          <w:szCs w:val="24"/>
          <w:lang w:eastAsia="en-GB"/>
        </w:rPr>
        <w:t>gs required to achieve the objective set in the NECP and the long-term renovation strategy for 2030. Further, as the Commission pointed out in its NECP assessment, energy poverty is a significant problem and Greece has confirmed its intentions to addressin</w:t>
      </w:r>
      <w:r>
        <w:rPr>
          <w:rFonts w:ascii="Times New Roman" w:hAnsi="Times New Roman" w:cs="Times New Roman"/>
          <w:noProof/>
          <w:sz w:val="24"/>
          <w:szCs w:val="24"/>
          <w:lang w:eastAsia="en-GB"/>
        </w:rPr>
        <w:t xml:space="preserve">g it to a great extent over the next 10 years.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Beyond energy efficiency, the recovery and resilience plan has the broader objective of promoting the green transition through the efficient usage of natural resources, in particular through water and waste m</w:t>
      </w:r>
      <w:r>
        <w:rPr>
          <w:rFonts w:ascii="Times New Roman" w:hAnsi="Times New Roman" w:cs="Times New Roman"/>
          <w:b/>
          <w:bCs/>
          <w:noProof/>
          <w:sz w:val="24"/>
          <w:szCs w:val="24"/>
          <w:lang w:eastAsia="en-GB"/>
        </w:rPr>
        <w:t xml:space="preserve">anagement and protection and restoration of natural environment. </w:t>
      </w:r>
      <w:r>
        <w:rPr>
          <w:rFonts w:ascii="Times New Roman" w:hAnsi="Times New Roman" w:cs="Times New Roman"/>
          <w:noProof/>
          <w:sz w:val="24"/>
          <w:szCs w:val="24"/>
          <w:lang w:eastAsia="en-GB"/>
        </w:rPr>
        <w:t>In doing so, the recovery and resilience plan is underpinned by a number of national plans beyond the NECP, including national waste management plan, reforestation plan, circular economy plan</w:t>
      </w:r>
      <w:r>
        <w:rPr>
          <w:rFonts w:ascii="Times New Roman" w:hAnsi="Times New Roman" w:cs="Times New Roman"/>
          <w:noProof/>
          <w:sz w:val="24"/>
          <w:szCs w:val="24"/>
          <w:lang w:eastAsia="en-GB"/>
        </w:rPr>
        <w:t xml:space="preserve"> and biodiversity plan. On the environmental objectives as defined in the Taxonomy Regulation (EU 2020/852), the plan includes measures on climate change mitigation aiming to reduce greenhouse gas emissions, mainly through enhancing energy efficiency of bu</w:t>
      </w:r>
      <w:r>
        <w:rPr>
          <w:rFonts w:ascii="Times New Roman" w:hAnsi="Times New Roman" w:cs="Times New Roman"/>
          <w:noProof/>
          <w:sz w:val="24"/>
          <w:szCs w:val="24"/>
          <w:lang w:eastAsia="en-GB"/>
        </w:rPr>
        <w:t>ildings. Further, the plan contains a measure to develop Greece’s first carbon capture, utilisation and storage investment by developing transportation and storage on CO</w:t>
      </w:r>
      <w:r>
        <w:rPr>
          <w:rFonts w:ascii="Times New Roman" w:hAnsi="Times New Roman" w:cs="Times New Roman"/>
          <w:noProof/>
          <w:sz w:val="24"/>
          <w:szCs w:val="24"/>
          <w:vertAlign w:val="subscript"/>
          <w:lang w:eastAsia="en-GB"/>
        </w:rPr>
        <w:t>2</w:t>
      </w:r>
      <w:r>
        <w:rPr>
          <w:rFonts w:ascii="Times New Roman" w:hAnsi="Times New Roman" w:cs="Times New Roman"/>
          <w:noProof/>
          <w:sz w:val="24"/>
          <w:szCs w:val="24"/>
          <w:lang w:eastAsia="en-GB"/>
        </w:rPr>
        <w:t xml:space="preserve"> into geological features. This will help with emissions of hard to abate sectors, whi</w:t>
      </w:r>
      <w:r>
        <w:rPr>
          <w:rFonts w:ascii="Times New Roman" w:hAnsi="Times New Roman" w:cs="Times New Roman"/>
          <w:noProof/>
          <w:sz w:val="24"/>
          <w:szCs w:val="24"/>
          <w:lang w:eastAsia="en-GB"/>
        </w:rPr>
        <w:t xml:space="preserve">le hydrogen could also be enabled with this measure, in line with the Union’s hydrogen strategy. </w:t>
      </w:r>
    </w:p>
    <w:p w:rsidR="00176373" w:rsidRDefault="00E474D1">
      <w:pPr>
        <w:jc w:val="both"/>
        <w:rPr>
          <w:rFonts w:ascii="Times New Roman" w:hAnsi="Times New Roman" w:cs="Times New Roman"/>
          <w:i/>
          <w:noProof/>
          <w:sz w:val="24"/>
          <w:szCs w:val="24"/>
          <w:lang w:eastAsia="en-GB"/>
        </w:rPr>
      </w:pPr>
      <w:r>
        <w:rPr>
          <w:rFonts w:ascii="Times New Roman" w:hAnsi="Times New Roman" w:cs="Times New Roman"/>
          <w:b/>
          <w:bCs/>
          <w:noProof/>
          <w:sz w:val="24"/>
          <w:szCs w:val="24"/>
          <w:lang w:eastAsia="en-GB"/>
        </w:rPr>
        <w:t>Greece is a climate-vulnerable country, exposed to the impacts of climate change</w:t>
      </w:r>
      <w:r>
        <w:rPr>
          <w:rFonts w:ascii="Times New Roman" w:hAnsi="Times New Roman" w:cs="Times New Roman"/>
          <w:noProof/>
          <w:sz w:val="24"/>
          <w:szCs w:val="24"/>
          <w:lang w:eastAsia="en-GB"/>
        </w:rPr>
        <w:t xml:space="preserve">. </w:t>
      </w:r>
      <w:r>
        <w:rPr>
          <w:rFonts w:ascii="Times New Roman" w:hAnsi="Times New Roman" w:cs="Times New Roman"/>
          <w:b/>
          <w:bCs/>
          <w:noProof/>
          <w:sz w:val="24"/>
          <w:szCs w:val="24"/>
          <w:lang w:eastAsia="en-GB"/>
        </w:rPr>
        <w:t>The plan includes a number of measures related to climate change adaptation</w:t>
      </w:r>
      <w:r>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xml:space="preserve"> including preparation of local urban plans aiming to facilitate urban renewal and make the cities more climate resilient. Further, investments in strengthening key electricity infrastructure, flood mitigation projects and emergency response address concer</w:t>
      </w:r>
      <w:r>
        <w:rPr>
          <w:rFonts w:ascii="Times New Roman" w:hAnsi="Times New Roman" w:cs="Times New Roman"/>
          <w:noProof/>
          <w:sz w:val="24"/>
          <w:szCs w:val="24"/>
          <w:lang w:eastAsia="en-GB"/>
        </w:rPr>
        <w:t>ns around forest fires and extreme weather conditions that could increase in coming years as the effects of climate change are becoming more evident. The plan contains measures on water supply and urban wastewater are linked with specific targets to reduce</w:t>
      </w:r>
      <w:r>
        <w:rPr>
          <w:rFonts w:ascii="Times New Roman" w:hAnsi="Times New Roman" w:cs="Times New Roman"/>
          <w:noProof/>
          <w:sz w:val="24"/>
          <w:szCs w:val="24"/>
          <w:lang w:eastAsia="en-GB"/>
        </w:rPr>
        <w:t xml:space="preserve"> water leakage and energy consumption, thus contributing to a more sustainable use of water resources. Finally, the plan covers a reforestation measure that is expected to contribute to an increase of the forest cover area by 16 500 ha, while species prote</w:t>
      </w:r>
      <w:r>
        <w:rPr>
          <w:rFonts w:ascii="Times New Roman" w:hAnsi="Times New Roman" w:cs="Times New Roman"/>
          <w:noProof/>
          <w:sz w:val="24"/>
          <w:szCs w:val="24"/>
          <w:lang w:eastAsia="en-GB"/>
        </w:rPr>
        <w:t>ction is expected to rise by 8% and the overall quality of natural environment by 5%.</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 xml:space="preserve">The plan also includes measures that address societal and economic challenges resulting from the green transition, particularly with Greece’s decommissioning plan in mind. </w:t>
      </w:r>
      <w:r>
        <w:rPr>
          <w:rFonts w:ascii="Times New Roman" w:hAnsi="Times New Roman" w:cs="Times New Roman"/>
          <w:noProof/>
          <w:sz w:val="24"/>
          <w:szCs w:val="24"/>
          <w:lang w:eastAsia="en-GB"/>
        </w:rPr>
        <w:t>These are measures that aim to strengthen labour force upskilling and lifelong skill</w:t>
      </w:r>
      <w:r>
        <w:rPr>
          <w:rFonts w:ascii="Times New Roman" w:hAnsi="Times New Roman" w:cs="Times New Roman"/>
          <w:noProof/>
          <w:sz w:val="24"/>
          <w:szCs w:val="24"/>
          <w:lang w:eastAsia="en-GB"/>
        </w:rPr>
        <w:t>ing with a specific focus on improving green skills, jobs and the green economy, for example, through training programmes covering resource efficiency, low-carbon industry, climate reliance and managing natural assets. Taking into account the draft Just De</w:t>
      </w:r>
      <w:r>
        <w:rPr>
          <w:rFonts w:ascii="Times New Roman" w:hAnsi="Times New Roman" w:cs="Times New Roman"/>
          <w:noProof/>
          <w:sz w:val="24"/>
          <w:szCs w:val="24"/>
          <w:lang w:eastAsia="en-GB"/>
        </w:rPr>
        <w:t>velopment Transition Master Plan and the draft territorial Just Transition Plans, the RRP takes into account the need to ensure a just transition, in view of the phase-out of lignite, particularly in the areas of Western Macedonia and central Peloponnese (</w:t>
      </w:r>
      <w:r>
        <w:rPr>
          <w:rFonts w:ascii="Times New Roman" w:hAnsi="Times New Roman" w:cs="Times New Roman"/>
          <w:noProof/>
          <w:sz w:val="24"/>
          <w:szCs w:val="24"/>
          <w:lang w:eastAsia="en-GB"/>
        </w:rPr>
        <w:t>Megalopoli). Investments included in the plan, around the rehabilitation of industrial land, address partially the economic challenges of this transition in the most affected area, creating the basis for further development of green investments as announce</w:t>
      </w:r>
      <w:r>
        <w:rPr>
          <w:rFonts w:ascii="Times New Roman" w:hAnsi="Times New Roman" w:cs="Times New Roman"/>
          <w:noProof/>
          <w:sz w:val="24"/>
          <w:szCs w:val="24"/>
          <w:lang w:eastAsia="en-GB"/>
        </w:rPr>
        <w:t xml:space="preserve">d in the draft Just Development Transition Master Plan.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 xml:space="preserve">In line with Greece’s ambitious decommissioning plan, these measures should help Greece achieve a genuine green transition, with fundamental changes to energy production and transport that should have a lasting impact. </w:t>
      </w:r>
      <w:r>
        <w:rPr>
          <w:rFonts w:ascii="Times New Roman" w:hAnsi="Times New Roman" w:cs="Times New Roman"/>
          <w:noProof/>
          <w:sz w:val="24"/>
          <w:szCs w:val="24"/>
          <w:lang w:eastAsia="en-GB"/>
        </w:rPr>
        <w:t xml:space="preserve">Such investments are necessary steps </w:t>
      </w:r>
      <w:r>
        <w:rPr>
          <w:rFonts w:ascii="Times New Roman" w:hAnsi="Times New Roman" w:cs="Times New Roman"/>
          <w:noProof/>
          <w:sz w:val="24"/>
          <w:szCs w:val="24"/>
          <w:lang w:eastAsia="en-GB"/>
        </w:rPr>
        <w:t>and provide the fundamental regulatory and infrastructure framework for a sustainable economy in line with Greece’s long term strategy.</w:t>
      </w:r>
    </w:p>
    <w:p w:rsidR="00176373" w:rsidRDefault="00E474D1">
      <w:pPr>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Conclusion</w:t>
      </w:r>
    </w:p>
    <w:p w:rsidR="00176373" w:rsidRDefault="00E474D1">
      <w:pPr>
        <w:jc w:val="both"/>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Taking into consideration the assessment of all the measures envisaged, the recovery and resilience plan is e</w:t>
      </w:r>
      <w:r>
        <w:rPr>
          <w:rFonts w:ascii="Times New Roman" w:hAnsi="Times New Roman" w:cs="Times New Roman"/>
          <w:i/>
          <w:iCs/>
          <w:noProof/>
          <w:sz w:val="24"/>
          <w:szCs w:val="24"/>
          <w:lang w:eastAsia="en-GB"/>
        </w:rPr>
        <w:t xml:space="preserve">xpected, to a large extent, to make a significant contribution to the green transition or to address the challenges resulting from it and ensures that at least 37% of its total allocation contributes to the climate target. This would warrant a rating of A </w:t>
      </w:r>
      <w:r>
        <w:rPr>
          <w:rFonts w:ascii="Times New Roman" w:hAnsi="Times New Roman" w:cs="Times New Roman"/>
          <w:i/>
          <w:iCs/>
          <w:noProof/>
          <w:sz w:val="24"/>
          <w:szCs w:val="24"/>
          <w:lang w:eastAsia="en-GB"/>
        </w:rPr>
        <w:t>under criterion 2.5 of Annex V to the RRF Regulation.</w:t>
      </w:r>
    </w:p>
    <w:p w:rsidR="00176373" w:rsidRDefault="00E474D1">
      <w:pPr>
        <w:pStyle w:val="Heading2"/>
        <w:numPr>
          <w:ilvl w:val="1"/>
          <w:numId w:val="10"/>
        </w:numPr>
        <w:rPr>
          <w:noProof/>
        </w:rPr>
      </w:pPr>
      <w:bookmarkStart w:id="421" w:name="_Toc71667451"/>
      <w:bookmarkStart w:id="422" w:name="_Toc71705301"/>
      <w:bookmarkStart w:id="423" w:name="_Toc71730960"/>
      <w:bookmarkStart w:id="424" w:name="_Toc71736566"/>
      <w:bookmarkStart w:id="425" w:name="_Toc71737055"/>
      <w:bookmarkStart w:id="426" w:name="_Toc72157523"/>
      <w:bookmarkStart w:id="427" w:name="_Toc72158570"/>
      <w:bookmarkStart w:id="428" w:name="_Toc72158886"/>
      <w:bookmarkStart w:id="429" w:name="_Toc72159301"/>
      <w:bookmarkStart w:id="430" w:name="_Toc72159653"/>
      <w:bookmarkStart w:id="431" w:name="_Toc72160015"/>
      <w:bookmarkStart w:id="432" w:name="_Toc72160094"/>
      <w:bookmarkStart w:id="433" w:name="_Toc72160193"/>
      <w:bookmarkStart w:id="434" w:name="_Toc72326496"/>
      <w:bookmarkStart w:id="435" w:name="_Toc72326527"/>
      <w:bookmarkStart w:id="436" w:name="_Toc74305329"/>
      <w:bookmarkStart w:id="437" w:name="_Toc72158512"/>
      <w:bookmarkStart w:id="438" w:name="_Toc72170715"/>
      <w:bookmarkStart w:id="439" w:name="_Toc72176843"/>
      <w:bookmarkStart w:id="440" w:name="_Toc72179414"/>
      <w:bookmarkStart w:id="441" w:name="_Toc72176052"/>
      <w:bookmarkStart w:id="442" w:name="_Toc72181725"/>
      <w:bookmarkStart w:id="443" w:name="_Toc72178574"/>
      <w:bookmarkStart w:id="444" w:name="_Toc72182461"/>
      <w:bookmarkStart w:id="445" w:name="_Toc72183458"/>
      <w:bookmarkStart w:id="446" w:name="_Toc72187272"/>
      <w:bookmarkEnd w:id="421"/>
      <w:bookmarkEnd w:id="422"/>
      <w:bookmarkEnd w:id="423"/>
      <w:bookmarkEnd w:id="424"/>
      <w:bookmarkEnd w:id="425"/>
      <w:bookmarkEnd w:id="426"/>
      <w:bookmarkEnd w:id="427"/>
      <w:bookmarkEnd w:id="428"/>
      <w:bookmarkEnd w:id="429"/>
      <w:bookmarkEnd w:id="430"/>
      <w:bookmarkEnd w:id="431"/>
      <w:bookmarkEnd w:id="432"/>
      <w:bookmarkEnd w:id="433"/>
      <w:r>
        <w:rPr>
          <w:noProof/>
        </w:rPr>
        <w:t>Digital transition</w:t>
      </w:r>
      <w:bookmarkEnd w:id="434"/>
      <w:bookmarkEnd w:id="435"/>
      <w:bookmarkEnd w:id="436"/>
      <w:r>
        <w:rPr>
          <w:noProof/>
        </w:rPr>
        <w:t xml:space="preserve"> </w:t>
      </w:r>
      <w:bookmarkEnd w:id="437"/>
      <w:bookmarkEnd w:id="438"/>
      <w:bookmarkEnd w:id="439"/>
      <w:bookmarkEnd w:id="440"/>
      <w:bookmarkEnd w:id="441"/>
      <w:bookmarkEnd w:id="442"/>
      <w:bookmarkEnd w:id="443"/>
      <w:bookmarkEnd w:id="444"/>
      <w:bookmarkEnd w:id="445"/>
      <w:bookmarkEnd w:id="446"/>
    </w:p>
    <w:p w:rsidR="00176373" w:rsidRDefault="00E474D1">
      <w:pPr>
        <w:jc w:val="both"/>
        <w:rPr>
          <w:rFonts w:ascii="Times New Roman" w:hAnsi="Times New Roman" w:cs="Times New Roman"/>
          <w:noProof/>
          <w:sz w:val="24"/>
          <w:szCs w:val="24"/>
          <w:lang w:eastAsia="en-GB"/>
        </w:rPr>
      </w:pPr>
      <w:bookmarkStart w:id="447" w:name="_Toc62455206"/>
      <w:bookmarkStart w:id="448" w:name="_Toc62818229"/>
      <w:bookmarkStart w:id="449" w:name="_Toc62818776"/>
      <w:bookmarkStart w:id="450" w:name="_Toc63417225"/>
      <w:bookmarkStart w:id="451" w:name="_Toc63418915"/>
      <w:bookmarkStart w:id="452" w:name="_Toc63418940"/>
      <w:bookmarkStart w:id="453" w:name="_Toc64281626"/>
      <w:r>
        <w:rPr>
          <w:rFonts w:ascii="Times New Roman" w:hAnsi="Times New Roman" w:cs="Times New Roman"/>
          <w:b/>
          <w:bCs/>
          <w:noProof/>
          <w:sz w:val="24"/>
          <w:szCs w:val="24"/>
          <w:lang w:eastAsia="en-GB"/>
        </w:rPr>
        <w:t>This section assesses whether and to which extent the proposed measures fulfil the elements corresponding to assessment criterion 2.6 of Annex V to the RRF Regulation</w:t>
      </w:r>
      <w:r>
        <w:rPr>
          <w:rFonts w:ascii="Times New Roman" w:hAnsi="Times New Roman" w:cs="Times New Roman"/>
          <w:noProof/>
          <w:sz w:val="24"/>
          <w:szCs w:val="24"/>
          <w:lang w:eastAsia="en-GB"/>
        </w:rPr>
        <w:t>. In particular,</w:t>
      </w:r>
      <w:r>
        <w:rPr>
          <w:rFonts w:ascii="Times New Roman" w:hAnsi="Times New Roman" w:cs="Times New Roman"/>
          <w:noProof/>
          <w:sz w:val="24"/>
          <w:szCs w:val="24"/>
          <w:lang w:eastAsia="en-GB"/>
        </w:rPr>
        <w:t xml:space="preserve"> it assesses whether the methodology for digital tagging set out in Annex VII to the RRF Regulation has been applied correctly and whether the measures in the recovery and resilience plan that effectively contribute to the digital transition or to addressi</w:t>
      </w:r>
      <w:r>
        <w:rPr>
          <w:rFonts w:ascii="Times New Roman" w:hAnsi="Times New Roman" w:cs="Times New Roman"/>
          <w:noProof/>
          <w:sz w:val="24"/>
          <w:szCs w:val="24"/>
          <w:lang w:eastAsia="en-GB"/>
        </w:rPr>
        <w:t xml:space="preserve">ng the challenges resulting therefrom, account for an amount which represents at least 20 % of the plan’s total allocation. </w:t>
      </w:r>
    </w:p>
    <w:p w:rsidR="00176373" w:rsidRDefault="00E474D1">
      <w:pPr>
        <w:jc w:val="both"/>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Digital tagging</w:t>
      </w:r>
    </w:p>
    <w:p w:rsidR="00176373" w:rsidRDefault="00E474D1">
      <w:pPr>
        <w:jc w:val="both"/>
        <w:rPr>
          <w:rFonts w:ascii="Times New Roman" w:hAnsi="Times New Roman" w:cs="Times New Roman"/>
          <w:b/>
          <w:noProof/>
          <w:sz w:val="24"/>
          <w:szCs w:val="24"/>
          <w:highlight w:val="yellow"/>
          <w:lang w:eastAsia="en-GB"/>
        </w:rPr>
      </w:pPr>
      <w:r>
        <w:rPr>
          <w:rFonts w:ascii="Times New Roman" w:hAnsi="Times New Roman" w:cs="Times New Roman"/>
          <w:b/>
          <w:bCs/>
          <w:noProof/>
          <w:sz w:val="24"/>
          <w:szCs w:val="24"/>
          <w:lang w:eastAsia="en-GB"/>
        </w:rPr>
        <w:t>Greece’s recovery and resilience plan dedicates EUR 7 093 million to the digital transition, which represents 23.3%</w:t>
      </w:r>
      <w:r>
        <w:rPr>
          <w:rFonts w:ascii="Times New Roman" w:hAnsi="Times New Roman" w:cs="Times New Roman"/>
          <w:b/>
          <w:bCs/>
          <w:noProof/>
          <w:sz w:val="24"/>
          <w:szCs w:val="24"/>
          <w:lang w:eastAsia="en-GB"/>
        </w:rPr>
        <w:t xml:space="preserve"> of the plan’s total allocation in non-repayable financial support and loans</w:t>
      </w:r>
      <w:r>
        <w:rPr>
          <w:rFonts w:ascii="Times New Roman" w:hAnsi="Times New Roman" w:cs="Times New Roman"/>
          <w:b/>
          <w:noProof/>
          <w:sz w:val="24"/>
          <w:szCs w:val="24"/>
          <w:lang w:eastAsia="en-GB"/>
        </w:rPr>
        <w:t xml:space="preserve">. </w:t>
      </w:r>
      <w:r>
        <w:rPr>
          <w:rFonts w:ascii="Times New Roman" w:hAnsi="Times New Roman" w:cs="Times New Roman"/>
          <w:noProof/>
          <w:sz w:val="24"/>
          <w:szCs w:val="24"/>
          <w:lang w:eastAsia="en-GB"/>
        </w:rPr>
        <w:t xml:space="preserve">The investments financed by </w:t>
      </w:r>
      <w:r>
        <w:rPr>
          <w:rFonts w:ascii="Times New Roman" w:eastAsia="Times New Roman" w:hAnsi="Times New Roman"/>
          <w:noProof/>
          <w:sz w:val="24"/>
          <w:szCs w:val="24"/>
        </w:rPr>
        <w:t>non-repayable financial support</w:t>
      </w:r>
      <w:r>
        <w:rPr>
          <w:rFonts w:ascii="Times New Roman" w:hAnsi="Times New Roman" w:cs="Times New Roman"/>
          <w:noProof/>
          <w:sz w:val="24"/>
          <w:szCs w:val="24"/>
          <w:lang w:eastAsia="en-GB"/>
        </w:rPr>
        <w:t xml:space="preserve"> contribute by 25.6% to the digital transition while the Loan Facility financed on the basis of the loans allocation co</w:t>
      </w:r>
      <w:r>
        <w:rPr>
          <w:rFonts w:ascii="Times New Roman" w:hAnsi="Times New Roman" w:cs="Times New Roman"/>
          <w:noProof/>
          <w:sz w:val="24"/>
          <w:szCs w:val="24"/>
          <w:lang w:eastAsia="en-GB"/>
        </w:rPr>
        <w:t>ntributes by at least 20% to the digital transition.</w:t>
      </w:r>
      <w:r>
        <w:rPr>
          <w:rFonts w:ascii="Times New Roman" w:hAnsi="Times New Roman" w:cs="Times New Roman"/>
          <w:b/>
          <w:noProof/>
          <w:sz w:val="24"/>
          <w:szCs w:val="24"/>
          <w:lang w:eastAsia="en-GB"/>
        </w:rPr>
        <w:t xml:space="preserve"> </w:t>
      </w:r>
      <w:r>
        <w:rPr>
          <w:rFonts w:ascii="Times New Roman" w:hAnsi="Times New Roman" w:cs="Times New Roman"/>
          <w:noProof/>
          <w:sz w:val="24"/>
          <w:szCs w:val="24"/>
          <w:lang w:eastAsia="en-GB"/>
        </w:rPr>
        <w:t xml:space="preserve">This exceeds the minimum digital target of 20 % of the total allocation as set out in the Recovery and Resilience Facility Regulation and is based on a correct application of the methodology for digital </w:t>
      </w:r>
      <w:r>
        <w:rPr>
          <w:rFonts w:ascii="Times New Roman" w:hAnsi="Times New Roman" w:cs="Times New Roman"/>
          <w:noProof/>
          <w:sz w:val="24"/>
          <w:szCs w:val="24"/>
          <w:lang w:eastAsia="en-GB"/>
        </w:rPr>
        <w:t>tagging set out in Annex VII to that Regulation, by identifying intervention fields and corresponding coefficients for the calculation of support to digital objectives. Greece’s plan does not use any uplifting or increase of certain digital coefficients fo</w:t>
      </w:r>
      <w:r>
        <w:rPr>
          <w:rFonts w:ascii="Times New Roman" w:hAnsi="Times New Roman" w:cs="Times New Roman"/>
          <w:noProof/>
          <w:sz w:val="24"/>
          <w:szCs w:val="24"/>
          <w:lang w:eastAsia="en-GB"/>
        </w:rPr>
        <w:t>r investments.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main pillar contributing to the digital transition is pillar 2 on ‘Digital Transformation’</w:t>
      </w:r>
      <w:r>
        <w:rPr>
          <w:rFonts w:ascii="Times New Roman" w:eastAsia="Times New Roman" w:hAnsi="Times New Roman" w:cs="Times New Roman"/>
          <w:noProof/>
          <w:sz w:val="24"/>
          <w:szCs w:val="24"/>
        </w:rPr>
        <w:t xml:space="preserve">, whose cost estimation is worth almost EUR 2.2 billion and comprises three components, covering a total of 32 measures. All the measures included </w:t>
      </w:r>
      <w:r>
        <w:rPr>
          <w:rFonts w:ascii="Times New Roman" w:eastAsia="Times New Roman" w:hAnsi="Times New Roman" w:cs="Times New Roman"/>
          <w:noProof/>
          <w:sz w:val="24"/>
          <w:szCs w:val="24"/>
        </w:rPr>
        <w:t xml:space="preserve">under this pillar contribute towards the digital </w:t>
      </w:r>
      <w:r>
        <w:rPr>
          <w:rFonts w:ascii="Times New Roman" w:hAnsi="Times New Roman" w:cs="Times New Roman"/>
          <w:noProof/>
          <w:sz w:val="24"/>
          <w:szCs w:val="24"/>
          <w:lang w:eastAsia="en-GB"/>
        </w:rPr>
        <w:t xml:space="preserve">transition </w:t>
      </w:r>
      <w:r>
        <w:rPr>
          <w:rFonts w:ascii="Times New Roman" w:eastAsia="Times New Roman" w:hAnsi="Times New Roman" w:cs="Times New Roman"/>
          <w:noProof/>
          <w:sz w:val="24"/>
          <w:szCs w:val="24"/>
        </w:rPr>
        <w:t>through a broad range of interventions, stretching from measures aiming at enhancing connectivity to measures aimed at improving the digitalisation of public administration and businesses.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w:t>
      </w:r>
      <w:r>
        <w:rPr>
          <w:rFonts w:ascii="Times New Roman" w:eastAsia="Times New Roman" w:hAnsi="Times New Roman" w:cs="Times New Roman"/>
          <w:b/>
          <w:bCs/>
          <w:noProof/>
          <w:sz w:val="24"/>
          <w:szCs w:val="24"/>
        </w:rPr>
        <w:t>first component, component 2.1 ‘Connect’</w:t>
      </w:r>
      <w:r>
        <w:rPr>
          <w:rFonts w:ascii="Times New Roman" w:eastAsia="Times New Roman" w:hAnsi="Times New Roman" w:cs="Times New Roman"/>
          <w:noProof/>
          <w:sz w:val="24"/>
          <w:szCs w:val="24"/>
        </w:rPr>
        <w:t xml:space="preserve"> (overall estimated value: EUR 521.6 million) contains</w:t>
      </w:r>
      <w:r>
        <w:rPr>
          <w:noProof/>
        </w:rPr>
        <w:t xml:space="preserve"> </w:t>
      </w:r>
      <w:r>
        <w:rPr>
          <w:rFonts w:ascii="Times New Roman" w:eastAsia="Times New Roman" w:hAnsi="Times New Roman" w:cs="Times New Roman"/>
          <w:noProof/>
          <w:sz w:val="24"/>
          <w:szCs w:val="24"/>
        </w:rPr>
        <w:t>measures that aim to foster and facilitate the widespread deployment of very high capacity networks, including 5G and fibre, and the development of a constellati</w:t>
      </w:r>
      <w:r>
        <w:rPr>
          <w:rFonts w:ascii="Times New Roman" w:eastAsia="Times New Roman" w:hAnsi="Times New Roman" w:cs="Times New Roman"/>
          <w:noProof/>
          <w:sz w:val="24"/>
          <w:szCs w:val="24"/>
        </w:rPr>
        <w:t>on of small satellites and is linked to the European flagship ‘Connect’. In particular, the investments included under this component concern the installation of fibre optic infrastructure in buildings, the development of 5G networks covering all major Gre</w:t>
      </w:r>
      <w:r>
        <w:rPr>
          <w:rFonts w:ascii="Times New Roman" w:eastAsia="Times New Roman" w:hAnsi="Times New Roman" w:cs="Times New Roman"/>
          <w:noProof/>
          <w:sz w:val="24"/>
          <w:szCs w:val="24"/>
        </w:rPr>
        <w:t>ek highways, the deployment of submarine fibre cables to connect mainland with the Greek islands and Cyprus and the utilisation of space technologies and applications by developing a constellation of small-satellites that will support secure connectivity s</w:t>
      </w:r>
      <w:r>
        <w:rPr>
          <w:rFonts w:ascii="Times New Roman" w:eastAsia="Times New Roman" w:hAnsi="Times New Roman" w:cs="Times New Roman"/>
          <w:noProof/>
          <w:sz w:val="24"/>
          <w:szCs w:val="24"/>
        </w:rPr>
        <w:t>ervices coupled with multipurpose applications for earth observation. The reforms included under this component institute a framework to facilitate the switch to fast broadband connections and the transition to 5G technology. Overall, all measures under th</w:t>
      </w:r>
      <w:r>
        <w:rPr>
          <w:rFonts w:ascii="Times New Roman" w:eastAsia="Times New Roman" w:hAnsi="Times New Roman" w:cs="Times New Roman"/>
          <w:noProof/>
          <w:sz w:val="24"/>
          <w:szCs w:val="24"/>
        </w:rPr>
        <w:t xml:space="preserve">is component significantly contribute to the digital transition.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second component, 2.2. ‘Modernise’</w:t>
      </w:r>
      <w:r>
        <w:rPr>
          <w:rFonts w:ascii="Times New Roman" w:eastAsia="Times New Roman" w:hAnsi="Times New Roman" w:cs="Times New Roman"/>
          <w:noProof/>
          <w:sz w:val="24"/>
          <w:szCs w:val="24"/>
        </w:rPr>
        <w:t xml:space="preserve"> (overall estimated value: EUR 1.3 billion), targets the digital transformation of public sector entities and is linked to the European flagship ‘Modern</w:t>
      </w:r>
      <w:r>
        <w:rPr>
          <w:rFonts w:ascii="Times New Roman" w:eastAsia="Times New Roman" w:hAnsi="Times New Roman" w:cs="Times New Roman"/>
          <w:noProof/>
          <w:sz w:val="24"/>
          <w:szCs w:val="24"/>
        </w:rPr>
        <w:t>ise’. The measures included under this component aim in particular at modernising the public administration by improving its operational model and enabling the provision of high-quality services to citizens and businesses, using as a catalyst to the improv</w:t>
      </w:r>
      <w:r>
        <w:rPr>
          <w:rFonts w:ascii="Times New Roman" w:eastAsia="Times New Roman" w:hAnsi="Times New Roman" w:cs="Times New Roman"/>
          <w:noProof/>
          <w:sz w:val="24"/>
          <w:szCs w:val="24"/>
        </w:rPr>
        <w:t>ement of the public administration’s digital performance. Reforms and investments target in particular: (a) the digital transformation of public sector’s organisations, including the digitisation of archives and enhanced digital services; (b) business proc</w:t>
      </w:r>
      <w:r>
        <w:rPr>
          <w:rFonts w:ascii="Times New Roman" w:eastAsia="Times New Roman" w:hAnsi="Times New Roman" w:cs="Times New Roman"/>
          <w:noProof/>
          <w:sz w:val="24"/>
          <w:szCs w:val="24"/>
        </w:rPr>
        <w:t xml:space="preserve">ess improvements followed by the incorporation of modern IT systems; (c) increased interoperability between systems and data; (d) wide-ranging cybersecurity and data governance strategies and policies; as well as (e) extended use of advanced technologies, </w:t>
      </w:r>
      <w:r>
        <w:rPr>
          <w:rFonts w:ascii="Times New Roman" w:eastAsia="Times New Roman" w:hAnsi="Times New Roman" w:cs="Times New Roman"/>
          <w:noProof/>
          <w:sz w:val="24"/>
          <w:szCs w:val="24"/>
        </w:rPr>
        <w:t>such as cloud computing and big data.</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third component, component 2.3 ‘Digitalisation of businesses’</w:t>
      </w:r>
      <w:r>
        <w:rPr>
          <w:rFonts w:ascii="Times New Roman" w:eastAsia="Times New Roman" w:hAnsi="Times New Roman" w:cs="Times New Roman"/>
          <w:noProof/>
          <w:sz w:val="24"/>
          <w:szCs w:val="24"/>
        </w:rPr>
        <w:t xml:space="preserve"> (overall estimated value: EUR 375.0 million), aims to boost the adoption of digital technologies by businesses (in particular SMEs) by tackling key chal</w:t>
      </w:r>
      <w:r>
        <w:rPr>
          <w:rFonts w:ascii="Times New Roman" w:eastAsia="Times New Roman" w:hAnsi="Times New Roman" w:cs="Times New Roman"/>
          <w:noProof/>
          <w:sz w:val="24"/>
          <w:szCs w:val="24"/>
        </w:rPr>
        <w:t>lenges of digital inclusion, including the lack of awareness about the benefits of digitalisation and knowledge about how to adopt digital technologies. This support is in particular expected to help these businesses to adapt to new challenges and take adv</w:t>
      </w:r>
      <w:r>
        <w:rPr>
          <w:rFonts w:ascii="Times New Roman" w:eastAsia="Times New Roman" w:hAnsi="Times New Roman" w:cs="Times New Roman"/>
          <w:noProof/>
          <w:sz w:val="24"/>
          <w:szCs w:val="24"/>
        </w:rPr>
        <w:t>antage of emerging business trends through the creation of a digital business ecosystem, promoting the digital transformation of SMEs. In particular, this component envisages the establishment of a single digital marketplace that will provide advanced tech</w:t>
      </w:r>
      <w:r>
        <w:rPr>
          <w:rFonts w:ascii="Times New Roman" w:eastAsia="Times New Roman" w:hAnsi="Times New Roman" w:cs="Times New Roman"/>
          <w:noProof/>
          <w:sz w:val="24"/>
          <w:szCs w:val="24"/>
        </w:rPr>
        <w:t>nologies´ products and services tailored for SMEs’ digital transformation and will be accessed both by SMEs and by the suppliers of such products and services. The component also aims to promote the use of electronic payments and sales among SMEs, the upgr</w:t>
      </w:r>
      <w:r>
        <w:rPr>
          <w:rFonts w:ascii="Times New Roman" w:eastAsia="Times New Roman" w:hAnsi="Times New Roman" w:cs="Times New Roman"/>
          <w:noProof/>
          <w:sz w:val="24"/>
          <w:szCs w:val="24"/>
        </w:rPr>
        <w:t>ade of cash registers and the Point Of Sale ecosystem, and the creation of industrial data platforms. In addition, the establishment of a central supporting mechanism for SMEs is envisaged, facilitating the provision of training and awareness programs so t</w:t>
      </w:r>
      <w:r>
        <w:rPr>
          <w:rFonts w:ascii="Times New Roman" w:eastAsia="Times New Roman" w:hAnsi="Times New Roman" w:cs="Times New Roman"/>
          <w:noProof/>
          <w:sz w:val="24"/>
          <w:szCs w:val="24"/>
        </w:rPr>
        <w:t>hat they can make the most of the tools and services offered through the digital marketplace. Finally, the component envisages tax incentives on tangible and intangible assets to facilitate the digital transformation of SMEs, in synergy with those in compo</w:t>
      </w:r>
      <w:r>
        <w:rPr>
          <w:rFonts w:ascii="Times New Roman" w:eastAsia="Times New Roman" w:hAnsi="Times New Roman" w:cs="Times New Roman"/>
          <w:noProof/>
          <w:sz w:val="24"/>
          <w:szCs w:val="24"/>
        </w:rPr>
        <w:t>nent 4.1.</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Overall, all measures contained in pillar 2 on ‘Digital Transformation’ significantly contribute to the digital transition or to the challenges resulting</w:t>
      </w:r>
      <w:r>
        <w:rPr>
          <w:rFonts w:ascii="Times New Roman" w:hAnsi="Times New Roman" w:cs="Times New Roman"/>
          <w:noProof/>
          <w:sz w:val="24"/>
          <w:szCs w:val="24"/>
          <w:lang w:eastAsia="en-GB"/>
        </w:rPr>
        <w:t xml:space="preserve"> from it and, on this basis, have been correctly associated with intervention fields with 100</w:t>
      </w:r>
      <w:r>
        <w:rPr>
          <w:rFonts w:ascii="Times New Roman" w:hAnsi="Times New Roman" w:cs="Times New Roman"/>
          <w:noProof/>
          <w:sz w:val="24"/>
          <w:szCs w:val="24"/>
          <w:lang w:eastAsia="en-GB"/>
        </w:rPr>
        <w:t>% digital coefficients. In addition to these measures, other measures under pillars 3 and 4, worth EUR 2.4 billion in total, are also considered to significantly contribute to the digital transition or to the challenges resulting from it and have been asso</w:t>
      </w:r>
      <w:r>
        <w:rPr>
          <w:rFonts w:ascii="Times New Roman" w:hAnsi="Times New Roman" w:cs="Times New Roman"/>
          <w:noProof/>
          <w:sz w:val="24"/>
          <w:szCs w:val="24"/>
          <w:lang w:eastAsia="en-GB"/>
        </w:rPr>
        <w:t xml:space="preserve">ciated with intervention fields with 100% digital coefficients.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Pillar 3 on ‘Employment, skills, and social cohesion’</w:t>
      </w:r>
      <w:r>
        <w:rPr>
          <w:rFonts w:ascii="Times New Roman" w:hAnsi="Times New Roman" w:cs="Times New Roman"/>
          <w:noProof/>
          <w:sz w:val="24"/>
          <w:szCs w:val="24"/>
          <w:lang w:eastAsia="en-GB"/>
        </w:rPr>
        <w:t xml:space="preserve"> comprises a number of measures, for a total amount of EUR 1.5 billion, which are expected to significantly contribute to the digital tran</w:t>
      </w:r>
      <w:r>
        <w:rPr>
          <w:rFonts w:ascii="Times New Roman" w:hAnsi="Times New Roman" w:cs="Times New Roman"/>
          <w:noProof/>
          <w:sz w:val="24"/>
          <w:szCs w:val="24"/>
          <w:lang w:eastAsia="en-GB"/>
        </w:rPr>
        <w:t xml:space="preserve">sition </w:t>
      </w:r>
      <w:r>
        <w:rPr>
          <w:rFonts w:ascii="Times New Roman" w:eastAsia="Times New Roman" w:hAnsi="Times New Roman" w:cs="Times New Roman"/>
          <w:noProof/>
          <w:sz w:val="24"/>
          <w:szCs w:val="24"/>
        </w:rPr>
        <w:t>and is linked to the European flagship ‘Reskill and Upskill’</w:t>
      </w:r>
      <w:r>
        <w:rPr>
          <w:rFonts w:ascii="Times New Roman" w:hAnsi="Times New Roman" w:cs="Times New Roman"/>
          <w:noProof/>
          <w:sz w:val="24"/>
          <w:szCs w:val="24"/>
          <w:lang w:eastAsia="en-GB"/>
        </w:rPr>
        <w:t>. For instance, the comprehensive project called ‘A New Strategy for Lifelong Skilling: Modernising and Upgrading Greece’s Upskilling and Reskilling System’ (overall estimated cost of EUR 1</w:t>
      </w:r>
      <w:r>
        <w:rPr>
          <w:rFonts w:ascii="Times New Roman" w:hAnsi="Times New Roman" w:cs="Times New Roman"/>
          <w:noProof/>
          <w:sz w:val="24"/>
          <w:szCs w:val="24"/>
          <w:lang w:eastAsia="en-GB"/>
        </w:rPr>
        <w:t xml:space="preserve"> billion), includes investment in digital skills training for 370 000 beneficiaries, with an estimated cost of EUR 690 million notably aiming at increasing the quality of upskilling efforts and their relevance with labour market, including by placing empha</w:t>
      </w:r>
      <w:r>
        <w:rPr>
          <w:rFonts w:ascii="Times New Roman" w:hAnsi="Times New Roman" w:cs="Times New Roman"/>
          <w:noProof/>
          <w:sz w:val="24"/>
          <w:szCs w:val="24"/>
          <w:lang w:eastAsia="en-GB"/>
        </w:rPr>
        <w:t>sis on the digital transition. In addition, Pillar 3 also comprises measures envisaging the digital transformation (i) of education (estimated cost EUR 365 million), (ii) of the health care system (estimated cost EUR 278 million), (iii) of labour systems (</w:t>
      </w:r>
      <w:r>
        <w:rPr>
          <w:rFonts w:ascii="Times New Roman" w:hAnsi="Times New Roman" w:cs="Times New Roman"/>
          <w:noProof/>
          <w:sz w:val="24"/>
          <w:szCs w:val="24"/>
          <w:lang w:eastAsia="en-GB"/>
        </w:rPr>
        <w:t xml:space="preserve">estimated cost EUR 77 million), (iv) of the immigration and asylum system (estimated cost EUR 42 million) (v) </w:t>
      </w:r>
      <w:r>
        <w:rPr>
          <w:rFonts w:ascii="Times New Roman" w:hAnsi="Times New Roman" w:cs="Times New Roman"/>
          <w:noProof/>
          <w:sz w:val="24"/>
          <w:szCs w:val="24"/>
        </w:rPr>
        <w:t xml:space="preserve">of the public employment service (OAED) </w:t>
      </w:r>
      <w:r>
        <w:rPr>
          <w:rFonts w:ascii="Times New Roman" w:hAnsi="Times New Roman" w:cs="Times New Roman"/>
          <w:noProof/>
          <w:sz w:val="24"/>
          <w:szCs w:val="24"/>
          <w:lang w:eastAsia="en-GB"/>
        </w:rPr>
        <w:t xml:space="preserve">(estimated cost EUR 17 million), and (vi) of the social support system (estimated cost EUR 12 million). </w:t>
      </w:r>
    </w:p>
    <w:p w:rsidR="00176373" w:rsidRDefault="00E474D1">
      <w:pPr>
        <w:jc w:val="both"/>
        <w:rPr>
          <w:rFonts w:ascii="Times New Roman" w:hAnsi="Times New Roman" w:cs="Times New Roman"/>
          <w:noProof/>
          <w:sz w:val="24"/>
          <w:szCs w:val="24"/>
          <w:highlight w:val="yellow"/>
          <w:lang w:eastAsia="en-GB"/>
        </w:rPr>
      </w:pPr>
      <w:r>
        <w:rPr>
          <w:rFonts w:ascii="Times New Roman" w:hAnsi="Times New Roman" w:cs="Times New Roman"/>
          <w:b/>
          <w:bCs/>
          <w:noProof/>
          <w:sz w:val="24"/>
          <w:szCs w:val="24"/>
          <w:lang w:eastAsia="en-GB"/>
        </w:rPr>
        <w:t>P</w:t>
      </w:r>
      <w:r>
        <w:rPr>
          <w:rFonts w:ascii="Times New Roman" w:hAnsi="Times New Roman" w:cs="Times New Roman"/>
          <w:b/>
          <w:bCs/>
          <w:noProof/>
          <w:sz w:val="24"/>
          <w:szCs w:val="24"/>
          <w:lang w:eastAsia="en-GB"/>
        </w:rPr>
        <w:t>illar 4 on ‘Private investment and transformation of the economy’</w:t>
      </w:r>
      <w:r>
        <w:rPr>
          <w:rFonts w:ascii="Times New Roman" w:hAnsi="Times New Roman" w:cs="Times New Roman"/>
          <w:noProof/>
          <w:sz w:val="24"/>
          <w:szCs w:val="24"/>
          <w:lang w:eastAsia="en-GB"/>
        </w:rPr>
        <w:t xml:space="preserve"> also includes a number of measures, with an estimated cost of EUR 890 million, which are expected to significantly contribute to the digital transition. These include in particular the digit</w:t>
      </w:r>
      <w:r>
        <w:rPr>
          <w:rFonts w:ascii="Times New Roman" w:hAnsi="Times New Roman" w:cs="Times New Roman"/>
          <w:noProof/>
          <w:sz w:val="24"/>
          <w:szCs w:val="24"/>
          <w:lang w:eastAsia="en-GB"/>
        </w:rPr>
        <w:t xml:space="preserve">alisation of the Tax and Customs Administration (estimated cost EUR 180 million), (ii) the transformation of fiscal management and supervision in governance &amp; electronic invoicing (estimated cost EUR 102 million), (iii) the ‘electronic tools’ project, the </w:t>
      </w:r>
      <w:r>
        <w:rPr>
          <w:rFonts w:ascii="Times New Roman" w:hAnsi="Times New Roman" w:cs="Times New Roman"/>
          <w:noProof/>
          <w:sz w:val="24"/>
          <w:szCs w:val="24"/>
          <w:lang w:eastAsia="en-GB"/>
        </w:rPr>
        <w:t xml:space="preserve">‘smart bridges’ project as well as subprojects related to digital within measure ‘Smart Infrastructure with environmental and cultural focus’ (estimated cost EUR 90 million, EUR 81 million and EUR 82 million, respectively), (iv) the digital transformation </w:t>
      </w:r>
      <w:r>
        <w:rPr>
          <w:rFonts w:ascii="Times New Roman" w:hAnsi="Times New Roman" w:cs="Times New Roman"/>
          <w:noProof/>
          <w:sz w:val="24"/>
          <w:szCs w:val="24"/>
          <w:lang w:eastAsia="en-GB"/>
        </w:rPr>
        <w:t>of justice and a measure aimed at improving digital skills for judges and judicial employees (estimated cost EUR 81 million and EUR 32 million, respectively), (v) a measure aimed at the acceleration of smart manufacturing (estimated cost EUR 75 million) (v</w:t>
      </w:r>
      <w:r>
        <w:rPr>
          <w:rFonts w:ascii="Times New Roman" w:hAnsi="Times New Roman" w:cs="Times New Roman"/>
          <w:noProof/>
          <w:sz w:val="24"/>
          <w:szCs w:val="24"/>
          <w:lang w:eastAsia="en-GB"/>
        </w:rPr>
        <w:t>i) the TH</w:t>
      </w:r>
      <w:r>
        <w:rPr>
          <w:rFonts w:ascii="Times New Roman" w:hAnsi="Times New Roman" w:cs="Times New Roman"/>
          <w:noProof/>
          <w:sz w:val="24"/>
          <w:szCs w:val="24"/>
          <w:vertAlign w:val="superscript"/>
          <w:lang w:eastAsia="en-GB"/>
        </w:rPr>
        <w:t>2</w:t>
      </w:r>
      <w:r>
        <w:rPr>
          <w:rFonts w:ascii="Times New Roman" w:hAnsi="Times New Roman" w:cs="Times New Roman"/>
          <w:noProof/>
          <w:sz w:val="24"/>
          <w:szCs w:val="24"/>
          <w:lang w:eastAsia="en-GB"/>
        </w:rPr>
        <w:t>ORAX project under component 4.5 (estimated cost EUR 50 million), (vii) the digital transformation of the agri-food sector (estimated cost EUR 48 million), (viii) the digital transformation of the immigration and asylum system (estimated cost EUR</w:t>
      </w:r>
      <w:r>
        <w:rPr>
          <w:rFonts w:ascii="Times New Roman" w:hAnsi="Times New Roman" w:cs="Times New Roman"/>
          <w:noProof/>
          <w:sz w:val="24"/>
          <w:szCs w:val="24"/>
          <w:lang w:eastAsia="en-GB"/>
        </w:rPr>
        <w:t> 42 million), (ix) the digital transformation of the Hellenic Railways Organization (estimated cost EUR 24 million), (x) a measure aimed at enhancing capital market supervision (estimated cost EUR 12 million), and (xi) the digitalization of the economic di</w:t>
      </w:r>
      <w:r>
        <w:rPr>
          <w:rFonts w:ascii="Times New Roman" w:hAnsi="Times New Roman" w:cs="Times New Roman"/>
          <w:noProof/>
          <w:sz w:val="24"/>
          <w:szCs w:val="24"/>
          <w:lang w:eastAsia="en-GB"/>
        </w:rPr>
        <w:t xml:space="preserve">plomacy network (estimated cost EUR 10 million). In addition, the EUR 12.7 billion of the Loan Facility included under component 4.7 contributes for 20% to the digital transition, in particular through investments in very high capacity broadband networks, </w:t>
      </w:r>
      <w:r>
        <w:rPr>
          <w:rFonts w:ascii="Times New Roman" w:hAnsi="Times New Roman" w:cs="Times New Roman"/>
          <w:noProof/>
          <w:sz w:val="24"/>
          <w:szCs w:val="24"/>
          <w:lang w:eastAsia="en-GB"/>
        </w:rPr>
        <w:t>investments aimed at digitalizing both SMEs and large enterprises,</w:t>
      </w:r>
      <w:r>
        <w:rPr>
          <w:noProof/>
        </w:rPr>
        <w:t xml:space="preserve"> </w:t>
      </w:r>
      <w:r>
        <w:rPr>
          <w:rFonts w:ascii="Times New Roman" w:hAnsi="Times New Roman" w:cs="Times New Roman"/>
          <w:noProof/>
          <w:sz w:val="24"/>
          <w:szCs w:val="24"/>
          <w:lang w:eastAsia="en-GB"/>
        </w:rPr>
        <w:t>investments in the development and deployment of cybersecurity technologies, advanced digital technologies and other types of ICT infrastructure.</w:t>
      </w:r>
    </w:p>
    <w:p w:rsidR="00176373" w:rsidRDefault="00E474D1">
      <w:pPr>
        <w:pStyle w:val="paragraph"/>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rPr>
          <w:noProof/>
        </w:rPr>
        <w:t xml:space="preserve"> Digital contribution per component</w:t>
      </w:r>
    </w:p>
    <w:tbl>
      <w:tblPr>
        <w:tblW w:w="9441" w:type="dxa"/>
        <w:tblLook w:val="04A0" w:firstRow="1" w:lastRow="0" w:firstColumn="1" w:lastColumn="0" w:noHBand="0" w:noVBand="1"/>
      </w:tblPr>
      <w:tblGrid>
        <w:gridCol w:w="4101"/>
        <w:gridCol w:w="1780"/>
        <w:gridCol w:w="1780"/>
        <w:gridCol w:w="1780"/>
      </w:tblGrid>
      <w:tr w:rsidR="00176373">
        <w:trPr>
          <w:trHeight w:val="1400"/>
        </w:trPr>
        <w:tc>
          <w:tcPr>
            <w:tcW w:w="4101" w:type="dxa"/>
            <w:tcBorders>
              <w:top w:val="single" w:sz="8" w:space="0" w:color="auto"/>
              <w:left w:val="single" w:sz="8" w:space="0" w:color="auto"/>
              <w:bottom w:val="single" w:sz="4" w:space="0" w:color="auto"/>
              <w:right w:val="single" w:sz="8" w:space="0" w:color="auto"/>
            </w:tcBorders>
            <w:shd w:val="clear" w:color="auto" w:fill="E7E6E6" w:themeFill="background2"/>
            <w:vAlign w:val="center"/>
            <w:hideMark/>
          </w:tcPr>
          <w:p w:rsidR="00176373" w:rsidRDefault="00E474D1">
            <w:pPr>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Component and name of the measure</w:t>
            </w:r>
          </w:p>
        </w:tc>
        <w:tc>
          <w:tcPr>
            <w:tcW w:w="1780" w:type="dxa"/>
            <w:tcBorders>
              <w:top w:val="single" w:sz="8" w:space="0" w:color="auto"/>
              <w:left w:val="nil"/>
              <w:bottom w:val="single" w:sz="4" w:space="0" w:color="auto"/>
              <w:right w:val="single" w:sz="8" w:space="0" w:color="auto"/>
            </w:tcBorders>
            <w:shd w:val="clear" w:color="auto" w:fill="E7E6E6" w:themeFill="background2"/>
            <w:vAlign w:val="center"/>
            <w:hideMark/>
          </w:tcPr>
          <w:p w:rsidR="00176373" w:rsidRDefault="00E474D1">
            <w:pPr>
              <w:spacing w:after="0" w:line="240" w:lineRule="auto"/>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Cost</w:t>
            </w:r>
            <w:r>
              <w:rPr>
                <w:rFonts w:ascii="Times New Roman" w:eastAsia="Times New Roman" w:hAnsi="Times New Roman" w:cs="Times New Roman"/>
                <w:b/>
                <w:bCs/>
                <w:noProof/>
                <w:color w:val="000000"/>
              </w:rPr>
              <w:br/>
              <w:t>(EUR million)</w:t>
            </w:r>
          </w:p>
        </w:tc>
        <w:tc>
          <w:tcPr>
            <w:tcW w:w="1780" w:type="dxa"/>
            <w:tcBorders>
              <w:top w:val="single" w:sz="8" w:space="0" w:color="auto"/>
              <w:left w:val="nil"/>
              <w:bottom w:val="single" w:sz="4" w:space="0" w:color="auto"/>
              <w:right w:val="single" w:sz="8" w:space="0" w:color="auto"/>
            </w:tcBorders>
            <w:shd w:val="clear" w:color="auto" w:fill="E7E6E6" w:themeFill="background2"/>
            <w:vAlign w:val="center"/>
            <w:hideMark/>
          </w:tcPr>
          <w:p w:rsidR="00176373" w:rsidRDefault="00E474D1">
            <w:pPr>
              <w:spacing w:after="0" w:line="240" w:lineRule="auto"/>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 xml:space="preserve">Digital contribution </w:t>
            </w:r>
            <w:r>
              <w:rPr>
                <w:rFonts w:ascii="Times New Roman" w:eastAsia="Times New Roman" w:hAnsi="Times New Roman" w:cs="Times New Roman"/>
                <w:b/>
                <w:bCs/>
                <w:noProof/>
                <w:color w:val="000000"/>
              </w:rPr>
              <w:br/>
              <w:t>(EUR million)</w:t>
            </w:r>
          </w:p>
        </w:tc>
        <w:tc>
          <w:tcPr>
            <w:tcW w:w="1780" w:type="dxa"/>
            <w:tcBorders>
              <w:top w:val="single" w:sz="8" w:space="0" w:color="auto"/>
              <w:left w:val="nil"/>
              <w:bottom w:val="single" w:sz="4" w:space="0" w:color="auto"/>
              <w:right w:val="single" w:sz="8" w:space="0" w:color="auto"/>
            </w:tcBorders>
            <w:shd w:val="clear" w:color="auto" w:fill="E7E6E6" w:themeFill="background2"/>
            <w:vAlign w:val="center"/>
            <w:hideMark/>
          </w:tcPr>
          <w:p w:rsidR="00176373" w:rsidRDefault="00E474D1">
            <w:pPr>
              <w:spacing w:after="0" w:line="240" w:lineRule="auto"/>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Digital contribution*</w:t>
            </w:r>
            <w:r>
              <w:rPr>
                <w:rFonts w:ascii="Times New Roman" w:eastAsia="Times New Roman" w:hAnsi="Times New Roman" w:cs="Times New Roman"/>
                <w:b/>
                <w:bCs/>
                <w:noProof/>
                <w:color w:val="000000"/>
              </w:rPr>
              <w:br/>
              <w:t>(percentage)</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1.1. Power up</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1 200.3</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1.2. Renovate</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2 711.5</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1.3. Recharge and refuel</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520.0</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1.4. Sustainable use of resources, climate resilience and environmental protection</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1 762.7</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2.1. Connect</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521.6</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521.6</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1.7%</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2.2. Modernise</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1 280.6</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1 280.6</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4.2%</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2.3. Digitalisation of businesses</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375.0</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375.0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1.2%</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3.1. Promote job creation</w:t>
            </w:r>
            <w:r>
              <w:rPr>
                <w:rFonts w:ascii="Times New Roman" w:eastAsia="Times New Roman" w:hAnsi="Times New Roman" w:cs="Times New Roman"/>
                <w:noProof/>
                <w:color w:val="000000"/>
              </w:rPr>
              <w:t xml:space="preserve"> and participation in the labour market</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776.3</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93.8</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0.3%</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3.2. Education, vocational education and training, and skills</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2 311.4</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1 055.0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3.5%</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3.3. Improve resilience, accessibility and sustainability of healthcare</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1 485.7</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277.6</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0.9%</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3.4. Increase access to</w:t>
            </w:r>
            <w:r>
              <w:rPr>
                <w:rFonts w:ascii="Times New Roman" w:eastAsia="Times New Roman" w:hAnsi="Times New Roman" w:cs="Times New Roman"/>
                <w:noProof/>
                <w:color w:val="000000"/>
              </w:rPr>
              <w:t xml:space="preserve"> effective and inclusive social policies</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611.4</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54.0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0.2%</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4.1. Making taxes more growth friendly and improving tax administration and tax collection</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187.2</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185.1</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0.6%</w:t>
            </w:r>
          </w:p>
        </w:tc>
      </w:tr>
      <w:tr w:rsidR="00176373">
        <w:trPr>
          <w:trHeight w:val="141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4.2. Modernise the public administration, including through speeding up the </w:t>
            </w:r>
            <w:r>
              <w:rPr>
                <w:rFonts w:ascii="Times New Roman" w:eastAsia="Times New Roman" w:hAnsi="Times New Roman" w:cs="Times New Roman"/>
                <w:noProof/>
                <w:color w:val="000000"/>
              </w:rPr>
              <w:t>implementation of public investments, improving the public procurement framework, capacity building measures and fighting corruption</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188.8</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108.2</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0.4%</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4.3. Improve the efficiency of the justice system</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250.7</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113.0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0.4%</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4.4. Strengthen the financial sector </w:t>
            </w:r>
            <w:r>
              <w:rPr>
                <w:rFonts w:ascii="Times New Roman" w:eastAsia="Times New Roman" w:hAnsi="Times New Roman" w:cs="Times New Roman"/>
                <w:noProof/>
                <w:color w:val="000000"/>
              </w:rPr>
              <w:t>and capital markets</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20.7</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12.2</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4.5. Promote research and innovation</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443.6</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50.0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0.2%</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4.6. Modernise and improve resilience of key economic sectors</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3 742.2</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420.8</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1.4%</w:t>
            </w:r>
          </w:p>
        </w:tc>
      </w:tr>
      <w:tr w:rsidR="00176373">
        <w:trPr>
          <w:trHeight w:val="57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4.7. Improve competitiveness and promote private investments and trade</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12 733.7</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2 547.0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8.4%</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Technical assistance</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40.0</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noProof/>
                <w:color w:val="000000"/>
              </w:rPr>
            </w:pPr>
            <w:r>
              <w:rPr>
                <w:rFonts w:ascii="Times New Roman" w:eastAsia="Times New Roman" w:hAnsi="Times New Roman" w:cs="Times New Roman"/>
                <w:noProof/>
                <w:color w:val="000000"/>
              </w:rPr>
              <w:t>0.0%</w:t>
            </w:r>
          </w:p>
        </w:tc>
      </w:tr>
      <w:tr w:rsidR="00176373">
        <w:trPr>
          <w:trHeight w:val="300"/>
        </w:trPr>
        <w:tc>
          <w:tcPr>
            <w:tcW w:w="4101" w:type="dxa"/>
            <w:tcBorders>
              <w:top w:val="nil"/>
              <w:left w:val="single" w:sz="8" w:space="0" w:color="auto"/>
              <w:bottom w:val="single" w:sz="8" w:space="0" w:color="auto"/>
              <w:right w:val="single" w:sz="8" w:space="0" w:color="auto"/>
            </w:tcBorders>
            <w:shd w:val="clear" w:color="auto" w:fill="auto"/>
            <w:vAlign w:val="center"/>
            <w:hideMark/>
          </w:tcPr>
          <w:p w:rsidR="00176373" w:rsidRDefault="00E474D1">
            <w:pPr>
              <w:spacing w:after="0" w:line="240" w:lineRule="auto"/>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Total</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31 163.5</w:t>
            </w:r>
          </w:p>
        </w:tc>
        <w:tc>
          <w:tcPr>
            <w:tcW w:w="1780" w:type="dxa"/>
            <w:tcBorders>
              <w:top w:val="nil"/>
              <w:left w:val="nil"/>
              <w:bottom w:val="single" w:sz="8" w:space="0" w:color="auto"/>
              <w:right w:val="single" w:sz="8" w:space="0" w:color="auto"/>
            </w:tcBorders>
            <w:shd w:val="clear" w:color="auto" w:fill="auto"/>
            <w:vAlign w:val="center"/>
            <w:hideMark/>
          </w:tcPr>
          <w:p w:rsidR="00176373" w:rsidRDefault="00E474D1">
            <w:pPr>
              <w:spacing w:after="0" w:line="240" w:lineRule="auto"/>
              <w:jc w:val="right"/>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7 094.1</w:t>
            </w:r>
          </w:p>
        </w:tc>
        <w:tc>
          <w:tcPr>
            <w:tcW w:w="1780" w:type="dxa"/>
            <w:tcBorders>
              <w:top w:val="nil"/>
              <w:left w:val="nil"/>
              <w:bottom w:val="single" w:sz="8" w:space="0" w:color="auto"/>
              <w:right w:val="single" w:sz="8" w:space="0" w:color="auto"/>
            </w:tcBorders>
            <w:shd w:val="clear" w:color="auto" w:fill="auto"/>
            <w:noWrap/>
            <w:vAlign w:val="center"/>
            <w:hideMark/>
          </w:tcPr>
          <w:p w:rsidR="00176373" w:rsidRDefault="00E474D1">
            <w:pPr>
              <w:spacing w:after="0" w:line="240" w:lineRule="auto"/>
              <w:jc w:val="right"/>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23.3%</w:t>
            </w:r>
          </w:p>
        </w:tc>
      </w:tr>
    </w:tbl>
    <w:p w:rsidR="00176373" w:rsidRDefault="00E474D1">
      <w:pPr>
        <w:pStyle w:val="ListParagraph"/>
        <w:spacing w:before="120"/>
        <w:ind w:left="142" w:right="-561"/>
        <w:jc w:val="both"/>
        <w:rPr>
          <w:rStyle w:val="CommentReference"/>
          <w:rFonts w:ascii="Times New Roman" w:hAnsi="Times New Roman" w:cs="Times New Roman"/>
          <w:i/>
          <w:noProof/>
          <w:sz w:val="20"/>
          <w:szCs w:val="20"/>
        </w:rPr>
      </w:pPr>
      <w:r>
        <w:rPr>
          <w:rStyle w:val="CommentReference"/>
          <w:rFonts w:ascii="Times New Roman" w:hAnsi="Times New Roman" w:cs="Times New Roman"/>
          <w:i/>
          <w:noProof/>
          <w:sz w:val="20"/>
          <w:szCs w:val="20"/>
        </w:rPr>
        <w:t>* Please note that the digital contribution in percentage is calculated based on Greece’s total allocations in non-repayable financial support (</w:t>
      </w:r>
      <w:r>
        <w:rPr>
          <w:rFonts w:ascii="Times New Roman" w:hAnsi="Times New Roman" w:cs="Times New Roman"/>
          <w:i/>
          <w:noProof/>
          <w:sz w:val="20"/>
          <w:szCs w:val="20"/>
          <w:lang w:eastAsia="en-GB"/>
        </w:rPr>
        <w:t xml:space="preserve">EUR 17 769.9 </w:t>
      </w:r>
      <w:r>
        <w:rPr>
          <w:rStyle w:val="CommentReference"/>
          <w:rFonts w:ascii="Times New Roman" w:hAnsi="Times New Roman" w:cs="Times New Roman"/>
          <w:i/>
          <w:noProof/>
          <w:sz w:val="20"/>
          <w:szCs w:val="20"/>
        </w:rPr>
        <w:t xml:space="preserve">million) and in </w:t>
      </w:r>
      <w:r>
        <w:rPr>
          <w:rStyle w:val="CommentReference"/>
          <w:rFonts w:ascii="Times New Roman" w:hAnsi="Times New Roman" w:cs="Times New Roman"/>
          <w:i/>
          <w:noProof/>
          <w:sz w:val="20"/>
          <w:szCs w:val="20"/>
        </w:rPr>
        <w:t>loans (EUR 12 727.5 million).</w:t>
      </w:r>
    </w:p>
    <w:p w:rsidR="00176373" w:rsidRDefault="00176373">
      <w:pPr>
        <w:jc w:val="both"/>
        <w:rPr>
          <w:rFonts w:ascii="Times New Roman" w:hAnsi="Times New Roman" w:cs="Times New Roman"/>
          <w:noProof/>
          <w:sz w:val="24"/>
          <w:lang w:eastAsia="en-GB"/>
        </w:rPr>
      </w:pPr>
    </w:p>
    <w:p w:rsidR="00176373" w:rsidRDefault="00E474D1">
      <w:pPr>
        <w:jc w:val="both"/>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Digital transition</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The recovery and resilience plan contributes to Greece’s digital transition, addresses related challenges and is overall well aligned with the key objectives of the Digital Strategy of the Union and with th</w:t>
      </w:r>
      <w:r>
        <w:rPr>
          <w:rFonts w:ascii="Times New Roman" w:hAnsi="Times New Roman" w:cs="Times New Roman"/>
          <w:b/>
          <w:bCs/>
          <w:noProof/>
          <w:sz w:val="24"/>
          <w:szCs w:val="24"/>
          <w:lang w:eastAsia="en-GB"/>
        </w:rPr>
        <w:t>e priorities related to digital set out by the Commission in the 2021 Annual Sustainable Growth Strategy</w:t>
      </w:r>
      <w:r>
        <w:rPr>
          <w:rFonts w:ascii="Times New Roman" w:hAnsi="Times New Roman" w:cs="Times New Roman"/>
          <w:noProof/>
          <w:sz w:val="24"/>
          <w:szCs w:val="24"/>
          <w:lang w:eastAsia="en-GB"/>
        </w:rPr>
        <w:t>. These measures also address well Greece’s shortcomings in the digital field as identified in the Digital Economy and Society Index (DESI). The plan en</w:t>
      </w:r>
      <w:r>
        <w:rPr>
          <w:rFonts w:ascii="Times New Roman" w:hAnsi="Times New Roman" w:cs="Times New Roman"/>
          <w:noProof/>
          <w:sz w:val="24"/>
          <w:szCs w:val="24"/>
          <w:lang w:eastAsia="en-GB"/>
        </w:rPr>
        <w:t>compasses in particular (i) measures aimed at enhancing connectivity, by accelerating and facilitating the deployment of very high capacity networks, in particular 5G and fibre networks; (ii) measures aimed at improving the digitalisation of public adminis</w:t>
      </w:r>
      <w:r>
        <w:rPr>
          <w:rFonts w:ascii="Times New Roman" w:hAnsi="Times New Roman" w:cs="Times New Roman"/>
          <w:noProof/>
          <w:sz w:val="24"/>
          <w:szCs w:val="24"/>
          <w:lang w:eastAsia="en-GB"/>
        </w:rPr>
        <w:t xml:space="preserve">tration, the judicial and financial systems, and key sectors of the economy, including manufacturing, agri-food, culture and tourism, notably through a wider adoption of digital capacities and advanced digital technologies; (iii) measures aimed at </w:t>
      </w:r>
      <w:r>
        <w:rPr>
          <w:rFonts w:ascii="Times New Roman" w:eastAsia="Times New Roman" w:hAnsi="Times New Roman" w:cs="Times New Roman"/>
          <w:noProof/>
          <w:sz w:val="24"/>
          <w:szCs w:val="24"/>
        </w:rPr>
        <w:t>fosterin</w:t>
      </w:r>
      <w:r>
        <w:rPr>
          <w:rFonts w:ascii="Times New Roman" w:eastAsia="Times New Roman" w:hAnsi="Times New Roman" w:cs="Times New Roman"/>
          <w:noProof/>
          <w:sz w:val="24"/>
          <w:szCs w:val="24"/>
        </w:rPr>
        <w:t>g the digitalisation of Greek’s businesses and (iv) measures aimed at bridging the current gap in the human capital dimension, with a focus on digital skills</w:t>
      </w:r>
      <w:r>
        <w:rPr>
          <w:rFonts w:ascii="Times New Roman" w:hAnsi="Times New Roman" w:cs="Times New Roman"/>
          <w:noProof/>
          <w:sz w:val="24"/>
          <w:szCs w:val="24"/>
          <w:lang w:eastAsia="en-GB"/>
        </w:rPr>
        <w:t>.</w:t>
      </w:r>
      <w:r>
        <w:rPr>
          <w:noProof/>
        </w:rPr>
        <w:t xml:space="preserve"> </w:t>
      </w:r>
      <w:r>
        <w:rPr>
          <w:rFonts w:ascii="Times New Roman" w:hAnsi="Times New Roman" w:cs="Times New Roman"/>
          <w:noProof/>
          <w:sz w:val="24"/>
          <w:szCs w:val="24"/>
          <w:lang w:eastAsia="en-GB"/>
        </w:rPr>
        <w:t>Overall, these measures are expected to contribute to improving the competitiveness and resilienc</w:t>
      </w:r>
      <w:r>
        <w:rPr>
          <w:rFonts w:ascii="Times New Roman" w:hAnsi="Times New Roman" w:cs="Times New Roman"/>
          <w:noProof/>
          <w:sz w:val="24"/>
          <w:szCs w:val="24"/>
          <w:lang w:eastAsia="en-GB"/>
        </w:rPr>
        <w:t xml:space="preserve">e of the Greek economy, while ensuring inclusiveness. In addition, these measures are expected to bring a transformational change and have a lasting impact.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 xml:space="preserve">As regards connectivity, component 2.1 includes both reforms and investments aiming to foster and </w:t>
      </w:r>
      <w:r>
        <w:rPr>
          <w:rFonts w:ascii="Times New Roman" w:hAnsi="Times New Roman" w:cs="Times New Roman"/>
          <w:b/>
          <w:bCs/>
          <w:noProof/>
          <w:sz w:val="24"/>
          <w:szCs w:val="24"/>
          <w:lang w:eastAsia="en-GB"/>
        </w:rPr>
        <w:t>facilitate the widespread deployment of very high capacity networks, including 5G and fibre, in line with the EU 2025 connectivity objectives and with the 5G Action Plan.</w:t>
      </w:r>
      <w:r>
        <w:rPr>
          <w:rFonts w:ascii="Times New Roman" w:hAnsi="Times New Roman" w:cs="Times New Roman"/>
          <w:noProof/>
          <w:sz w:val="24"/>
          <w:szCs w:val="24"/>
          <w:lang w:eastAsia="en-GB"/>
        </w:rPr>
        <w:t xml:space="preserve"> Reforms such as those which are included in the Connectivity Toolbox ,are expected to</w:t>
      </w:r>
      <w:r>
        <w:rPr>
          <w:rFonts w:ascii="Times New Roman" w:hAnsi="Times New Roman" w:cs="Times New Roman"/>
          <w:noProof/>
          <w:sz w:val="24"/>
          <w:szCs w:val="24"/>
          <w:lang w:eastAsia="en-GB"/>
        </w:rPr>
        <w:t xml:space="preserve"> facilitate investments in very high capacity networks by private operators in particular by removing unnecessary administrative hurdles to investments in networks, by expediting licensing procedures and by reducing the deployment cost and facilitating the</w:t>
      </w:r>
      <w:r>
        <w:rPr>
          <w:rFonts w:ascii="Times New Roman" w:hAnsi="Times New Roman" w:cs="Times New Roman"/>
          <w:noProof/>
          <w:sz w:val="24"/>
          <w:szCs w:val="24"/>
          <w:lang w:eastAsia="en-GB"/>
        </w:rPr>
        <w:t xml:space="preserve"> whole network deployment process. These measures also complement and increase the impact of existing national support measures such as the “Ultra-Fast Broadband” (UFBB) project and the National Fund for 5G (called “Phaistos Fund”), with a view to increasi</w:t>
      </w:r>
      <w:r>
        <w:rPr>
          <w:rFonts w:ascii="Times New Roman" w:hAnsi="Times New Roman" w:cs="Times New Roman"/>
          <w:noProof/>
          <w:sz w:val="24"/>
          <w:szCs w:val="24"/>
          <w:lang w:eastAsia="en-GB"/>
        </w:rPr>
        <w:t xml:space="preserve">ng fixed and mobile and broadband coverage and take-up by households and businesses. </w:t>
      </w:r>
    </w:p>
    <w:p w:rsidR="00176373" w:rsidRDefault="00E474D1">
      <w:pPr>
        <w:jc w:val="both"/>
        <w:rPr>
          <w:rFonts w:ascii="Times New Roman" w:hAnsi="Times New Roman" w:cs="Times New Roman"/>
          <w:noProof/>
          <w:sz w:val="24"/>
          <w:szCs w:val="24"/>
          <w:lang w:eastAsia="en-GB"/>
        </w:rPr>
      </w:pPr>
      <w:r>
        <w:rPr>
          <w:rFonts w:ascii="Times New Roman" w:hAnsi="Times New Roman" w:cs="Times New Roman"/>
          <w:b/>
          <w:bCs/>
          <w:noProof/>
          <w:sz w:val="24"/>
          <w:szCs w:val="24"/>
          <w:lang w:eastAsia="en-GB"/>
        </w:rPr>
        <w:t>On e-government and digital public services, a number of investments and reforms are planned notably under component 2.2, but also under pillars 3 and 4.</w:t>
      </w:r>
      <w:r>
        <w:rPr>
          <w:rFonts w:ascii="Times New Roman" w:hAnsi="Times New Roman" w:cs="Times New Roman"/>
          <w:noProof/>
          <w:sz w:val="24"/>
          <w:szCs w:val="24"/>
          <w:lang w:eastAsia="en-GB"/>
        </w:rPr>
        <w:t xml:space="preserve"> These reflect Greece’s strategic goal to switch into a “digital by default” mode by 2023 and envisage the end-to-end redesign and simplification of many government services </w:t>
      </w:r>
      <w:r>
        <w:rPr>
          <w:rFonts w:ascii="Times New Roman" w:eastAsia="Times New Roman" w:hAnsi="Times New Roman" w:cs="Times New Roman"/>
          <w:noProof/>
          <w:sz w:val="24"/>
          <w:szCs w:val="24"/>
        </w:rPr>
        <w:t>to citizens and businesses</w:t>
      </w:r>
      <w:r>
        <w:rPr>
          <w:rFonts w:ascii="Times New Roman" w:hAnsi="Times New Roman" w:cs="Times New Roman"/>
          <w:noProof/>
          <w:sz w:val="24"/>
          <w:szCs w:val="24"/>
          <w:lang w:eastAsia="en-GB"/>
        </w:rPr>
        <w:t>. This is particularly important to address the low supp</w:t>
      </w:r>
      <w:r>
        <w:rPr>
          <w:rFonts w:ascii="Times New Roman" w:hAnsi="Times New Roman" w:cs="Times New Roman"/>
          <w:noProof/>
          <w:sz w:val="24"/>
          <w:szCs w:val="24"/>
          <w:lang w:eastAsia="en-GB"/>
        </w:rPr>
        <w:t>ly and use of digital public services, both at central and decentralised level, by transforming Greek cities into smart city champions offering modern, customer-oriented services. The digitization of key archives in key services (justice, urban planning ag</w:t>
      </w:r>
      <w:r>
        <w:rPr>
          <w:rFonts w:ascii="Times New Roman" w:hAnsi="Times New Roman" w:cs="Times New Roman"/>
          <w:noProof/>
          <w:sz w:val="24"/>
          <w:szCs w:val="24"/>
          <w:lang w:eastAsia="en-GB"/>
        </w:rPr>
        <w:t>encies, cadastre, immigration &amp; asylum) and their integration in the relevant IT systems, coupled with system interoperability initiatives that allow the application of the ‘once-only’ principle, creates a solid foundation for the digital transformation of</w:t>
      </w:r>
      <w:r>
        <w:rPr>
          <w:rFonts w:ascii="Times New Roman" w:hAnsi="Times New Roman" w:cs="Times New Roman"/>
          <w:noProof/>
          <w:sz w:val="24"/>
          <w:szCs w:val="24"/>
          <w:lang w:eastAsia="en-GB"/>
        </w:rPr>
        <w:t xml:space="preserve"> public sector entities, and the reduction of the administrative burden to citizens and businesses. </w:t>
      </w:r>
    </w:p>
    <w:p w:rsidR="00176373" w:rsidRDefault="00E474D1">
      <w:pPr>
        <w:jc w:val="both"/>
        <w:rPr>
          <w:rFonts w:ascii="Times New Roman" w:eastAsia="Times New Roman" w:hAnsi="Times New Roman" w:cs="Times New Roman"/>
          <w:noProof/>
          <w:sz w:val="24"/>
          <w:szCs w:val="24"/>
        </w:rPr>
      </w:pPr>
      <w:r>
        <w:rPr>
          <w:rFonts w:ascii="Times New Roman" w:hAnsi="Times New Roman" w:cs="Times New Roman"/>
          <w:b/>
          <w:bCs/>
          <w:noProof/>
          <w:sz w:val="24"/>
          <w:szCs w:val="24"/>
          <w:lang w:eastAsia="en-GB"/>
        </w:rPr>
        <w:t xml:space="preserve">This is also complemented by reforms and investments related to digital capacities and advanced technologies, such as the envisaged measures on </w:t>
      </w:r>
      <w:r>
        <w:rPr>
          <w:rFonts w:ascii="Times New Roman" w:eastAsia="Times New Roman" w:hAnsi="Times New Roman" w:cs="Times New Roman"/>
          <w:b/>
          <w:bCs/>
          <w:noProof/>
          <w:sz w:val="24"/>
          <w:szCs w:val="24"/>
        </w:rPr>
        <w:t>cloud infra</w:t>
      </w:r>
      <w:r>
        <w:rPr>
          <w:rFonts w:ascii="Times New Roman" w:eastAsia="Times New Roman" w:hAnsi="Times New Roman" w:cs="Times New Roman"/>
          <w:b/>
          <w:bCs/>
          <w:noProof/>
          <w:sz w:val="24"/>
          <w:szCs w:val="24"/>
        </w:rPr>
        <w:t>structures and cybersecurity contained under component 2.2.</w:t>
      </w:r>
      <w:r>
        <w:rPr>
          <w:rFonts w:ascii="Times New Roman" w:eastAsia="Times New Roman" w:hAnsi="Times New Roman" w:cs="Times New Roman"/>
          <w:noProof/>
          <w:sz w:val="24"/>
          <w:szCs w:val="24"/>
        </w:rPr>
        <w:t xml:space="preserve"> Investments in cloud computing and big data are aimed in particular </w:t>
      </w:r>
      <w:r>
        <w:rPr>
          <w:rFonts w:ascii="Times New Roman" w:hAnsi="Times New Roman" w:cs="Times New Roman"/>
          <w:noProof/>
          <w:sz w:val="24"/>
          <w:szCs w:val="24"/>
          <w:lang w:eastAsia="en-GB"/>
        </w:rPr>
        <w:t xml:space="preserve">to allow linking back office and front office processes to ensure interoperability of systems, processes, applications and </w:t>
      </w:r>
      <w:r>
        <w:rPr>
          <w:rFonts w:ascii="Times New Roman" w:hAnsi="Times New Roman" w:cs="Times New Roman"/>
          <w:noProof/>
          <w:sz w:val="24"/>
          <w:szCs w:val="24"/>
          <w:lang w:eastAsia="en-GB"/>
        </w:rPr>
        <w:t xml:space="preserve">services, and are ultimately expected to improve the provision of public services to government actors, citizens and businesses. In addition, the component envisages the development and implementation of a cybersecurity strategy and a set of cybersecurity </w:t>
      </w:r>
      <w:r>
        <w:rPr>
          <w:rFonts w:ascii="Times New Roman" w:hAnsi="Times New Roman" w:cs="Times New Roman"/>
          <w:noProof/>
          <w:sz w:val="24"/>
          <w:szCs w:val="24"/>
          <w:lang w:eastAsia="en-GB"/>
        </w:rPr>
        <w:t>policies to increase the reliability and security of public sector systems and data and improve citizens’ trust in their interaction with the public sector, the creation of a National Cybersecurity Operations Center (SOC) and the provision of advanced Secu</w:t>
      </w:r>
      <w:r>
        <w:rPr>
          <w:rFonts w:ascii="Times New Roman" w:hAnsi="Times New Roman" w:cs="Times New Roman"/>
          <w:noProof/>
          <w:sz w:val="24"/>
          <w:szCs w:val="24"/>
          <w:lang w:eastAsia="en-GB"/>
        </w:rPr>
        <w:t>rity Services in G-Cloud critical infrastructure, to improve the security of the public sector’s central infrastructures and information systems against cybersecurity threats.</w:t>
      </w:r>
      <w:r>
        <w:rPr>
          <w:rFonts w:ascii="Times New Roman" w:eastAsia="Times New Roman" w:hAnsi="Times New Roman" w:cs="Times New Roman"/>
          <w:noProof/>
          <w:sz w:val="24"/>
          <w:szCs w:val="24"/>
        </w:rPr>
        <w:t xml:space="preserve"> The implementation of this comprehensive set of measures is expected to signific</w:t>
      </w:r>
      <w:r>
        <w:rPr>
          <w:rFonts w:ascii="Times New Roman" w:eastAsia="Times New Roman" w:hAnsi="Times New Roman" w:cs="Times New Roman"/>
          <w:noProof/>
          <w:sz w:val="24"/>
          <w:szCs w:val="24"/>
        </w:rPr>
        <w:t xml:space="preserve">antly step up the digital transformation of the public sector - central, regional and local government entities – and improve the provision of public services in Greece to citizens and businesses. This is in turn expected to have a long-lasting impact for </w:t>
      </w:r>
      <w:r>
        <w:rPr>
          <w:rFonts w:ascii="Times New Roman" w:eastAsia="Times New Roman" w:hAnsi="Times New Roman" w:cs="Times New Roman"/>
          <w:noProof/>
          <w:sz w:val="24"/>
          <w:szCs w:val="24"/>
        </w:rPr>
        <w:t xml:space="preserve">the public administration, as well as for citizens and businesses, by removing existing digital barriers and providing more interoperable, secure and user-friendly digital public services.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recovery and resilience plan also encompasses sizeable measure</w:t>
      </w:r>
      <w:r>
        <w:rPr>
          <w:rFonts w:ascii="Times New Roman" w:eastAsia="Times New Roman" w:hAnsi="Times New Roman" w:cs="Times New Roman"/>
          <w:b/>
          <w:bCs/>
          <w:noProof/>
          <w:sz w:val="24"/>
          <w:szCs w:val="24"/>
        </w:rPr>
        <w:t>s to foster the digitalisation of Greek’s businesses, notably SMEs, under component 2.3.</w:t>
      </w:r>
      <w:r>
        <w:rPr>
          <w:rFonts w:ascii="Times New Roman" w:eastAsia="Times New Roman" w:hAnsi="Times New Roman" w:cs="Times New Roman"/>
          <w:noProof/>
          <w:sz w:val="24"/>
          <w:szCs w:val="24"/>
        </w:rPr>
        <w:t xml:space="preserve"> The reforms and investments included in the plan are expected to foster the take up of digital technologies by SMEs and enable them to adopt and develop innovative dig</w:t>
      </w:r>
      <w:r>
        <w:rPr>
          <w:rFonts w:ascii="Times New Roman" w:eastAsia="Times New Roman" w:hAnsi="Times New Roman" w:cs="Times New Roman"/>
          <w:noProof/>
          <w:sz w:val="24"/>
          <w:szCs w:val="24"/>
        </w:rPr>
        <w:t>ital solutions, tailored to the specific needs of their industries, to expand SMEs’ digital presence, for instance through participation in e-commerce platforms, and to reduce their operating costs, for instance through more efficient data processing.</w:t>
      </w:r>
      <w:r>
        <w:rPr>
          <w:noProof/>
        </w:rPr>
        <w:t xml:space="preserve"> </w:t>
      </w:r>
      <w:r>
        <w:rPr>
          <w:rFonts w:ascii="Times New Roman" w:eastAsia="Times New Roman" w:hAnsi="Times New Roman" w:cs="Times New Roman"/>
          <w:noProof/>
          <w:sz w:val="24"/>
          <w:szCs w:val="24"/>
        </w:rPr>
        <w:t>Comp</w:t>
      </w:r>
      <w:r>
        <w:rPr>
          <w:rFonts w:ascii="Times New Roman" w:eastAsia="Times New Roman" w:hAnsi="Times New Roman" w:cs="Times New Roman"/>
          <w:noProof/>
          <w:sz w:val="24"/>
          <w:szCs w:val="24"/>
        </w:rPr>
        <w:t>onent 4.6 also includes a measure called ‘Accelerating Smart Manufacturing’, which aims to provide financial support for small and medium manufacturing enterprises to enhance their technological infrastructure, upgrade their manufacturing equipment using s</w:t>
      </w:r>
      <w:r>
        <w:rPr>
          <w:rFonts w:ascii="Times New Roman" w:eastAsia="Times New Roman" w:hAnsi="Times New Roman" w:cs="Times New Roman"/>
          <w:noProof/>
          <w:sz w:val="24"/>
          <w:szCs w:val="24"/>
        </w:rPr>
        <w:t xml:space="preserve">tate-of-the-art smart technologies with low environmental impact and ultimately accelerate the industry’s transition to Industry 4.0. Although these measures are more of horizontal nature, these are also expected to contribute to the digital transition of </w:t>
      </w:r>
      <w:r>
        <w:rPr>
          <w:rFonts w:ascii="Times New Roman" w:eastAsia="Times New Roman" w:hAnsi="Times New Roman" w:cs="Times New Roman"/>
          <w:noProof/>
          <w:sz w:val="24"/>
          <w:szCs w:val="24"/>
        </w:rPr>
        <w:t>the Greek industry.</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plan also includes measures aimed at bridging the current gap in the human capital dimension,</w:t>
      </w:r>
      <w:r>
        <w:rPr>
          <w:rFonts w:ascii="Times New Roman" w:eastAsia="Times New Roman" w:hAnsi="Times New Roman" w:cs="Times New Roman"/>
          <w:noProof/>
          <w:sz w:val="24"/>
          <w:szCs w:val="24"/>
        </w:rPr>
        <w:t xml:space="preserve"> by modernizing and upgrading the life-long learning system and by ensuring an upskilling and reskilling system for the workforce that corr</w:t>
      </w:r>
      <w:r>
        <w:rPr>
          <w:rFonts w:ascii="Times New Roman" w:eastAsia="Times New Roman" w:hAnsi="Times New Roman" w:cs="Times New Roman"/>
          <w:noProof/>
          <w:sz w:val="24"/>
          <w:szCs w:val="24"/>
        </w:rPr>
        <w:t xml:space="preserve">espond to the need of the market, with a focus on digital skills. Such measures are expected to contribute to bridging the digital divide and to reinforce basic digital literacy across the entire population.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Finally, the plan includes measures which also </w:t>
      </w:r>
      <w:r>
        <w:rPr>
          <w:rFonts w:ascii="Times New Roman" w:eastAsia="Times New Roman" w:hAnsi="Times New Roman" w:cs="Times New Roman"/>
          <w:b/>
          <w:bCs/>
          <w:noProof/>
          <w:sz w:val="24"/>
          <w:szCs w:val="24"/>
        </w:rPr>
        <w:t>have a cross-border/multi-country digital dimension</w:t>
      </w:r>
      <w:r>
        <w:rPr>
          <w:rFonts w:ascii="Times New Roman" w:eastAsia="Times New Roman" w:hAnsi="Times New Roman" w:cs="Times New Roman"/>
          <w:noProof/>
          <w:sz w:val="24"/>
          <w:szCs w:val="24"/>
        </w:rPr>
        <w:t>, such as the ‘5G corridors’ investment that will support the cross-border corridor Thessaloniki-Sofia-Belgrade, the ‘Submarine fiber cables’ investment that will allow interconnecting mainland Greece with</w:t>
      </w:r>
      <w:r>
        <w:rPr>
          <w:rFonts w:ascii="Times New Roman" w:eastAsia="Times New Roman" w:hAnsi="Times New Roman" w:cs="Times New Roman"/>
          <w:noProof/>
          <w:sz w:val="24"/>
          <w:szCs w:val="24"/>
        </w:rPr>
        <w:t xml:space="preserve"> Cyprus, and the ‘Small satellites’ investment that will ensure interoperability with EuroQCI. The plan also includes </w:t>
      </w:r>
      <w:r>
        <w:rPr>
          <w:rFonts w:ascii="Times New Roman" w:eastAsia="Times New Roman" w:hAnsi="Times New Roman" w:cs="Times New Roman"/>
          <w:noProof/>
          <w:sz w:val="24"/>
          <w:szCs w:val="24"/>
          <w:lang w:val="en-IE"/>
        </w:rPr>
        <w:t>investing in a new high performance computing system, the creation of the national SOC and its networking with SOCs of other Member States</w:t>
      </w:r>
      <w:r>
        <w:rPr>
          <w:rFonts w:ascii="Times New Roman" w:eastAsia="Times New Roman" w:hAnsi="Times New Roman" w:cs="Times New Roman"/>
          <w:noProof/>
          <w:sz w:val="24"/>
          <w:szCs w:val="24"/>
          <w:lang w:val="en-IE"/>
        </w:rPr>
        <w:t xml:space="preserve"> and the adoption of a national eID system fully compatible with the European one.</w:t>
      </w:r>
    </w:p>
    <w:p w:rsidR="00176373" w:rsidRDefault="00E474D1">
      <w:pPr>
        <w:rPr>
          <w:rFonts w:ascii="Times New Roman" w:hAnsi="Times New Roman" w:cs="Times New Roman"/>
          <w:i/>
          <w:noProof/>
          <w:sz w:val="24"/>
          <w:szCs w:val="24"/>
          <w:lang w:eastAsia="en-GB"/>
        </w:rPr>
      </w:pPr>
      <w:r>
        <w:rPr>
          <w:rFonts w:ascii="Times New Roman" w:hAnsi="Times New Roman" w:cs="Times New Roman"/>
          <w:i/>
          <w:iCs/>
          <w:noProof/>
          <w:sz w:val="24"/>
          <w:szCs w:val="24"/>
          <w:lang w:eastAsia="en-GB"/>
        </w:rPr>
        <w:t>Conclusion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i/>
          <w:iCs/>
          <w:noProof/>
          <w:sz w:val="24"/>
          <w:szCs w:val="24"/>
        </w:rPr>
        <w:t>Taking into consideration the assessment of all the measures envisaged, the recovery and resilience plan is expected, to a large extent, to make a significant con</w:t>
      </w:r>
      <w:r>
        <w:rPr>
          <w:rFonts w:ascii="Times New Roman" w:eastAsia="Times New Roman" w:hAnsi="Times New Roman" w:cs="Times New Roman"/>
          <w:i/>
          <w:iCs/>
          <w:noProof/>
          <w:sz w:val="24"/>
          <w:szCs w:val="24"/>
        </w:rPr>
        <w:t>tribution to the digital transition or to address the challenges resulting from it and ensures that at least 20% of its total allocation contribute to support digital objectives. This would warrant a rating of A under criterion 2.6 of Annex V to the RRF Re</w:t>
      </w:r>
      <w:r>
        <w:rPr>
          <w:rFonts w:ascii="Times New Roman" w:eastAsia="Times New Roman" w:hAnsi="Times New Roman" w:cs="Times New Roman"/>
          <w:i/>
          <w:iCs/>
          <w:noProof/>
          <w:sz w:val="24"/>
          <w:szCs w:val="24"/>
        </w:rPr>
        <w:t>gulation.</w:t>
      </w:r>
    </w:p>
    <w:p w:rsidR="00176373" w:rsidRDefault="00E474D1">
      <w:pPr>
        <w:pStyle w:val="Heading2"/>
        <w:numPr>
          <w:ilvl w:val="1"/>
          <w:numId w:val="10"/>
        </w:numPr>
        <w:rPr>
          <w:noProof/>
        </w:rPr>
      </w:pPr>
      <w:bookmarkStart w:id="454" w:name="_Toc71740467"/>
      <w:bookmarkStart w:id="455" w:name="_Toc71792462"/>
      <w:bookmarkStart w:id="456" w:name="_Toc72158513"/>
      <w:bookmarkStart w:id="457" w:name="_Toc71665338"/>
      <w:bookmarkStart w:id="458" w:name="_Toc72170716"/>
      <w:bookmarkStart w:id="459" w:name="_Toc72176844"/>
      <w:bookmarkStart w:id="460" w:name="_Toc72179415"/>
      <w:bookmarkStart w:id="461" w:name="_Toc72176053"/>
      <w:bookmarkStart w:id="462" w:name="_Toc72181726"/>
      <w:bookmarkStart w:id="463" w:name="_Toc72178575"/>
      <w:bookmarkStart w:id="464" w:name="_Toc72182462"/>
      <w:bookmarkStart w:id="465" w:name="_Toc72183459"/>
      <w:bookmarkStart w:id="466" w:name="_Toc72187273"/>
      <w:bookmarkStart w:id="467" w:name="_Toc72326497"/>
      <w:bookmarkStart w:id="468" w:name="_Toc72326528"/>
      <w:bookmarkStart w:id="469" w:name="_Toc74305330"/>
      <w:r>
        <w:rPr>
          <w:noProof/>
        </w:rPr>
        <w:t>Lasting impact of the plan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noProof/>
        </w:rPr>
        <w:t xml:space="preserve"> </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Structural change in administration and institutions</w:t>
      </w:r>
    </w:p>
    <w:p w:rsidR="00176373" w:rsidRDefault="00E474D1">
      <w:pPr>
        <w:spacing w:line="257"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plan presents a series of measures to modernise and digitalise </w:t>
      </w:r>
      <w:r>
        <w:rPr>
          <w:rFonts w:ascii="Times New Roman" w:eastAsia="Times New Roman" w:hAnsi="Times New Roman" w:cs="Times New Roman"/>
          <w:b/>
          <w:bCs/>
          <w:noProof/>
          <w:sz w:val="24"/>
          <w:szCs w:val="24"/>
        </w:rPr>
        <w:t xml:space="preserve">the public administration, which are expected to contribute to the digital transition and to addressing the low level of digital public services. </w:t>
      </w:r>
      <w:r>
        <w:rPr>
          <w:rFonts w:ascii="Times New Roman" w:eastAsia="Times New Roman" w:hAnsi="Times New Roman" w:cs="Times New Roman"/>
          <w:noProof/>
          <w:sz w:val="24"/>
          <w:szCs w:val="24"/>
          <w:lang w:val="en-IE"/>
        </w:rPr>
        <w:t>Component 2.2 is particularly relevant in this respect. It is expected to introduce structural improvements in</w:t>
      </w:r>
      <w:r>
        <w:rPr>
          <w:rFonts w:ascii="Times New Roman" w:eastAsia="Times New Roman" w:hAnsi="Times New Roman" w:cs="Times New Roman"/>
          <w:noProof/>
          <w:sz w:val="24"/>
          <w:szCs w:val="24"/>
          <w:lang w:val="en-IE"/>
        </w:rPr>
        <w:t xml:space="preserve"> the functioning of key services and to narrow the gap</w:t>
      </w:r>
      <w:r>
        <w:rPr>
          <w:rFonts w:ascii="Times New Roman" w:eastAsia="Times New Roman" w:hAnsi="Times New Roman" w:cs="Times New Roman"/>
          <w:noProof/>
          <w:sz w:val="24"/>
          <w:szCs w:val="24"/>
        </w:rPr>
        <w:t xml:space="preserve"> on the quality and use of digital public services, on which Greece ranked 27</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among 28 countries assessed in the Digital Economy and Society Index in 2020</w:t>
      </w:r>
      <w:r>
        <w:rPr>
          <w:rFonts w:ascii="Times New Roman" w:eastAsia="Times New Roman" w:hAnsi="Times New Roman" w:cs="Times New Roman"/>
          <w:noProof/>
          <w:sz w:val="24"/>
          <w:szCs w:val="24"/>
          <w:lang w:val="en-IE"/>
        </w:rPr>
        <w:t>. Among others, the measures included in the c</w:t>
      </w:r>
      <w:r>
        <w:rPr>
          <w:rFonts w:ascii="Times New Roman" w:eastAsia="Times New Roman" w:hAnsi="Times New Roman" w:cs="Times New Roman"/>
          <w:noProof/>
          <w:sz w:val="24"/>
          <w:szCs w:val="24"/>
          <w:lang w:val="en-IE"/>
        </w:rPr>
        <w:t>omponent aim to establish more efficient processes in the public sector, through process simplification and digitalisation initiatives, interoperable public systems, fully digitised registries, and electronic repository and data management systems (cloud i</w:t>
      </w:r>
      <w:r>
        <w:rPr>
          <w:rFonts w:ascii="Times New Roman" w:eastAsia="Times New Roman" w:hAnsi="Times New Roman" w:cs="Times New Roman"/>
          <w:noProof/>
          <w:sz w:val="24"/>
          <w:szCs w:val="24"/>
          <w:lang w:val="en-IE"/>
        </w:rPr>
        <w:t>nfrastructure). Furthermore, the measures included in this component provide for the deployment of advanced tools such as on cybersecurity, artificial intelligence and business analytics. Specific measures are included,</w:t>
      </w:r>
      <w:r>
        <w:rPr>
          <w:rFonts w:ascii="Times New Roman" w:eastAsia="Times New Roman" w:hAnsi="Times New Roman" w:cs="Times New Roman"/>
          <w:noProof/>
          <w:color w:val="000000" w:themeColor="text1"/>
          <w:sz w:val="24"/>
          <w:szCs w:val="24"/>
          <w:lang w:val="en-IE"/>
        </w:rPr>
        <w:t xml:space="preserve"> aimed to improve digital performance</w:t>
      </w:r>
      <w:r>
        <w:rPr>
          <w:rFonts w:ascii="Times New Roman" w:eastAsia="Times New Roman" w:hAnsi="Times New Roman" w:cs="Times New Roman"/>
          <w:noProof/>
          <w:color w:val="000000" w:themeColor="text1"/>
          <w:sz w:val="24"/>
          <w:szCs w:val="24"/>
          <w:lang w:val="en-IE"/>
        </w:rPr>
        <w:t xml:space="preserve"> at municipality level and to provide the tools and skills to transform Greek cities into smart city champions. </w:t>
      </w:r>
      <w:r>
        <w:rPr>
          <w:rFonts w:ascii="Times New Roman" w:eastAsia="Times New Roman" w:hAnsi="Times New Roman" w:cs="Times New Roman"/>
          <w:noProof/>
          <w:sz w:val="24"/>
          <w:szCs w:val="24"/>
          <w:lang w:val="en-IE"/>
        </w:rPr>
        <w:t xml:space="preserve">The said initiatives are expected to have a lasting effect on the provision of smart, inclusive and </w:t>
      </w:r>
      <w:r>
        <w:rPr>
          <w:rFonts w:ascii="Times New Roman" w:eastAsia="Times New Roman" w:hAnsi="Times New Roman" w:cs="Times New Roman"/>
          <w:noProof/>
          <w:sz w:val="24"/>
          <w:szCs w:val="24"/>
        </w:rPr>
        <w:t xml:space="preserve">more citizen-centric </w:t>
      </w:r>
      <w:r>
        <w:rPr>
          <w:rFonts w:ascii="Times New Roman" w:eastAsia="Times New Roman" w:hAnsi="Times New Roman" w:cs="Times New Roman"/>
          <w:noProof/>
          <w:sz w:val="24"/>
          <w:szCs w:val="24"/>
          <w:lang w:val="en-IE"/>
        </w:rPr>
        <w:t>digital public services</w:t>
      </w:r>
      <w:r>
        <w:rPr>
          <w:rFonts w:ascii="Times New Roman" w:eastAsia="Times New Roman" w:hAnsi="Times New Roman" w:cs="Times New Roman"/>
          <w:noProof/>
          <w:sz w:val="24"/>
          <w:szCs w:val="24"/>
          <w:lang w:val="en-IE"/>
        </w:rPr>
        <w:t>, and reduce the administrative burden on citizens and businesses. In addition, the measures directly contribute to the implementation of EU policies such as open data policy compliant with the General Data Protection Regulation, European electronic identi</w:t>
      </w:r>
      <w:r>
        <w:rPr>
          <w:rFonts w:ascii="Times New Roman" w:eastAsia="Times New Roman" w:hAnsi="Times New Roman" w:cs="Times New Roman"/>
          <w:noProof/>
          <w:sz w:val="24"/>
          <w:szCs w:val="24"/>
          <w:lang w:val="en-IE"/>
        </w:rPr>
        <w:t xml:space="preserve">ty, and data security. </w:t>
      </w:r>
    </w:p>
    <w:p w:rsidR="00176373" w:rsidRDefault="00E474D1">
      <w:pPr>
        <w:jc w:val="both"/>
        <w:rPr>
          <w:rFonts w:ascii="Times New Roman" w:eastAsia="Times New Roman" w:hAnsi="Times New Roman" w:cs="Times New Roman"/>
          <w:noProof/>
          <w:color w:val="000000" w:themeColor="text1"/>
          <w:sz w:val="24"/>
          <w:szCs w:val="24"/>
          <w:lang w:val="en-IE"/>
        </w:rPr>
      </w:pPr>
      <w:r>
        <w:rPr>
          <w:rFonts w:ascii="Times New Roman" w:eastAsia="Times New Roman" w:hAnsi="Times New Roman" w:cs="Times New Roman"/>
          <w:b/>
          <w:bCs/>
          <w:noProof/>
          <w:sz w:val="24"/>
          <w:szCs w:val="24"/>
        </w:rPr>
        <w:t xml:space="preserve">Complementary to the above, the plan aims to achieve institutional resilience through further actions to ensure operational efficiency and sound financial governance. </w:t>
      </w:r>
      <w:r>
        <w:rPr>
          <w:rFonts w:ascii="Times New Roman" w:eastAsia="Times New Roman" w:hAnsi="Times New Roman" w:cs="Times New Roman"/>
          <w:noProof/>
          <w:sz w:val="24"/>
          <w:szCs w:val="24"/>
        </w:rPr>
        <w:t>Specifically, key measures under component 4.2 include capacity b</w:t>
      </w:r>
      <w:r>
        <w:rPr>
          <w:rFonts w:ascii="Times New Roman" w:eastAsia="Times New Roman" w:hAnsi="Times New Roman" w:cs="Times New Roman"/>
          <w:noProof/>
          <w:sz w:val="24"/>
          <w:szCs w:val="24"/>
        </w:rPr>
        <w:t>uilding and upskilling for a significant part of civil servants (i.e. more than 40% of the workforce), the introduction of modern hiring procedures and a reward system for civil servants, and the establishment of a multilevel governance system to clarify r</w:t>
      </w:r>
      <w:r>
        <w:rPr>
          <w:rFonts w:ascii="Times New Roman" w:eastAsia="Times New Roman" w:hAnsi="Times New Roman" w:cs="Times New Roman"/>
          <w:noProof/>
          <w:sz w:val="24"/>
          <w:szCs w:val="24"/>
        </w:rPr>
        <w:t>esponsibilities between public administration levels and to address current overlaps. These are complemented by measures to strengthen the national anti-corruption framework, and relevant legislative initiatives to facilitate the fight against money launde</w:t>
      </w:r>
      <w:r>
        <w:rPr>
          <w:rFonts w:ascii="Times New Roman" w:eastAsia="Times New Roman" w:hAnsi="Times New Roman" w:cs="Times New Roman"/>
          <w:noProof/>
          <w:sz w:val="24"/>
          <w:szCs w:val="24"/>
        </w:rPr>
        <w:t xml:space="preserve">ring and terrorism financing. The component also </w:t>
      </w:r>
      <w:r>
        <w:rPr>
          <w:rFonts w:ascii="Times New Roman" w:eastAsia="Times New Roman" w:hAnsi="Times New Roman" w:cs="Times New Roman"/>
          <w:noProof/>
          <w:color w:val="000000" w:themeColor="text1"/>
          <w:sz w:val="24"/>
          <w:szCs w:val="24"/>
          <w:lang w:val="en-IE"/>
        </w:rPr>
        <w:t>introduces modern tools on e-procurement and enterprise resource planning to address structural weaknesses in public financial management, including payment execution</w:t>
      </w:r>
      <w:r>
        <w:rPr>
          <w:rFonts w:ascii="Times New Roman" w:eastAsia="Times New Roman" w:hAnsi="Times New Roman" w:cs="Times New Roman"/>
          <w:noProof/>
          <w:color w:val="000000" w:themeColor="text1"/>
          <w:sz w:val="24"/>
          <w:szCs w:val="24"/>
        </w:rPr>
        <w:t xml:space="preserve"> and effective</w:t>
      </w:r>
      <w:r>
        <w:rPr>
          <w:rFonts w:ascii="Times New Roman" w:eastAsia="Times New Roman" w:hAnsi="Times New Roman" w:cs="Times New Roman"/>
          <w:noProof/>
          <w:sz w:val="24"/>
          <w:szCs w:val="24"/>
        </w:rPr>
        <w:t xml:space="preserve"> implementation of public i</w:t>
      </w:r>
      <w:r>
        <w:rPr>
          <w:rFonts w:ascii="Times New Roman" w:eastAsia="Times New Roman" w:hAnsi="Times New Roman" w:cs="Times New Roman"/>
          <w:noProof/>
          <w:sz w:val="24"/>
          <w:szCs w:val="24"/>
        </w:rPr>
        <w:t>nvestment projects.</w:t>
      </w:r>
      <w:r>
        <w:rPr>
          <w:rFonts w:ascii="Times New Roman" w:eastAsia="Times New Roman" w:hAnsi="Times New Roman" w:cs="Times New Roman"/>
          <w:noProof/>
          <w:color w:val="000000" w:themeColor="text1"/>
          <w:sz w:val="24"/>
          <w:szCs w:val="24"/>
          <w:lang w:val="en-IE"/>
        </w:rPr>
        <w:t xml:space="preserve"> Lastly, it provides for </w:t>
      </w:r>
      <w:r>
        <w:rPr>
          <w:rFonts w:ascii="Times New Roman" w:eastAsia="Times New Roman" w:hAnsi="Times New Roman" w:cs="Times New Roman"/>
          <w:noProof/>
          <w:sz w:val="24"/>
          <w:szCs w:val="24"/>
        </w:rPr>
        <w:t>the modernisation and strengthening of the governance framework concerning state-owned-enterprises, which is expected to fundamentally improve the operation and services of such enterprises.</w:t>
      </w:r>
      <w:r>
        <w:rPr>
          <w:rFonts w:ascii="Times New Roman" w:eastAsia="Times New Roman" w:hAnsi="Times New Roman" w:cs="Times New Roman"/>
          <w:noProof/>
          <w:color w:val="000000" w:themeColor="text1"/>
          <w:sz w:val="24"/>
          <w:szCs w:val="24"/>
          <w:lang w:val="en-IE"/>
        </w:rPr>
        <w:t xml:space="preserve"> Jointly with the digi</w:t>
      </w:r>
      <w:r>
        <w:rPr>
          <w:rFonts w:ascii="Times New Roman" w:eastAsia="Times New Roman" w:hAnsi="Times New Roman" w:cs="Times New Roman"/>
          <w:noProof/>
          <w:color w:val="000000" w:themeColor="text1"/>
          <w:sz w:val="24"/>
          <w:szCs w:val="24"/>
          <w:lang w:val="en-IE"/>
        </w:rPr>
        <w:t>tal pillar, t</w:t>
      </w:r>
      <w:r>
        <w:rPr>
          <w:rFonts w:ascii="Times New Roman" w:eastAsia="Times New Roman" w:hAnsi="Times New Roman" w:cs="Times New Roman"/>
          <w:noProof/>
          <w:sz w:val="24"/>
          <w:szCs w:val="24"/>
        </w:rPr>
        <w:t>hese measures are expected to fundamentally improve the Greek public administration across all five pillars of the public administration framework </w:t>
      </w:r>
      <w:r>
        <w:rPr>
          <w:rStyle w:val="FootnoteReference"/>
          <w:rFonts w:ascii="Times New Roman" w:eastAsia="Times New Roman" w:hAnsi="Times New Roman" w:cs="Times New Roman"/>
          <w:noProof/>
          <w:sz w:val="24"/>
          <w:szCs w:val="24"/>
        </w:rPr>
        <w:footnoteReference w:id="35"/>
      </w:r>
      <w:r>
        <w:rPr>
          <w:rFonts w:ascii="Times New Roman" w:eastAsia="Times New Roman" w:hAnsi="Times New Roman" w:cs="Times New Roman"/>
          <w:noProof/>
          <w:sz w:val="24"/>
          <w:szCs w:val="24"/>
        </w:rPr>
        <w:t>, namely (i) policy planning, policy coordination and policy development; (ii) civil service an</w:t>
      </w:r>
      <w:r>
        <w:rPr>
          <w:rFonts w:ascii="Times New Roman" w:eastAsia="Times New Roman" w:hAnsi="Times New Roman" w:cs="Times New Roman"/>
          <w:noProof/>
          <w:sz w:val="24"/>
          <w:szCs w:val="24"/>
        </w:rPr>
        <w:t>d human resource management; (iii) accountability; (iv) service delivery; and (v) public financial management.</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lang w:val="en-IE"/>
        </w:rPr>
        <w:t>D</w:t>
      </w:r>
      <w:r>
        <w:rPr>
          <w:rFonts w:ascii="Times New Roman" w:eastAsia="Times New Roman" w:hAnsi="Times New Roman" w:cs="Times New Roman"/>
          <w:b/>
          <w:bCs/>
          <w:noProof/>
          <w:sz w:val="24"/>
          <w:szCs w:val="24"/>
        </w:rPr>
        <w:t xml:space="preserve">igital transformation initiatives under components 4.1 and 4.2 are expected to strengthen the ability of the State to collect taxes, thus </w:t>
      </w:r>
      <w:r>
        <w:rPr>
          <w:rFonts w:ascii="Times New Roman" w:eastAsia="Times New Roman" w:hAnsi="Times New Roman" w:cs="Times New Roman"/>
          <w:b/>
          <w:bCs/>
          <w:noProof/>
          <w:sz w:val="24"/>
          <w:szCs w:val="24"/>
        </w:rPr>
        <w:t>tackling</w:t>
      </w:r>
      <w:r>
        <w:rPr>
          <w:rFonts w:ascii="Times New Roman" w:eastAsia="Times New Roman" w:hAnsi="Times New Roman" w:cs="Times New Roman"/>
          <w:b/>
          <w:bCs/>
          <w:noProof/>
          <w:color w:val="000000" w:themeColor="text1"/>
          <w:sz w:val="24"/>
          <w:szCs w:val="24"/>
        </w:rPr>
        <w:t xml:space="preserve"> ongoing challenges relating to Greece’s fiscal sustainability</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Measures include the upgrade of core digital systems in the tax administration, the introduction of automated office and work processes, the digitalisation of audits and controls, as w</w:t>
      </w:r>
      <w:r>
        <w:rPr>
          <w:rFonts w:ascii="Times New Roman" w:eastAsia="Times New Roman" w:hAnsi="Times New Roman" w:cs="Times New Roman"/>
          <w:noProof/>
          <w:sz w:val="24"/>
          <w:szCs w:val="24"/>
        </w:rPr>
        <w:t>ell as the improvement of taxpayer e-services. These are expected to improve the working methods and tools at the disposal of the tax authority in the fight against tax evasion and smuggling, and at the same time fortify its autonomy as an independent auth</w:t>
      </w:r>
      <w:r>
        <w:rPr>
          <w:rFonts w:ascii="Times New Roman" w:eastAsia="Times New Roman" w:hAnsi="Times New Roman" w:cs="Times New Roman"/>
          <w:noProof/>
          <w:sz w:val="24"/>
          <w:szCs w:val="24"/>
        </w:rPr>
        <w:t>ority. Coupled with measures to simplify and codify tax legislation, these are also expected to have a lasting impact on reducing the administrative burden for taxpayers</w:t>
      </w:r>
      <w:r>
        <w:rPr>
          <w:rFonts w:ascii="Times New Roman" w:eastAsia="Times New Roman" w:hAnsi="Times New Roman" w:cs="Times New Roman"/>
          <w:noProof/>
          <w:color w:val="000000" w:themeColor="text1"/>
          <w:sz w:val="24"/>
          <w:szCs w:val="24"/>
          <w:lang w:val="en-IE"/>
        </w:rPr>
        <w:t xml:space="preserve"> and creating a level-playing field for businesses</w:t>
      </w:r>
      <w:r>
        <w:rPr>
          <w:rFonts w:ascii="Times New Roman" w:eastAsia="Times New Roman" w:hAnsi="Times New Roman" w:cs="Times New Roman"/>
          <w:noProof/>
          <w:sz w:val="24"/>
          <w:szCs w:val="24"/>
        </w:rPr>
        <w:t>.</w:t>
      </w:r>
    </w:p>
    <w:p w:rsidR="00176373" w:rsidRDefault="00E474D1">
      <w:pPr>
        <w:spacing w:line="257"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bCs/>
          <w:noProof/>
          <w:sz w:val="24"/>
          <w:szCs w:val="24"/>
        </w:rPr>
        <w:t>A wide-ranging agenda to improve th</w:t>
      </w:r>
      <w:r>
        <w:rPr>
          <w:rFonts w:ascii="Times New Roman" w:eastAsia="Times New Roman" w:hAnsi="Times New Roman" w:cs="Times New Roman"/>
          <w:b/>
          <w:bCs/>
          <w:noProof/>
          <w:sz w:val="24"/>
          <w:szCs w:val="24"/>
        </w:rPr>
        <w:t>e efficiency and quality of the justice system is also provided under component 4.3, which is key</w:t>
      </w:r>
      <w:r>
        <w:rPr>
          <w:rFonts w:ascii="Times New Roman" w:eastAsia="Times New Roman" w:hAnsi="Times New Roman" w:cs="Times New Roman"/>
          <w:b/>
          <w:bCs/>
          <w:noProof/>
          <w:color w:val="000000" w:themeColor="text1"/>
          <w:sz w:val="24"/>
          <w:szCs w:val="24"/>
        </w:rPr>
        <w:t xml:space="preserve"> to </w:t>
      </w:r>
      <w:r>
        <w:rPr>
          <w:rFonts w:ascii="Times New Roman" w:eastAsia="Times New Roman" w:hAnsi="Times New Roman" w:cs="Times New Roman"/>
          <w:b/>
          <w:bCs/>
          <w:noProof/>
          <w:color w:val="000000" w:themeColor="text1"/>
          <w:sz w:val="24"/>
          <w:szCs w:val="24"/>
          <w:lang w:val="en-IE"/>
        </w:rPr>
        <w:t>unblocking bottlenecks to investment</w:t>
      </w:r>
      <w:r>
        <w:rPr>
          <w:rFonts w:ascii="Times New Roman" w:eastAsia="Times New Roman" w:hAnsi="Times New Roman" w:cs="Times New Roman"/>
          <w:b/>
          <w:bCs/>
          <w:noProof/>
          <w:sz w:val="24"/>
          <w:szCs w:val="24"/>
        </w:rPr>
        <w:t>.</w:t>
      </w:r>
      <w:r>
        <w:rPr>
          <w:rFonts w:ascii="Times New Roman" w:eastAsia="Times New Roman" w:hAnsi="Times New Roman" w:cs="Times New Roman"/>
          <w:noProof/>
          <w:sz w:val="24"/>
          <w:szCs w:val="24"/>
        </w:rPr>
        <w:t xml:space="preserve"> Inter alia, measures include the introduction of digital processes and tools, the upgrade of control management mecha</w:t>
      </w:r>
      <w:r>
        <w:rPr>
          <w:rFonts w:ascii="Times New Roman" w:eastAsia="Times New Roman" w:hAnsi="Times New Roman" w:cs="Times New Roman"/>
          <w:noProof/>
          <w:sz w:val="24"/>
          <w:szCs w:val="24"/>
        </w:rPr>
        <w:t xml:space="preserve">nisms, and the training of judges and the judicial staff, </w:t>
      </w:r>
      <w:r>
        <w:rPr>
          <w:rFonts w:ascii="Times New Roman" w:eastAsia="Times New Roman" w:hAnsi="Times New Roman" w:cs="Times New Roman"/>
          <w:noProof/>
          <w:color w:val="000000" w:themeColor="text1"/>
          <w:sz w:val="24"/>
          <w:szCs w:val="24"/>
        </w:rPr>
        <w:t>with an emphasis on digital skills.</w:t>
      </w:r>
      <w:r>
        <w:rPr>
          <w:rFonts w:ascii="Times New Roman" w:eastAsia="Times New Roman" w:hAnsi="Times New Roman" w:cs="Times New Roman"/>
          <w:noProof/>
          <w:sz w:val="24"/>
          <w:szCs w:val="24"/>
        </w:rPr>
        <w:t xml:space="preserve"> The said m</w:t>
      </w:r>
      <w:r>
        <w:rPr>
          <w:rFonts w:ascii="Times New Roman" w:eastAsia="Times New Roman" w:hAnsi="Times New Roman" w:cs="Times New Roman"/>
          <w:noProof/>
          <w:color w:val="000000" w:themeColor="text1"/>
          <w:sz w:val="24"/>
          <w:szCs w:val="24"/>
        </w:rPr>
        <w:t>easures are expected to contribute to structural improvements to the administration and functioning of the justice system, and sustainably reduce the ba</w:t>
      </w:r>
      <w:r>
        <w:rPr>
          <w:rFonts w:ascii="Times New Roman" w:eastAsia="Times New Roman" w:hAnsi="Times New Roman" w:cs="Times New Roman"/>
          <w:noProof/>
          <w:color w:val="000000" w:themeColor="text1"/>
          <w:sz w:val="24"/>
          <w:szCs w:val="24"/>
        </w:rPr>
        <w:t>cklog of pending cases.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color w:val="000000" w:themeColor="text1"/>
          <w:sz w:val="24"/>
          <w:szCs w:val="24"/>
          <w:lang w:val="en-IE"/>
        </w:rPr>
        <w:t xml:space="preserve">Further, the plan aims to introduce long term structural changes in the effective delivery and performance monitoring of social services, including for vulnerable social groups. </w:t>
      </w:r>
      <w:r>
        <w:rPr>
          <w:rFonts w:ascii="Times New Roman" w:eastAsia="Times New Roman" w:hAnsi="Times New Roman" w:cs="Times New Roman"/>
          <w:noProof/>
          <w:color w:val="000000" w:themeColor="text1"/>
          <w:sz w:val="24"/>
          <w:szCs w:val="24"/>
          <w:lang w:val="en-IE"/>
        </w:rPr>
        <w:t xml:space="preserve">Specifically, </w:t>
      </w:r>
      <w:r>
        <w:rPr>
          <w:rFonts w:ascii="Times New Roman" w:eastAsia="Times New Roman" w:hAnsi="Times New Roman" w:cs="Times New Roman"/>
          <w:noProof/>
          <w:sz w:val="24"/>
          <w:szCs w:val="24"/>
        </w:rPr>
        <w:t>investments in digital infrastructure an</w:t>
      </w:r>
      <w:r>
        <w:rPr>
          <w:rFonts w:ascii="Times New Roman" w:eastAsia="Times New Roman" w:hAnsi="Times New Roman" w:cs="Times New Roman"/>
          <w:noProof/>
          <w:sz w:val="24"/>
          <w:szCs w:val="24"/>
        </w:rPr>
        <w:t>d tools, including e-patient health record and therapeutic protocols in e-prescription, and the reform of the primary health care system under component 3.3, are expected to improve key structural weaknesses currently undermining the capacity and resilienc</w:t>
      </w:r>
      <w:r>
        <w:rPr>
          <w:rFonts w:ascii="Times New Roman" w:eastAsia="Times New Roman" w:hAnsi="Times New Roman" w:cs="Times New Roman"/>
          <w:noProof/>
          <w:sz w:val="24"/>
          <w:szCs w:val="24"/>
        </w:rPr>
        <w:t xml:space="preserve">e of the health care system. The digital transformation of the </w:t>
      </w:r>
      <w:r>
        <w:rPr>
          <w:rFonts w:ascii="Times New Roman" w:hAnsi="Times New Roman" w:cs="Times New Roman"/>
          <w:noProof/>
          <w:sz w:val="24"/>
          <w:szCs w:val="24"/>
          <w:lang w:eastAsia="en-GB"/>
        </w:rPr>
        <w:t xml:space="preserve">social support system under component 3.4, is expected to address inherent weaknesses of the social welfare system and facilitate the implementation of effective social safety nets. </w:t>
      </w:r>
      <w:r>
        <w:rPr>
          <w:rFonts w:ascii="Times New Roman" w:eastAsia="Times New Roman" w:hAnsi="Times New Roman" w:cs="Times New Roman"/>
          <w:noProof/>
          <w:sz w:val="24"/>
          <w:szCs w:val="24"/>
        </w:rPr>
        <w:t>Further, co</w:t>
      </w:r>
      <w:r>
        <w:rPr>
          <w:rFonts w:ascii="Times New Roman" w:eastAsia="Times New Roman" w:hAnsi="Times New Roman" w:cs="Times New Roman"/>
          <w:noProof/>
          <w:sz w:val="24"/>
          <w:szCs w:val="24"/>
        </w:rPr>
        <w:t xml:space="preserve">mponent 3.2 provides for the digital transformation of education in terms of curriculum, infrastructure and services, in addition to a new framework for lifelong learning. Complementary to this, </w:t>
      </w:r>
      <w:r>
        <w:rPr>
          <w:rFonts w:ascii="Times New Roman" w:eastAsia="Times New Roman" w:hAnsi="Times New Roman" w:cs="Times New Roman"/>
          <w:noProof/>
          <w:sz w:val="24"/>
          <w:szCs w:val="24"/>
          <w:lang w:val="en-IE"/>
        </w:rPr>
        <w:t xml:space="preserve">component 3.1 aims to address structural weaknesses in the provision of </w:t>
      </w:r>
      <w:r>
        <w:rPr>
          <w:rFonts w:ascii="Times New Roman" w:eastAsia="Times New Roman" w:hAnsi="Times New Roman" w:cs="Times New Roman"/>
          <w:noProof/>
          <w:sz w:val="24"/>
          <w:szCs w:val="24"/>
        </w:rPr>
        <w:t>public employment services, by equipping them with modern, digital tools to enable them to carry out their mandate more effectively. Lastly, component 1.2 aims to target energy poor ho</w:t>
      </w:r>
      <w:r>
        <w:rPr>
          <w:rFonts w:ascii="Times New Roman" w:eastAsia="Times New Roman" w:hAnsi="Times New Roman" w:cs="Times New Roman"/>
          <w:noProof/>
          <w:sz w:val="24"/>
          <w:szCs w:val="24"/>
        </w:rPr>
        <w:t>useholds through the adoption of an energy action plan while allocating a dedicated amount from the planned investment to upgrade the energy efficiency of residencies to energy poor households.</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Structural change in policies</w:t>
      </w:r>
    </w:p>
    <w:p w:rsidR="00176373" w:rsidRDefault="00E474D1">
      <w:pPr>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bCs/>
          <w:noProof/>
          <w:sz w:val="24"/>
          <w:szCs w:val="24"/>
          <w:lang w:val="en-IE"/>
        </w:rPr>
        <w:t>Significant measures are introdu</w:t>
      </w:r>
      <w:r>
        <w:rPr>
          <w:rFonts w:ascii="Times New Roman" w:eastAsia="Times New Roman" w:hAnsi="Times New Roman" w:cs="Times New Roman"/>
          <w:b/>
          <w:bCs/>
          <w:noProof/>
          <w:sz w:val="24"/>
          <w:szCs w:val="24"/>
          <w:lang w:val="en-IE"/>
        </w:rPr>
        <w:t xml:space="preserve">ced which are expected to improve specific </w:t>
      </w:r>
      <w:r>
        <w:rPr>
          <w:rFonts w:ascii="Times New Roman" w:eastAsia="Times New Roman" w:hAnsi="Times New Roman" w:cs="Times New Roman"/>
          <w:b/>
          <w:bCs/>
          <w:noProof/>
          <w:sz w:val="24"/>
          <w:szCs w:val="24"/>
        </w:rPr>
        <w:t xml:space="preserve">policies and regulation, in particular those </w:t>
      </w:r>
      <w:r>
        <w:rPr>
          <w:rFonts w:ascii="Times New Roman" w:hAnsi="Times New Roman" w:cs="Times New Roman"/>
          <w:b/>
          <w:bCs/>
          <w:noProof/>
          <w:sz w:val="24"/>
          <w:szCs w:val="24"/>
          <w:lang w:eastAsia="en-GB"/>
        </w:rPr>
        <w:t>relating to the ambitious decarbonisation and environmental protection goals.</w:t>
      </w:r>
      <w:r>
        <w:rPr>
          <w:rFonts w:ascii="Times New Roman" w:hAnsi="Times New Roman" w:cs="Times New Roman"/>
          <w:noProof/>
          <w:sz w:val="24"/>
          <w:szCs w:val="24"/>
          <w:lang w:eastAsia="en-GB"/>
        </w:rPr>
        <w:t xml:space="preserve"> Regarding clean energy, component 1.1 includes measures that aim to increase the share of </w:t>
      </w:r>
      <w:r>
        <w:rPr>
          <w:rFonts w:ascii="Times New Roman" w:hAnsi="Times New Roman" w:cs="Times New Roman"/>
          <w:noProof/>
          <w:sz w:val="24"/>
          <w:szCs w:val="24"/>
          <w:lang w:eastAsia="en-GB"/>
        </w:rPr>
        <w:t xml:space="preserve">renewable energy sources in Greece’s energy mix, including via </w:t>
      </w:r>
      <w:r>
        <w:rPr>
          <w:rFonts w:ascii="Times New Roman" w:eastAsia="Times New Roman" w:hAnsi="Times New Roman" w:cs="Times New Roman"/>
          <w:noProof/>
          <w:sz w:val="24"/>
          <w:szCs w:val="24"/>
        </w:rPr>
        <w:t>speeding up the licensing procedure for new RES plants, to introduce a monitoring mechanism for the recently established energy market, a</w:t>
      </w:r>
      <w:r>
        <w:rPr>
          <w:rFonts w:ascii="Times New Roman" w:hAnsi="Times New Roman" w:cs="Times New Roman"/>
          <w:noProof/>
          <w:sz w:val="24"/>
          <w:szCs w:val="24"/>
          <w:lang w:eastAsia="en-GB"/>
        </w:rPr>
        <w:t xml:space="preserve">nd to support </w:t>
      </w:r>
      <w:r>
        <w:rPr>
          <w:rFonts w:ascii="Times New Roman" w:eastAsia="Times New Roman" w:hAnsi="Times New Roman" w:cs="Times New Roman"/>
          <w:noProof/>
          <w:sz w:val="24"/>
          <w:szCs w:val="24"/>
        </w:rPr>
        <w:t>the transition to a low-carbon energy mode</w:t>
      </w:r>
      <w:r>
        <w:rPr>
          <w:rFonts w:ascii="Times New Roman" w:eastAsia="Times New Roman" w:hAnsi="Times New Roman" w:cs="Times New Roman"/>
          <w:noProof/>
          <w:sz w:val="24"/>
          <w:szCs w:val="24"/>
        </w:rPr>
        <w:t xml:space="preserve">l through enhancing energy efficiency and reducing greenhouse gas emissions. Initiatives to promote Greece’s national target for the total phase-out of lignite by 2028 through land rehabilitation measures for the redevelopment </w:t>
      </w:r>
      <w:r>
        <w:rPr>
          <w:rFonts w:ascii="Times New Roman" w:eastAsia="Times New Roman" w:hAnsi="Times New Roman" w:cs="Times New Roman"/>
          <w:noProof/>
          <w:color w:val="000000" w:themeColor="text1"/>
          <w:sz w:val="24"/>
          <w:szCs w:val="24"/>
        </w:rPr>
        <w:t>of affected areas are also in</w:t>
      </w:r>
      <w:r>
        <w:rPr>
          <w:rFonts w:ascii="Times New Roman" w:eastAsia="Times New Roman" w:hAnsi="Times New Roman" w:cs="Times New Roman"/>
          <w:noProof/>
          <w:color w:val="000000" w:themeColor="text1"/>
          <w:sz w:val="24"/>
          <w:szCs w:val="24"/>
        </w:rPr>
        <w:t xml:space="preserve">cluded. Coupled with measures under component 1.2 on </w:t>
      </w:r>
      <w:r>
        <w:rPr>
          <w:rFonts w:ascii="Times New Roman" w:eastAsia="Times New Roman" w:hAnsi="Times New Roman" w:cs="Times New Roman"/>
          <w:noProof/>
          <w:sz w:val="24"/>
          <w:szCs w:val="24"/>
        </w:rPr>
        <w:t>energy-efficient renovation and upgrade of buildings and the development of strategic green urban regeneration projects, the plan is expected to sustainably contribute to emission reduction policy object</w:t>
      </w:r>
      <w:r>
        <w:rPr>
          <w:rFonts w:ascii="Times New Roman" w:eastAsia="Times New Roman" w:hAnsi="Times New Roman" w:cs="Times New Roman"/>
          <w:noProof/>
          <w:sz w:val="24"/>
          <w:szCs w:val="24"/>
        </w:rPr>
        <w:t>ives. Further, component 1.3 provides for the installation and operation of charging infrastructure for electric vehicles, which is expected to fundamentally contribute to green and sustainable mobility, whilst reforestation initiatives and measures to pro</w:t>
      </w:r>
      <w:r>
        <w:rPr>
          <w:rFonts w:ascii="Times New Roman" w:eastAsia="Times New Roman" w:hAnsi="Times New Roman" w:cs="Times New Roman"/>
          <w:noProof/>
          <w:sz w:val="24"/>
          <w:szCs w:val="24"/>
        </w:rPr>
        <w:t>tect biodiversity are included under component 1.4. Lastly, measures to promote the circular economy and sustainable agriculture, as well as improve urban planning under component 4.6 are expected to credibly contribute to the long term objectives of envir</w:t>
      </w:r>
      <w:r>
        <w:rPr>
          <w:rFonts w:ascii="Times New Roman" w:eastAsia="Times New Roman" w:hAnsi="Times New Roman" w:cs="Times New Roman"/>
          <w:noProof/>
          <w:sz w:val="24"/>
          <w:szCs w:val="24"/>
        </w:rPr>
        <w:t>onmental and climate adaptation policies.</w:t>
      </w:r>
      <w:r>
        <w:rPr>
          <w:rFonts w:ascii="Times New Roman" w:eastAsia="Times New Roman" w:hAnsi="Times New Roman" w:cs="Times New Roman"/>
          <w:noProof/>
          <w:color w:val="000000" w:themeColor="text1"/>
          <w:sz w:val="24"/>
          <w:szCs w:val="24"/>
        </w:rPr>
        <w:t xml:space="preserve"> </w:t>
      </w:r>
    </w:p>
    <w:p w:rsidR="00176373" w:rsidRDefault="00E474D1">
      <w:pPr>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bCs/>
          <w:noProof/>
          <w:color w:val="000000" w:themeColor="text1"/>
          <w:sz w:val="24"/>
          <w:szCs w:val="24"/>
        </w:rPr>
        <w:t>Further, the plan is expected to address a number of structural changes to s</w:t>
      </w:r>
      <w:r>
        <w:rPr>
          <w:rFonts w:ascii="Times New Roman" w:eastAsia="Times New Roman" w:hAnsi="Times New Roman" w:cs="Times New Roman"/>
          <w:b/>
          <w:bCs/>
          <w:noProof/>
          <w:sz w:val="24"/>
          <w:szCs w:val="24"/>
        </w:rPr>
        <w:t>trengthen capital markets,</w:t>
      </w:r>
      <w:r>
        <w:rPr>
          <w:rFonts w:ascii="Times New Roman" w:eastAsia="Times New Roman" w:hAnsi="Times New Roman" w:cs="Times New Roman"/>
          <w:b/>
          <w:bCs/>
          <w:noProof/>
          <w:color w:val="000000" w:themeColor="text1"/>
          <w:sz w:val="24"/>
          <w:szCs w:val="24"/>
        </w:rPr>
        <w:t xml:space="preserve"> the business environment, and the extent to which labour policies are effectively implemented</w:t>
      </w:r>
      <w:r>
        <w:rPr>
          <w:rFonts w:ascii="Times New Roman" w:eastAsia="Times New Roman" w:hAnsi="Times New Roman" w:cs="Times New Roman"/>
          <w:noProof/>
          <w:color w:val="000000" w:themeColor="text1"/>
          <w:sz w:val="24"/>
          <w:szCs w:val="24"/>
        </w:rPr>
        <w:t xml:space="preserve">. </w:t>
      </w:r>
      <w:r>
        <w:rPr>
          <w:rFonts w:ascii="Times New Roman" w:eastAsia="Times New Roman" w:hAnsi="Times New Roman" w:cs="Times New Roman"/>
          <w:noProof/>
          <w:sz w:val="24"/>
          <w:szCs w:val="24"/>
        </w:rPr>
        <w:t xml:space="preserve">Component 4.4 </w:t>
      </w:r>
      <w:r>
        <w:rPr>
          <w:rFonts w:ascii="Times New Roman" w:eastAsia="Times New Roman" w:hAnsi="Times New Roman" w:cs="Times New Roman"/>
          <w:noProof/>
          <w:sz w:val="24"/>
          <w:szCs w:val="24"/>
        </w:rPr>
        <w:t>introduces measures to tackle private indebtedness, assist the monitoring of financial market information and credit expansion, and remove information asymmetries that are expected to address inherent weakness in the financial sector and increase the resil</w:t>
      </w:r>
      <w:r>
        <w:rPr>
          <w:rFonts w:ascii="Times New Roman" w:eastAsia="Times New Roman" w:hAnsi="Times New Roman" w:cs="Times New Roman"/>
          <w:noProof/>
          <w:sz w:val="24"/>
          <w:szCs w:val="24"/>
        </w:rPr>
        <w:t>ience of the economy to future shocks. Measures under components 4.6 and 4.7 are expected to i</w:t>
      </w:r>
      <w:r>
        <w:rPr>
          <w:rFonts w:ascii="Times New Roman" w:eastAsia="Times New Roman" w:hAnsi="Times New Roman" w:cs="Times New Roman"/>
          <w:noProof/>
          <w:color w:val="000000" w:themeColor="text1"/>
          <w:sz w:val="24"/>
          <w:szCs w:val="24"/>
        </w:rPr>
        <w:t>mprove the regulatory and practical environment in doing business and trading, inter alia, by reducing entry barriers, improving the capacity of market surveillan</w:t>
      </w:r>
      <w:r>
        <w:rPr>
          <w:rFonts w:ascii="Times New Roman" w:eastAsia="Times New Roman" w:hAnsi="Times New Roman" w:cs="Times New Roman"/>
          <w:noProof/>
          <w:color w:val="000000" w:themeColor="text1"/>
          <w:sz w:val="24"/>
          <w:szCs w:val="24"/>
        </w:rPr>
        <w:t xml:space="preserve">ce structures and rationalising export processes. The labour market reform under </w:t>
      </w:r>
      <w:r>
        <w:rPr>
          <w:rFonts w:ascii="Times New Roman" w:eastAsia="Times New Roman" w:hAnsi="Times New Roman" w:cs="Times New Roman"/>
          <w:noProof/>
          <w:sz w:val="24"/>
          <w:szCs w:val="24"/>
          <w:lang w:val="en-IE"/>
        </w:rPr>
        <w:t xml:space="preserve">component 3.1 </w:t>
      </w:r>
      <w:r>
        <w:rPr>
          <w:rFonts w:ascii="Times New Roman" w:eastAsia="Times New Roman" w:hAnsi="Times New Roman" w:cs="Times New Roman"/>
          <w:noProof/>
          <w:color w:val="000000" w:themeColor="text1"/>
          <w:sz w:val="24"/>
          <w:szCs w:val="24"/>
        </w:rPr>
        <w:t>aims to improve the functioning of the labour market, while investment in active labour market policies under the same component is expected to contribute to sus</w:t>
      </w:r>
      <w:r>
        <w:rPr>
          <w:rFonts w:ascii="Times New Roman" w:eastAsia="Times New Roman" w:hAnsi="Times New Roman" w:cs="Times New Roman"/>
          <w:noProof/>
          <w:color w:val="000000" w:themeColor="text1"/>
          <w:sz w:val="24"/>
          <w:szCs w:val="24"/>
        </w:rPr>
        <w:t>tainable job creation. Under component 3.2, the upskilling and reskilling of the workforce, with an emphasis on green and digital skills, is expected to contribute to the robustness of the labour market, by addressing challenges arising from the twin trans</w:t>
      </w:r>
      <w:r>
        <w:rPr>
          <w:rFonts w:ascii="Times New Roman" w:eastAsia="Times New Roman" w:hAnsi="Times New Roman" w:cs="Times New Roman"/>
          <w:noProof/>
          <w:color w:val="000000" w:themeColor="text1"/>
          <w:sz w:val="24"/>
          <w:szCs w:val="24"/>
        </w:rPr>
        <w:t>ition.</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Lasting impact</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The plan includes measures that aim to address the root causes of the identified challenges and not just the symptomatic issues, underpinned by proper analysis, and in a number of cases aim to establish a change in practices.</w:t>
      </w:r>
      <w:r>
        <w:rPr>
          <w:rFonts w:ascii="Times New Roman" w:eastAsia="Times New Roman" w:hAnsi="Times New Roman" w:cs="Times New Roman"/>
          <w:noProof/>
          <w:sz w:val="24"/>
          <w:szCs w:val="24"/>
          <w:lang w:val="en-IE"/>
        </w:rPr>
        <w:t xml:space="preserve"> The</w:t>
      </w:r>
      <w:r>
        <w:rPr>
          <w:rFonts w:ascii="Times New Roman" w:eastAsia="Times New Roman" w:hAnsi="Times New Roman" w:cs="Times New Roman"/>
          <w:noProof/>
          <w:sz w:val="24"/>
          <w:szCs w:val="24"/>
        </w:rPr>
        <w:t xml:space="preserve"> comb</w:t>
      </w:r>
      <w:r>
        <w:rPr>
          <w:rFonts w:ascii="Times New Roman" w:eastAsia="Times New Roman" w:hAnsi="Times New Roman" w:cs="Times New Roman"/>
          <w:noProof/>
          <w:sz w:val="24"/>
          <w:szCs w:val="24"/>
        </w:rPr>
        <w:t>ination of energy efficiency and energy market reforms is expected to tackle problems associated with energy poverty and Greece’s excessive reliance on solid fossil fuels (lignite) for electricity generation. Measures such as the digital upgrade of the rai</w:t>
      </w:r>
      <w:r>
        <w:rPr>
          <w:rFonts w:ascii="Times New Roman" w:eastAsia="Times New Roman" w:hAnsi="Times New Roman" w:cs="Times New Roman"/>
          <w:noProof/>
          <w:sz w:val="24"/>
          <w:szCs w:val="24"/>
        </w:rPr>
        <w:t>l network are aimed to tackle the absence of smart public transport solutions. Further, the plan is expected to credibly address Greece’s low digital performance compared to EU peers, in particular as regards the low provision and use of digital public ser</w:t>
      </w:r>
      <w:r>
        <w:rPr>
          <w:rFonts w:ascii="Times New Roman" w:eastAsia="Times New Roman" w:hAnsi="Times New Roman" w:cs="Times New Roman"/>
          <w:noProof/>
          <w:sz w:val="24"/>
          <w:szCs w:val="24"/>
        </w:rPr>
        <w:t>vices and lack of digital skills.</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lang w:val="en-IE"/>
        </w:rPr>
        <w:t>The plan also aims to introduce a series of good practices, including in the area of better regulation and impact assessment, and in IT system and process design (i.e. ensure ‘interoperability by design’, ‘once-only’ submi</w:t>
      </w:r>
      <w:r>
        <w:rPr>
          <w:rFonts w:ascii="Times New Roman" w:eastAsia="Times New Roman" w:hAnsi="Times New Roman" w:cs="Times New Roman"/>
          <w:noProof/>
          <w:sz w:val="24"/>
          <w:szCs w:val="24"/>
          <w:lang w:val="en-IE"/>
        </w:rPr>
        <w:t xml:space="preserve">ssion of citizen information, open use of data, and customer-centric public services). </w:t>
      </w:r>
      <w:r>
        <w:rPr>
          <w:rFonts w:ascii="Times New Roman" w:eastAsia="Times New Roman" w:hAnsi="Times New Roman" w:cs="Times New Roman"/>
          <w:noProof/>
          <w:sz w:val="24"/>
          <w:szCs w:val="24"/>
        </w:rPr>
        <w:t>Reforms and investments, including the upskilling of the public sector staff, the deployment of digital tools, and organisational improvements are expected to enhance th</w:t>
      </w:r>
      <w:r>
        <w:rPr>
          <w:rFonts w:ascii="Times New Roman" w:eastAsia="Times New Roman" w:hAnsi="Times New Roman" w:cs="Times New Roman"/>
          <w:noProof/>
          <w:sz w:val="24"/>
          <w:szCs w:val="24"/>
        </w:rPr>
        <w:t>e capacity of the public administration to implement and effectively monitor these policies</w:t>
      </w:r>
      <w:r>
        <w:rPr>
          <w:rFonts w:ascii="Times New Roman" w:eastAsia="Times New Roman" w:hAnsi="Times New Roman" w:cs="Times New Roman"/>
          <w:noProof/>
          <w:sz w:val="24"/>
          <w:szCs w:val="24"/>
          <w:lang w:val="en-IE"/>
        </w:rPr>
        <w:t>. Further, the measures appear sustainable, as they take into consideration financial and budgetary implications and the possible risks to implementation.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lang w:val="en-IE"/>
        </w:rPr>
        <w:t>The plan i</w:t>
      </w:r>
      <w:r>
        <w:rPr>
          <w:rFonts w:ascii="Times New Roman" w:eastAsia="Times New Roman" w:hAnsi="Times New Roman" w:cs="Times New Roman"/>
          <w:b/>
          <w:bCs/>
          <w:noProof/>
          <w:sz w:val="24"/>
          <w:szCs w:val="24"/>
          <w:lang w:val="en-IE"/>
        </w:rPr>
        <w:t>s in line with fundamental rights and EU and national policies, whilst it re</w:t>
      </w:r>
      <w:r>
        <w:rPr>
          <w:rFonts w:ascii="Times New Roman" w:hAnsi="Times New Roman" w:cs="Times New Roman"/>
          <w:b/>
          <w:bCs/>
          <w:noProof/>
          <w:sz w:val="24"/>
          <w:szCs w:val="24"/>
        </w:rPr>
        <w:t xml:space="preserve">spects good governance. </w:t>
      </w:r>
      <w:r>
        <w:rPr>
          <w:rFonts w:ascii="Times New Roman" w:hAnsi="Times New Roman" w:cs="Times New Roman"/>
          <w:noProof/>
          <w:sz w:val="24"/>
          <w:szCs w:val="24"/>
        </w:rPr>
        <w:t>Specifically, the measures are conducive to key EU priorities provided in the European Digital Policy and European Green Deal. They also aim to promote soci</w:t>
      </w:r>
      <w:r>
        <w:rPr>
          <w:rFonts w:ascii="Times New Roman" w:hAnsi="Times New Roman" w:cs="Times New Roman"/>
          <w:noProof/>
          <w:sz w:val="24"/>
          <w:szCs w:val="24"/>
        </w:rPr>
        <w:t>al inclusion and equality.</w:t>
      </w:r>
      <w:r>
        <w:rPr>
          <w:rFonts w:ascii="Times New Roman" w:hAnsi="Times New Roman" w:cs="Times New Roman"/>
          <w:b/>
          <w:bCs/>
          <w:noProof/>
          <w:sz w:val="24"/>
          <w:szCs w:val="24"/>
        </w:rPr>
        <w:t xml:space="preserve"> </w:t>
      </w:r>
      <w:r>
        <w:rPr>
          <w:rFonts w:ascii="Times New Roman" w:eastAsia="Times New Roman" w:hAnsi="Times New Roman" w:cs="Times New Roman"/>
          <w:noProof/>
          <w:sz w:val="24"/>
          <w:szCs w:val="24"/>
          <w:lang w:val="en-IE"/>
        </w:rPr>
        <w:t>Further, in line with the principle of good governance, Greece carried out a stakeholder consultation when the initial draft was submitted at the end of 2020 and submitted a summary of the updated draft plan for discussion at the</w:t>
      </w:r>
      <w:r>
        <w:rPr>
          <w:rFonts w:ascii="Times New Roman" w:eastAsia="Times New Roman" w:hAnsi="Times New Roman" w:cs="Times New Roman"/>
          <w:noProof/>
          <w:sz w:val="24"/>
          <w:szCs w:val="24"/>
          <w:lang w:val="en-IE"/>
        </w:rPr>
        <w:t xml:space="preserve"> Parliament a few weeks prior to official submission, which was also made publicly available on a dedicated website</w:t>
      </w:r>
      <w:r>
        <w:rPr>
          <w:rStyle w:val="FootnoteReference"/>
          <w:rFonts w:ascii="Times New Roman" w:eastAsia="Times New Roman" w:hAnsi="Times New Roman" w:cs="Times New Roman"/>
          <w:noProof/>
          <w:sz w:val="24"/>
          <w:szCs w:val="24"/>
          <w:lang w:val="en-IE"/>
        </w:rPr>
        <w:footnoteReference w:id="36"/>
      </w:r>
      <w:r>
        <w:rPr>
          <w:rFonts w:ascii="Times New Roman" w:eastAsia="Times New Roman" w:hAnsi="Times New Roman" w:cs="Times New Roman"/>
          <w:noProof/>
          <w:sz w:val="24"/>
          <w:szCs w:val="24"/>
          <w:lang w:val="en-IE"/>
        </w:rPr>
        <w:t xml:space="preserve">. Notably, the content of the plan is broadly aligned with the key priorities </w:t>
      </w:r>
      <w:r>
        <w:rPr>
          <w:rFonts w:ascii="Times New Roman" w:eastAsia="Times New Roman" w:hAnsi="Times New Roman" w:cs="Times New Roman"/>
          <w:noProof/>
          <w:sz w:val="24"/>
          <w:szCs w:val="24"/>
        </w:rPr>
        <w:t xml:space="preserve">included in the Greek Government’s National Reform Agenda and </w:t>
      </w:r>
      <w:r>
        <w:rPr>
          <w:rFonts w:ascii="Times New Roman" w:eastAsia="Times New Roman" w:hAnsi="Times New Roman" w:cs="Times New Roman"/>
          <w:noProof/>
          <w:sz w:val="24"/>
          <w:szCs w:val="24"/>
        </w:rPr>
        <w:t>reflected, in great part, in Development Plan for the Greek economy, developed in 2020 by a group of renowned economists, led by Nobel Prize laureate Christopher Pissarides.</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spacing w:line="257" w:lineRule="auto"/>
        <w:jc w:val="both"/>
        <w:rPr>
          <w:rStyle w:val="Hyperlink"/>
          <w:rFonts w:ascii="Times New Roman" w:eastAsia="Times New Roman" w:hAnsi="Times New Roman" w:cs="Times New Roman"/>
          <w:noProof/>
          <w:color w:val="auto"/>
          <w:sz w:val="24"/>
          <w:szCs w:val="24"/>
          <w:u w:val="none"/>
        </w:rPr>
      </w:pPr>
      <w:r>
        <w:rPr>
          <w:rFonts w:ascii="Times New Roman" w:eastAsia="Times New Roman" w:hAnsi="Times New Roman" w:cs="Times New Roman"/>
          <w:i/>
          <w:iCs/>
          <w:noProof/>
          <w:sz w:val="24"/>
          <w:szCs w:val="24"/>
        </w:rPr>
        <w:t>Taking into consideration all reforms and investments envisaged by Gree</w:t>
      </w:r>
      <w:r>
        <w:rPr>
          <w:rFonts w:ascii="Times New Roman" w:eastAsia="Times New Roman" w:hAnsi="Times New Roman" w:cs="Times New Roman"/>
          <w:i/>
          <w:iCs/>
          <w:noProof/>
          <w:sz w:val="24"/>
          <w:szCs w:val="24"/>
        </w:rPr>
        <w:t>ce in its recovery and resilience plan, their implementation is expected, to a large extent to bring about a structural change in the administration and in relevant policies and to have a lasting impact. This would warrant a rating of A under criterion 2.7</w:t>
      </w:r>
      <w:r>
        <w:rPr>
          <w:rFonts w:ascii="Times New Roman" w:eastAsia="Times New Roman" w:hAnsi="Times New Roman" w:cs="Times New Roman"/>
          <w:i/>
          <w:iCs/>
          <w:noProof/>
          <w:sz w:val="24"/>
          <w:szCs w:val="24"/>
        </w:rPr>
        <w:t xml:space="preserve"> of Annex V to the RRF Regulation.</w:t>
      </w:r>
    </w:p>
    <w:p w:rsidR="00176373" w:rsidRDefault="00E474D1">
      <w:pPr>
        <w:pStyle w:val="Heading2"/>
        <w:numPr>
          <w:ilvl w:val="1"/>
          <w:numId w:val="10"/>
        </w:numPr>
        <w:rPr>
          <w:i/>
          <w:noProof/>
          <w:sz w:val="28"/>
          <w:szCs w:val="28"/>
        </w:rPr>
      </w:pPr>
      <w:bookmarkStart w:id="470" w:name="_Toc66388714"/>
      <w:bookmarkStart w:id="471" w:name="_Toc66388715"/>
      <w:bookmarkStart w:id="472" w:name="_Toc66388716"/>
      <w:bookmarkStart w:id="473" w:name="_Toc62455207"/>
      <w:bookmarkStart w:id="474" w:name="_Toc74305331"/>
      <w:bookmarkStart w:id="475" w:name="_Toc62818230"/>
      <w:bookmarkStart w:id="476" w:name="_Toc62818777"/>
      <w:bookmarkStart w:id="477" w:name="_Toc63417226"/>
      <w:bookmarkStart w:id="478" w:name="_Toc63418916"/>
      <w:bookmarkStart w:id="479" w:name="_Toc63418941"/>
      <w:bookmarkStart w:id="480" w:name="_Toc64281627"/>
      <w:bookmarkStart w:id="481" w:name="_Toc71665339"/>
      <w:bookmarkStart w:id="482" w:name="_Toc71740468"/>
      <w:bookmarkStart w:id="483" w:name="_Toc71792463"/>
      <w:bookmarkStart w:id="484" w:name="_Toc72158514"/>
      <w:bookmarkStart w:id="485" w:name="_Toc72170717"/>
      <w:bookmarkStart w:id="486" w:name="_Toc72176845"/>
      <w:bookmarkStart w:id="487" w:name="_Toc72179416"/>
      <w:bookmarkStart w:id="488" w:name="_Toc72176054"/>
      <w:bookmarkStart w:id="489" w:name="_Toc72181727"/>
      <w:bookmarkStart w:id="490" w:name="_Toc72178576"/>
      <w:bookmarkStart w:id="491" w:name="_Toc72182463"/>
      <w:bookmarkStart w:id="492" w:name="_Toc72183460"/>
      <w:bookmarkStart w:id="493" w:name="_Toc72187274"/>
      <w:bookmarkStart w:id="494" w:name="_Toc72326498"/>
      <w:bookmarkStart w:id="495" w:name="_Toc72326529"/>
      <w:bookmarkEnd w:id="470"/>
      <w:bookmarkEnd w:id="471"/>
      <w:bookmarkEnd w:id="472"/>
      <w:r>
        <w:rPr>
          <w:noProof/>
        </w:rPr>
        <w:t>Milestones, targets, monitoring and implementation</w:t>
      </w:r>
      <w:bookmarkEnd w:id="473"/>
      <w:bookmarkEnd w:id="474"/>
      <w:r>
        <w:rPr>
          <w:noProof/>
        </w:rPr>
        <w:t xml:space="preserve">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176373" w:rsidRDefault="00E474D1">
      <w:pPr>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Adequacy of the structure tasked with the implementation of the plan, monitoring of progress and reporting</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Greece’s structure tasked with carrying out the implementation</w:t>
      </w:r>
      <w:r>
        <w:rPr>
          <w:rFonts w:ascii="Times New Roman" w:eastAsia="Times New Roman" w:hAnsi="Times New Roman" w:cs="Times New Roman"/>
          <w:b/>
          <w:bCs/>
          <w:noProof/>
          <w:sz w:val="24"/>
          <w:szCs w:val="24"/>
          <w:lang w:val="en-IE"/>
        </w:rPr>
        <w:t xml:space="preserve"> of the plan, monitoring of progress and reporting is centred around four main bodies that will each have responsibility to execute the management and control system to be established</w:t>
      </w:r>
      <w:r>
        <w:rPr>
          <w:rFonts w:ascii="Times New Roman" w:eastAsia="Times New Roman" w:hAnsi="Times New Roman" w:cs="Times New Roman"/>
          <w:noProof/>
          <w:sz w:val="24"/>
          <w:szCs w:val="24"/>
          <w:lang w:val="en-IE"/>
        </w:rPr>
        <w:t>. First, the Recovery and Resilience Facility Coordination Agency (RRF Co</w:t>
      </w:r>
      <w:r>
        <w:rPr>
          <w:rFonts w:ascii="Times New Roman" w:eastAsia="Times New Roman" w:hAnsi="Times New Roman" w:cs="Times New Roman"/>
          <w:noProof/>
          <w:sz w:val="24"/>
          <w:szCs w:val="24"/>
          <w:lang w:val="en-IE"/>
        </w:rPr>
        <w:t xml:space="preserve">ordination Agency), part of the Ministry of Finance, constitutes the lead national body tasked with the overall coordination and monitoring of the recovery and resilience plan, including performing active monitoring on the progress of the measures, on the </w:t>
      </w:r>
      <w:r>
        <w:rPr>
          <w:rFonts w:ascii="Times New Roman" w:eastAsia="Times New Roman" w:hAnsi="Times New Roman" w:cs="Times New Roman"/>
          <w:noProof/>
          <w:sz w:val="24"/>
          <w:szCs w:val="24"/>
          <w:lang w:val="en-IE"/>
        </w:rPr>
        <w:t>basis of the milestones and targets set for each component and verify their achievement. Second, the responsibility for the implementation of each specific measure is well defined and falls in most cases on the competent Ministry whose services will suppor</w:t>
      </w:r>
      <w:r>
        <w:rPr>
          <w:rFonts w:ascii="Times New Roman" w:eastAsia="Times New Roman" w:hAnsi="Times New Roman" w:cs="Times New Roman"/>
          <w:noProof/>
          <w:sz w:val="24"/>
          <w:szCs w:val="24"/>
          <w:lang w:val="en-IE"/>
        </w:rPr>
        <w:t>t the monitoring of the projects’ progress and maintain close cooperation with the RRF Coordination Agency and the implementing bodies. Third, all measures in the plan will be implemented by national bodies (“implementation bodies”) appointed by the compet</w:t>
      </w:r>
      <w:r>
        <w:rPr>
          <w:rFonts w:ascii="Times New Roman" w:eastAsia="Times New Roman" w:hAnsi="Times New Roman" w:cs="Times New Roman"/>
          <w:noProof/>
          <w:sz w:val="24"/>
          <w:szCs w:val="24"/>
          <w:lang w:val="en-IE"/>
        </w:rPr>
        <w:t>ent Ministries and will be responsible for the achievement of the agreed milestones and targets as well as the reporting of all data and documentation to the RRF Coordination Agency through the management information system to be established for the Recove</w:t>
      </w:r>
      <w:r>
        <w:rPr>
          <w:rFonts w:ascii="Times New Roman" w:eastAsia="Times New Roman" w:hAnsi="Times New Roman" w:cs="Times New Roman"/>
          <w:noProof/>
          <w:sz w:val="24"/>
          <w:szCs w:val="24"/>
          <w:lang w:val="en-IE"/>
        </w:rPr>
        <w:t>ry and Resilience Facility. The implementation bodies will apply control systems that ensure compliance with EU and national law, and the effective use of the Recovery and Resilience Facility funds, which will be further validated by an independent certifi</w:t>
      </w:r>
      <w:r>
        <w:rPr>
          <w:rFonts w:ascii="Times New Roman" w:eastAsia="Times New Roman" w:hAnsi="Times New Roman" w:cs="Times New Roman"/>
          <w:noProof/>
          <w:sz w:val="24"/>
          <w:szCs w:val="24"/>
          <w:lang w:val="en-IE"/>
        </w:rPr>
        <w:t>ed auditor. In cases of material delays, the implementing bodies are expected to provide justification and a remediation action plan(s) to the RRF Coordination Agency. Finally, the control of the achievement of milestones/targets is assigned to an external</w:t>
      </w:r>
      <w:r>
        <w:rPr>
          <w:rFonts w:ascii="Times New Roman" w:eastAsia="Times New Roman" w:hAnsi="Times New Roman" w:cs="Times New Roman"/>
          <w:noProof/>
          <w:sz w:val="24"/>
          <w:szCs w:val="24"/>
          <w:lang w:val="en-IE"/>
        </w:rPr>
        <w:t xml:space="preserve"> independent certified auditor, who is selected and appointed among the ones registered in the official Register of the Hellenic Accounting and Auditing Standards Oversight Board.</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The fourth body is the Financial Audit Committee (EDEL).</w:t>
      </w:r>
      <w:r>
        <w:rPr>
          <w:rFonts w:ascii="Times New Roman" w:eastAsia="Times New Roman" w:hAnsi="Times New Roman" w:cs="Times New Roman"/>
          <w:noProof/>
          <w:sz w:val="24"/>
          <w:szCs w:val="24"/>
          <w:lang w:val="en-IE"/>
        </w:rPr>
        <w:t xml:space="preserve"> This Committee, whi</w:t>
      </w:r>
      <w:r>
        <w:rPr>
          <w:rFonts w:ascii="Times New Roman" w:eastAsia="Times New Roman" w:hAnsi="Times New Roman" w:cs="Times New Roman"/>
          <w:noProof/>
          <w:sz w:val="24"/>
          <w:szCs w:val="24"/>
          <w:lang w:val="en-IE"/>
        </w:rPr>
        <w:t>ch is part of the General Secretariat for Fiscal Policy (State General Accounting Office) of the Ministry of Finance, has a mission to safeguard the observance of the principles of sound financial management for programmes co-financed with the EU (e.g. Eur</w:t>
      </w:r>
      <w:r>
        <w:rPr>
          <w:rFonts w:ascii="Times New Roman" w:eastAsia="Times New Roman" w:hAnsi="Times New Roman" w:cs="Times New Roman"/>
          <w:noProof/>
          <w:sz w:val="24"/>
          <w:szCs w:val="24"/>
          <w:lang w:val="en-IE"/>
        </w:rPr>
        <w:t>opean Structural and Investment Funds). The plan also refers to other bodies that, while not foreseen to have a formal role in the management and control system to be established for the Recovery and Resilience Facility, are expected to contribute in the m</w:t>
      </w:r>
      <w:r>
        <w:rPr>
          <w:rFonts w:ascii="Times New Roman" w:eastAsia="Times New Roman" w:hAnsi="Times New Roman" w:cs="Times New Roman"/>
          <w:noProof/>
          <w:sz w:val="24"/>
          <w:szCs w:val="24"/>
          <w:lang w:val="en-IE"/>
        </w:rPr>
        <w:t>onitoring and implementation. These bodies include the General Directorate of Financial Services in each Ministry, the General Directorate of Public Investments and National Strategic Reference Framework (part of the Ministry of Development and Investments</w:t>
      </w:r>
      <w:r>
        <w:rPr>
          <w:rFonts w:ascii="Times New Roman" w:eastAsia="Times New Roman" w:hAnsi="Times New Roman" w:cs="Times New Roman"/>
          <w:noProof/>
          <w:sz w:val="24"/>
          <w:szCs w:val="24"/>
          <w:lang w:val="en-IE"/>
        </w:rPr>
        <w:t>), the Hellenic Court of Audit, the National Transparency Authority, the Central State Aid Unit</w:t>
      </w:r>
      <w:r>
        <w:rPr>
          <w:rFonts w:ascii="Times New Roman" w:eastAsia="Times New Roman" w:hAnsi="Times New Roman" w:cs="Times New Roman"/>
          <w:noProof/>
          <w:sz w:val="24"/>
          <w:szCs w:val="24"/>
        </w:rPr>
        <w:t xml:space="preserve"> (part of the Ministry of Finance) and the Authority for the Examination of Preliminary Appeals.</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rPr>
        <w:t>As concerns the reforms under the plan, the monitoring role is a</w:t>
      </w:r>
      <w:r>
        <w:rPr>
          <w:rFonts w:ascii="Times New Roman" w:eastAsia="Times New Roman" w:hAnsi="Times New Roman" w:cs="Times New Roman"/>
          <w:b/>
          <w:bCs/>
          <w:noProof/>
          <w:sz w:val="24"/>
          <w:szCs w:val="24"/>
        </w:rPr>
        <w:t>ssigned to the General Secretariat for Coordination.</w:t>
      </w:r>
      <w:r>
        <w:rPr>
          <w:rFonts w:ascii="Times New Roman" w:eastAsia="Times New Roman" w:hAnsi="Times New Roman" w:cs="Times New Roman"/>
          <w:noProof/>
          <w:sz w:val="24"/>
          <w:szCs w:val="24"/>
        </w:rPr>
        <w:t xml:space="preserve"> The General Secretariat for Coordination (part of the Presidency of the Government) is assigned (Law 4622/2019) the mandate to monitor the implementation of all government’s reforms in general, and in th</w:t>
      </w:r>
      <w:r>
        <w:rPr>
          <w:rFonts w:ascii="Times New Roman" w:eastAsia="Times New Roman" w:hAnsi="Times New Roman" w:cs="Times New Roman"/>
          <w:noProof/>
          <w:sz w:val="24"/>
          <w:szCs w:val="24"/>
        </w:rPr>
        <w:t>e recovery and resilience plan it is stated that it will have the responsibility to confirm the successful completion of its reforms and the relevant milestones and to inform the RRF Coordination Agency through regular and/or exceptional reporting. While t</w:t>
      </w:r>
      <w:r>
        <w:rPr>
          <w:rFonts w:ascii="Times New Roman" w:eastAsia="Times New Roman" w:hAnsi="Times New Roman" w:cs="Times New Roman"/>
          <w:noProof/>
          <w:sz w:val="24"/>
          <w:szCs w:val="24"/>
        </w:rPr>
        <w:t>he recovery and resilience plan indicates that the General Secretariat for Coordination is not formally part of the bodies forming the management and control system of the plan, it does not contain details on how the General Secretariat for Coordination is</w:t>
      </w:r>
      <w:r>
        <w:rPr>
          <w:rFonts w:ascii="Times New Roman" w:eastAsia="Times New Roman" w:hAnsi="Times New Roman" w:cs="Times New Roman"/>
          <w:noProof/>
          <w:sz w:val="24"/>
          <w:szCs w:val="24"/>
        </w:rPr>
        <w:t xml:space="preserve"> expected to engage with the implementing bodies or whether it falls upon the General Secretariat for Coordination or the RRF Coordination Agency to suggest ways of solving problems that may arise during the implementation of specific measures of the recov</w:t>
      </w:r>
      <w:r>
        <w:rPr>
          <w:rFonts w:ascii="Times New Roman" w:eastAsia="Times New Roman" w:hAnsi="Times New Roman" w:cs="Times New Roman"/>
          <w:noProof/>
          <w:sz w:val="24"/>
          <w:szCs w:val="24"/>
        </w:rPr>
        <w:t>ery and resilience plan.</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recovery and resilience plan’s components fall, to a large extent, under the competency of a Ministry that will then appoint relevant implementing bodies depending on the scope of the measures included under the specific </w:t>
      </w:r>
      <w:r>
        <w:rPr>
          <w:rFonts w:ascii="Times New Roman" w:eastAsia="Times New Roman" w:hAnsi="Times New Roman" w:cs="Times New Roman"/>
          <w:b/>
          <w:bCs/>
          <w:noProof/>
          <w:sz w:val="24"/>
          <w:szCs w:val="24"/>
          <w:lang w:val="en-IE"/>
        </w:rPr>
        <w:t>component.</w:t>
      </w:r>
      <w:r>
        <w:rPr>
          <w:rFonts w:ascii="Times New Roman" w:eastAsia="Times New Roman" w:hAnsi="Times New Roman" w:cs="Times New Roman"/>
          <w:noProof/>
          <w:sz w:val="24"/>
          <w:szCs w:val="24"/>
          <w:lang w:val="en-IE"/>
        </w:rPr>
        <w:t xml:space="preserve"> However, the measures under some broader components, such as components 1.2, 1.4, 4.2 and 4.6, involve multiple Ministries.</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The Greek plan presents a detailed overview of the monitoring and reporting mechanism foreseen.</w:t>
      </w:r>
      <w:r>
        <w:rPr>
          <w:rFonts w:ascii="Times New Roman" w:eastAsia="Times New Roman" w:hAnsi="Times New Roman" w:cs="Times New Roman"/>
          <w:noProof/>
          <w:sz w:val="24"/>
          <w:szCs w:val="24"/>
          <w:lang w:val="en-IE"/>
        </w:rPr>
        <w:t xml:space="preserve"> More specifically, the ma</w:t>
      </w:r>
      <w:r>
        <w:rPr>
          <w:rFonts w:ascii="Times New Roman" w:eastAsia="Times New Roman" w:hAnsi="Times New Roman" w:cs="Times New Roman"/>
          <w:noProof/>
          <w:sz w:val="24"/>
          <w:szCs w:val="24"/>
          <w:lang w:val="en-IE"/>
        </w:rPr>
        <w:t>nagement and control system includes a dedicated monitoring phase covering the whole lifecycle of the measures. This includes analytical processes that will be established, in order for the implementing bodies’ to notify the RRF Coordination Agency on a pe</w:t>
      </w:r>
      <w:r>
        <w:rPr>
          <w:rFonts w:ascii="Times New Roman" w:eastAsia="Times New Roman" w:hAnsi="Times New Roman" w:cs="Times New Roman"/>
          <w:noProof/>
          <w:sz w:val="24"/>
          <w:szCs w:val="24"/>
          <w:lang w:val="en-IE"/>
        </w:rPr>
        <w:t xml:space="preserve">riodical basis on the progress made in the achievement of the milestones and targets. The recovery and resilience plan does not contain any specific information on record keeping, neither on the responsibility of the bodies involved in the implementation, </w:t>
      </w:r>
      <w:r>
        <w:rPr>
          <w:rFonts w:ascii="Times New Roman" w:eastAsia="Times New Roman" w:hAnsi="Times New Roman" w:cs="Times New Roman"/>
          <w:noProof/>
          <w:sz w:val="24"/>
          <w:szCs w:val="24"/>
          <w:lang w:val="en-IE"/>
        </w:rPr>
        <w:t>nor how long these records will be kept.</w:t>
      </w:r>
    </w:p>
    <w:p w:rsidR="00176373" w:rsidRDefault="00E474D1">
      <w:pPr>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Milestones, targets and indicators</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The overall approach taken by Greece in defining milestones and targets over the life-cycle of investments and reforms is as follows</w:t>
      </w:r>
      <w:r>
        <w:rPr>
          <w:rFonts w:ascii="Times New Roman" w:eastAsia="Times New Roman" w:hAnsi="Times New Roman" w:cs="Times New Roman"/>
          <w:noProof/>
          <w:sz w:val="24"/>
          <w:szCs w:val="24"/>
          <w:lang w:val="en-IE"/>
        </w:rPr>
        <w:t>: (i) 10 investments are designated as “top inve</w:t>
      </w:r>
      <w:r>
        <w:rPr>
          <w:rFonts w:ascii="Times New Roman" w:eastAsia="Times New Roman" w:hAnsi="Times New Roman" w:cs="Times New Roman"/>
          <w:noProof/>
          <w:sz w:val="24"/>
          <w:szCs w:val="24"/>
          <w:lang w:val="en-IE"/>
        </w:rPr>
        <w:t xml:space="preserve">stments” based on value and maturity criteria; (ii) 8 reforms are designated as “key reforms” based on impact and maturity criteria; and (iii) all remaining measures are categorised in 28 groups based on their area of focus and aiming to have one Ministry </w:t>
      </w:r>
      <w:r>
        <w:rPr>
          <w:rFonts w:ascii="Times New Roman" w:eastAsia="Times New Roman" w:hAnsi="Times New Roman" w:cs="Times New Roman"/>
          <w:noProof/>
          <w:sz w:val="24"/>
          <w:szCs w:val="24"/>
          <w:lang w:val="en-IE"/>
        </w:rPr>
        <w:t xml:space="preserve">assigned the overall responsibility of each group. The recovery and resilience plan defines milestones/targets for each investment and reform included in the plan. </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milestones and targets of the Greek plan constitute an appropriate system to allow for </w:t>
      </w:r>
      <w:r>
        <w:rPr>
          <w:rFonts w:ascii="Times New Roman" w:eastAsia="Times New Roman" w:hAnsi="Times New Roman" w:cs="Times New Roman"/>
          <w:b/>
          <w:bCs/>
          <w:noProof/>
          <w:sz w:val="24"/>
          <w:szCs w:val="24"/>
          <w:lang w:val="en-IE"/>
        </w:rPr>
        <w:t xml:space="preserve">an efficient monitoring of its implementation. </w:t>
      </w:r>
      <w:r>
        <w:rPr>
          <w:rFonts w:ascii="Times New Roman" w:eastAsia="Times New Roman" w:hAnsi="Times New Roman" w:cs="Times New Roman"/>
          <w:noProof/>
          <w:sz w:val="24"/>
          <w:szCs w:val="24"/>
          <w:lang w:val="en-IE"/>
        </w:rPr>
        <w:t>The proposed qualitative and quantitative indicators used for the milestones and targets are sufficiently clear, realistic and comprehensive to ensure that their completion can be traced and verified. Further,</w:t>
      </w:r>
      <w:r>
        <w:rPr>
          <w:rFonts w:ascii="Times New Roman" w:eastAsia="Times New Roman" w:hAnsi="Times New Roman" w:cs="Times New Roman"/>
          <w:noProof/>
          <w:sz w:val="24"/>
          <w:szCs w:val="24"/>
          <w:lang w:val="en-IE"/>
        </w:rPr>
        <w:t xml:space="preserve"> the milestones and targets are relevant and acceptable, as their scope reflects the overall objective of the measures, which are assessed as reasonable and cost-effective. </w:t>
      </w:r>
    </w:p>
    <w:p w:rsidR="00176373" w:rsidRDefault="00E474D1">
      <w:pPr>
        <w:keepNext/>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Overall organisational arrangements</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As set out in the recovery and resilience plan</w:t>
      </w:r>
      <w:r>
        <w:rPr>
          <w:rFonts w:ascii="Times New Roman" w:eastAsia="Times New Roman" w:hAnsi="Times New Roman" w:cs="Times New Roman"/>
          <w:b/>
          <w:bCs/>
          <w:noProof/>
          <w:sz w:val="24"/>
          <w:szCs w:val="24"/>
          <w:lang w:val="en-IE"/>
        </w:rPr>
        <w:t>, the lead body tasked with the overall coordination, the RRF Coordination Agency, is an independent special public service under the Minister of Finance, set up according to the Law 4738/2020.</w:t>
      </w:r>
      <w:r>
        <w:rPr>
          <w:rFonts w:ascii="Times New Roman" w:eastAsia="Times New Roman" w:hAnsi="Times New Roman" w:cs="Times New Roman"/>
          <w:noProof/>
          <w:sz w:val="24"/>
          <w:szCs w:val="24"/>
          <w:lang w:val="en-IE"/>
        </w:rPr>
        <w:t xml:space="preserve"> The RRF Coordination Agency constitutes the lead national body</w:t>
      </w:r>
      <w:r>
        <w:rPr>
          <w:rFonts w:ascii="Times New Roman" w:eastAsia="Times New Roman" w:hAnsi="Times New Roman" w:cs="Times New Roman"/>
          <w:noProof/>
          <w:sz w:val="24"/>
          <w:szCs w:val="24"/>
          <w:lang w:val="en-IE"/>
        </w:rPr>
        <w:t xml:space="preserve"> tasked with the overall coordination and monitoring of the plan. It is also assigned as the responsible body that submits twice a year the payment request to the Commission, accompanied by a management declaration of sound financial management and the sum</w:t>
      </w:r>
      <w:r>
        <w:rPr>
          <w:rFonts w:ascii="Times New Roman" w:eastAsia="Times New Roman" w:hAnsi="Times New Roman" w:cs="Times New Roman"/>
          <w:noProof/>
          <w:sz w:val="24"/>
          <w:szCs w:val="24"/>
          <w:lang w:val="en-IE"/>
        </w:rPr>
        <w:t>mary of the Financial Audit Committee’s (EDEL) audits, including weaknesses identified and any corrective actions taken.</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On the overall administrative capacity, the recovery and resilience plan sets out that the RRF Coordination Agency will be staffed with</w:t>
      </w:r>
      <w:r>
        <w:rPr>
          <w:rFonts w:ascii="Times New Roman" w:eastAsia="Times New Roman" w:hAnsi="Times New Roman" w:cs="Times New Roman"/>
          <w:b/>
          <w:bCs/>
          <w:noProof/>
          <w:sz w:val="24"/>
          <w:szCs w:val="24"/>
          <w:lang w:val="en-IE"/>
        </w:rPr>
        <w:t xml:space="preserve"> 40 posts and that all posts are expected to be filled before end of 2021.</w:t>
      </w:r>
      <w:r>
        <w:rPr>
          <w:rFonts w:ascii="Times New Roman" w:eastAsia="Times New Roman" w:hAnsi="Times New Roman" w:cs="Times New Roman"/>
          <w:noProof/>
          <w:sz w:val="24"/>
          <w:szCs w:val="24"/>
          <w:lang w:val="en-IE"/>
        </w:rPr>
        <w:t xml:space="preserve"> While the plan provides some details on staff profiles, including that the majority will have a university degree, it does not provide details on how the resources’ needs were asses</w:t>
      </w:r>
      <w:r>
        <w:rPr>
          <w:rFonts w:ascii="Times New Roman" w:eastAsia="Times New Roman" w:hAnsi="Times New Roman" w:cs="Times New Roman"/>
          <w:noProof/>
          <w:sz w:val="24"/>
          <w:szCs w:val="24"/>
          <w:lang w:val="en-IE"/>
        </w:rPr>
        <w:t>sed or assurances that the allocated resources will be sufficient for the RRF Coordination Agency to successfully carry out its mandate.</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legal mandate of the RRF Coordination Agency is already in place, and the recovery and resilience plan states that </w:t>
      </w:r>
      <w:r>
        <w:rPr>
          <w:rFonts w:ascii="Times New Roman" w:eastAsia="Times New Roman" w:hAnsi="Times New Roman" w:cs="Times New Roman"/>
          <w:b/>
          <w:bCs/>
          <w:noProof/>
          <w:sz w:val="24"/>
          <w:szCs w:val="24"/>
          <w:lang w:val="en-IE"/>
        </w:rPr>
        <w:t>the mandate of other bodies involved in the implementation and monitoring of the implementation will be established through a dedicated national legal act.</w:t>
      </w:r>
      <w:r>
        <w:rPr>
          <w:rFonts w:ascii="Times New Roman" w:eastAsia="Times New Roman" w:hAnsi="Times New Roman" w:cs="Times New Roman"/>
          <w:noProof/>
          <w:sz w:val="24"/>
          <w:szCs w:val="24"/>
          <w:lang w:val="en-IE"/>
        </w:rPr>
        <w:t xml:space="preserve"> This legal act will establish the overall management and control system, including roles and respons</w:t>
      </w:r>
      <w:r>
        <w:rPr>
          <w:rFonts w:ascii="Times New Roman" w:eastAsia="Times New Roman" w:hAnsi="Times New Roman" w:cs="Times New Roman"/>
          <w:noProof/>
          <w:sz w:val="24"/>
          <w:szCs w:val="24"/>
          <w:lang w:val="en-IE"/>
        </w:rPr>
        <w:t>ibilities for key bodies, including the Financial Audit Committee (EDEL). The legal act is expected to be adopted before the first payment request will be submitted to the European Commission.</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Whereas the plan presents comprehensive coordination, implement</w:t>
      </w:r>
      <w:r>
        <w:rPr>
          <w:rFonts w:ascii="Times New Roman" w:eastAsia="Times New Roman" w:hAnsi="Times New Roman" w:cs="Times New Roman"/>
          <w:b/>
          <w:bCs/>
          <w:noProof/>
          <w:sz w:val="24"/>
          <w:szCs w:val="24"/>
          <w:lang w:val="en-IE"/>
        </w:rPr>
        <w:t xml:space="preserve">ation and monitoring arrangements, the implementation of the plan will crucially hinge on the administrative and implementation capacity of the implementing bodies and will need to be closely monitored. </w:t>
      </w:r>
      <w:r>
        <w:rPr>
          <w:rFonts w:ascii="Times New Roman" w:eastAsia="Times New Roman" w:hAnsi="Times New Roman" w:cs="Times New Roman"/>
          <w:bCs/>
          <w:noProof/>
          <w:sz w:val="24"/>
          <w:szCs w:val="24"/>
          <w:lang w:val="en-IE"/>
        </w:rPr>
        <w:t>T</w:t>
      </w:r>
      <w:r>
        <w:rPr>
          <w:rFonts w:ascii="Times New Roman" w:eastAsia="Times New Roman" w:hAnsi="Times New Roman" w:cs="Times New Roman"/>
          <w:noProof/>
          <w:sz w:val="24"/>
          <w:szCs w:val="24"/>
          <w:lang w:val="en-IE"/>
        </w:rPr>
        <w:t xml:space="preserve">he majority of </w:t>
      </w:r>
      <w:r>
        <w:rPr>
          <w:rFonts w:ascii="Times New Roman" w:eastAsia="Times New Roman" w:hAnsi="Times New Roman" w:cs="Times New Roman"/>
          <w:bCs/>
          <w:noProof/>
          <w:sz w:val="24"/>
          <w:szCs w:val="24"/>
          <w:lang w:val="en-IE"/>
        </w:rPr>
        <w:t>the implementing bodies remains to be</w:t>
      </w:r>
      <w:r>
        <w:rPr>
          <w:rFonts w:ascii="Times New Roman" w:eastAsia="Times New Roman" w:hAnsi="Times New Roman" w:cs="Times New Roman"/>
          <w:bCs/>
          <w:noProof/>
          <w:sz w:val="24"/>
          <w:szCs w:val="24"/>
          <w:lang w:val="en-IE"/>
        </w:rPr>
        <w:t xml:space="preserve"> identified; hence, </w:t>
      </w:r>
      <w:r>
        <w:rPr>
          <w:rFonts w:ascii="Times New Roman" w:eastAsia="Times New Roman" w:hAnsi="Times New Roman" w:cs="Times New Roman"/>
          <w:noProof/>
          <w:sz w:val="24"/>
          <w:szCs w:val="24"/>
          <w:lang w:val="en-IE"/>
        </w:rPr>
        <w:t>it is not possible to assess their implementation capacity. This includes some of the more sizeable investments, such as renovation measures under component 1.2, life-long skilling under component 3.2 and for some measures under compone</w:t>
      </w:r>
      <w:r>
        <w:rPr>
          <w:rFonts w:ascii="Times New Roman" w:eastAsia="Times New Roman" w:hAnsi="Times New Roman" w:cs="Times New Roman"/>
          <w:noProof/>
          <w:sz w:val="24"/>
          <w:szCs w:val="24"/>
          <w:lang w:val="en-IE"/>
        </w:rPr>
        <w:t>nt 4.6 on investment and economic and institutional transformation. In some cases, it is not clear how the public-private partnerships foreseen will interact with the local organizations (e.g. on irrigation investments under component 1.4). Further, the He</w:t>
      </w:r>
      <w:r>
        <w:rPr>
          <w:rFonts w:ascii="Times New Roman" w:eastAsia="Times New Roman" w:hAnsi="Times New Roman" w:cs="Times New Roman"/>
          <w:noProof/>
          <w:sz w:val="24"/>
          <w:szCs w:val="24"/>
          <w:lang w:val="en-IE"/>
        </w:rPr>
        <w:t>llenic Development Bank, which has been established recently, is expected to contribute to the implementation of some measures (e.g. measures under components 1.4 and 4.7) and it will be important to ensure that it has sufficient administrative capacity to</w:t>
      </w:r>
      <w:r>
        <w:rPr>
          <w:rFonts w:ascii="Times New Roman" w:eastAsia="Times New Roman" w:hAnsi="Times New Roman" w:cs="Times New Roman"/>
          <w:noProof/>
          <w:sz w:val="24"/>
          <w:szCs w:val="24"/>
          <w:lang w:val="en-IE"/>
        </w:rPr>
        <w:t xml:space="preserve"> carry out its task. Similarly, the technical services of the municipalities, including municipal companies, are expected to contribute to the implementation of a number of components (e.g. components 1.2 and 1.4), and their administrative capacity, in par</w:t>
      </w:r>
      <w:r>
        <w:rPr>
          <w:rFonts w:ascii="Times New Roman" w:eastAsia="Times New Roman" w:hAnsi="Times New Roman" w:cs="Times New Roman"/>
          <w:noProof/>
          <w:sz w:val="24"/>
          <w:szCs w:val="24"/>
          <w:lang w:val="en-IE"/>
        </w:rPr>
        <w:t xml:space="preserve">ticular for the smaller municipalities, is usually restricted and it would be important that additional support from the central level be made available when needed. </w:t>
      </w:r>
    </w:p>
    <w:p w:rsidR="00176373" w:rsidRDefault="00E474D1">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b/>
          <w:bCs/>
          <w:noProof/>
          <w:sz w:val="24"/>
          <w:szCs w:val="24"/>
          <w:lang w:val="en-IE"/>
        </w:rPr>
        <w:t xml:space="preserve">The authorities have recently adopted measures to improve the implementation and enhance </w:t>
      </w:r>
      <w:r>
        <w:rPr>
          <w:rFonts w:ascii="Times New Roman" w:eastAsia="Times New Roman" w:hAnsi="Times New Roman" w:cs="Times New Roman"/>
          <w:b/>
          <w:bCs/>
          <w:noProof/>
          <w:sz w:val="24"/>
          <w:szCs w:val="24"/>
          <w:lang w:val="en-IE"/>
        </w:rPr>
        <w:t>administrative capacity and the recovery and resilience plan contains further specific measures that are expected to contribute to that objective.</w:t>
      </w:r>
      <w:r>
        <w:rPr>
          <w:rFonts w:ascii="Times New Roman" w:eastAsia="Times New Roman" w:hAnsi="Times New Roman" w:cs="Times New Roman"/>
          <w:noProof/>
          <w:sz w:val="24"/>
          <w:szCs w:val="24"/>
          <w:lang w:val="en-IE"/>
        </w:rPr>
        <w:t xml:space="preserve"> In particular, the authorities have recently established a strategic projects pipeline for large infrastructu</w:t>
      </w:r>
      <w:r>
        <w:rPr>
          <w:rFonts w:ascii="Times New Roman" w:eastAsia="Times New Roman" w:hAnsi="Times New Roman" w:cs="Times New Roman"/>
          <w:noProof/>
          <w:sz w:val="24"/>
          <w:szCs w:val="24"/>
          <w:lang w:val="en-IE"/>
        </w:rPr>
        <w:t>re projects complemented by a project preparation facility that aims to improve and accelerate the planning and maturation of major public investment projects. The public procurement law adopted in March 2021 also introduced substantial improvements to the</w:t>
      </w:r>
      <w:r>
        <w:rPr>
          <w:rFonts w:ascii="Times New Roman" w:eastAsia="Times New Roman" w:hAnsi="Times New Roman" w:cs="Times New Roman"/>
          <w:noProof/>
          <w:sz w:val="24"/>
          <w:szCs w:val="24"/>
          <w:lang w:val="en-IE"/>
        </w:rPr>
        <w:t xml:space="preserve"> framework, which was complemented by the adoption of an action plan for the implementation of a new national strategy for public procurement for 2021-2025 in May 2021. Building on this national strategy, the plan contains measures to further improve the e</w:t>
      </w:r>
      <w:r>
        <w:rPr>
          <w:rFonts w:ascii="Times New Roman" w:eastAsia="Times New Roman" w:hAnsi="Times New Roman" w:cs="Times New Roman"/>
          <w:noProof/>
          <w:sz w:val="24"/>
          <w:szCs w:val="24"/>
          <w:lang w:val="en-IE"/>
        </w:rPr>
        <w:t xml:space="preserve">fficiency of the public procurement framework (under component 4.2), including the digital transformation of public procurement processes and the set-up of an effective governance system. In addition, component 4.2 also includes measures aiming to enhance </w:t>
      </w:r>
      <w:r>
        <w:rPr>
          <w:rFonts w:ascii="Times New Roman" w:eastAsia="Times New Roman" w:hAnsi="Times New Roman" w:cs="Times New Roman"/>
          <w:noProof/>
          <w:sz w:val="24"/>
          <w:szCs w:val="24"/>
          <w:lang w:val="en-IE"/>
        </w:rPr>
        <w:t>the human resources of the public administration, including targeted action towards the technical services of the municipalities. Considering the size of the recovery and resilience plan, it will be important that all implementing bodies are appointed swif</w:t>
      </w:r>
      <w:r>
        <w:rPr>
          <w:rFonts w:ascii="Times New Roman" w:eastAsia="Times New Roman" w:hAnsi="Times New Roman" w:cs="Times New Roman"/>
          <w:noProof/>
          <w:sz w:val="24"/>
          <w:szCs w:val="24"/>
          <w:lang w:val="en-IE"/>
        </w:rPr>
        <w:t xml:space="preserve">tly and that the RRF Coordination Agency has a solid risk management strategy in place to address deviations/delays at an early stage. </w:t>
      </w:r>
    </w:p>
    <w:p w:rsidR="00176373" w:rsidRDefault="00E474D1">
      <w:pPr>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Conclusion</w:t>
      </w:r>
    </w:p>
    <w:p w:rsidR="00176373" w:rsidRDefault="00E474D1">
      <w:pPr>
        <w:jc w:val="both"/>
        <w:rPr>
          <w:rFonts w:ascii="Times New Roman" w:eastAsia="Times New Roman" w:hAnsi="Times New Roman" w:cs="Times New Roman"/>
          <w:i/>
          <w:noProof/>
          <w:sz w:val="24"/>
          <w:szCs w:val="24"/>
          <w:lang w:val="en-IE"/>
        </w:rPr>
      </w:pPr>
      <w:r>
        <w:rPr>
          <w:rFonts w:ascii="Times New Roman" w:eastAsia="Times New Roman" w:hAnsi="Times New Roman" w:cs="Times New Roman"/>
          <w:i/>
          <w:iCs/>
          <w:noProof/>
          <w:sz w:val="24"/>
          <w:szCs w:val="24"/>
          <w:lang w:val="en-IE"/>
        </w:rPr>
        <w:t>The arrangements proposed by Greece in its recovery and resilience plan are expected to be adequate to ensure</w:t>
      </w:r>
      <w:r>
        <w:rPr>
          <w:rFonts w:ascii="Times New Roman" w:eastAsia="Times New Roman" w:hAnsi="Times New Roman" w:cs="Times New Roman"/>
          <w:i/>
          <w:iCs/>
          <w:noProof/>
          <w:sz w:val="24"/>
          <w:szCs w:val="24"/>
          <w:lang w:val="en-IE"/>
        </w:rPr>
        <w:t xml:space="preserve"> effective monitoring and implementation of the recovery and resilience plan, including the envisaged timetable, milestones and targets, and the related indicators. This would warrant a rating of A under the assessment criterion 2.8 of Annex V to the RRF R</w:t>
      </w:r>
      <w:r>
        <w:rPr>
          <w:rFonts w:ascii="Times New Roman" w:eastAsia="Times New Roman" w:hAnsi="Times New Roman" w:cs="Times New Roman"/>
          <w:i/>
          <w:iCs/>
          <w:noProof/>
          <w:sz w:val="24"/>
          <w:szCs w:val="24"/>
          <w:lang w:val="en-IE"/>
        </w:rPr>
        <w:t>egulation.</w:t>
      </w:r>
    </w:p>
    <w:p w:rsidR="00176373" w:rsidRDefault="00E474D1">
      <w:pPr>
        <w:pStyle w:val="Heading2"/>
        <w:numPr>
          <w:ilvl w:val="1"/>
          <w:numId w:val="10"/>
        </w:numPr>
        <w:rPr>
          <w:rFonts w:asciiTheme="minorHAnsi" w:eastAsiaTheme="minorEastAsia" w:hAnsiTheme="minorHAnsi" w:cstheme="minorBidi"/>
          <w:i/>
          <w:caps/>
          <w:noProof/>
          <w:color w:val="444444"/>
          <w:shd w:val="clear" w:color="auto" w:fill="FFFFFF"/>
        </w:rPr>
      </w:pPr>
      <w:bookmarkStart w:id="496" w:name="_Toc72158515"/>
      <w:bookmarkStart w:id="497" w:name="_Toc72170718"/>
      <w:bookmarkStart w:id="498" w:name="_Toc72176846"/>
      <w:bookmarkStart w:id="499" w:name="_Toc72179417"/>
      <w:bookmarkStart w:id="500" w:name="_Toc72176055"/>
      <w:bookmarkStart w:id="501" w:name="_Toc72181728"/>
      <w:bookmarkStart w:id="502" w:name="_Toc72178577"/>
      <w:bookmarkStart w:id="503" w:name="_Toc72182464"/>
      <w:bookmarkStart w:id="504" w:name="_Toc72183461"/>
      <w:bookmarkStart w:id="505" w:name="_Toc72187275"/>
      <w:bookmarkStart w:id="506" w:name="_Toc71665340"/>
      <w:bookmarkStart w:id="507" w:name="_Toc71740469"/>
      <w:bookmarkStart w:id="508" w:name="_Toc71792464"/>
      <w:bookmarkStart w:id="509" w:name="_Toc72326499"/>
      <w:bookmarkStart w:id="510" w:name="_Toc72326530"/>
      <w:bookmarkStart w:id="511" w:name="_Toc74305332"/>
      <w:r>
        <w:rPr>
          <w:noProof/>
        </w:rPr>
        <w:t>Costing</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noProof/>
        </w:rPr>
        <w:t xml:space="preserve"> </w:t>
      </w:r>
    </w:p>
    <w:p w:rsidR="00176373" w:rsidRDefault="00E474D1">
      <w:pPr>
        <w:spacing w:line="257" w:lineRule="auto"/>
        <w:jc w:val="both"/>
        <w:rPr>
          <w:noProof/>
          <w:sz w:val="24"/>
          <w:szCs w:val="24"/>
        </w:rPr>
      </w:pPr>
      <w:r>
        <w:rPr>
          <w:rFonts w:ascii="Times New Roman" w:eastAsia="Times New Roman" w:hAnsi="Times New Roman" w:cs="Times New Roman"/>
          <w:b/>
          <w:bCs/>
          <w:noProof/>
          <w:sz w:val="24"/>
          <w:szCs w:val="24"/>
        </w:rPr>
        <w:t>The recovery and resilience plan presents detailed cost assessments for all investment projects and reforms where cost occur</w:t>
      </w:r>
      <w:r>
        <w:rPr>
          <w:rFonts w:ascii="Times New Roman" w:eastAsia="Times New Roman" w:hAnsi="Times New Roman" w:cs="Times New Roman"/>
          <w:noProof/>
          <w:sz w:val="24"/>
          <w:szCs w:val="24"/>
        </w:rPr>
        <w:t xml:space="preserve">. The cost descriptions vary in the methodology used, but provide an appropriate level of information, based on </w:t>
      </w:r>
      <w:r>
        <w:rPr>
          <w:rFonts w:ascii="Times New Roman" w:eastAsia="Times New Roman" w:hAnsi="Times New Roman" w:cs="Times New Roman"/>
          <w:noProof/>
          <w:sz w:val="24"/>
          <w:szCs w:val="24"/>
        </w:rPr>
        <w:t>which reasonability, plausibility, additionally with EU funding can be assessed. Furthermore in combination with the economic and social impact assessment provided in the plan, the cost assessment also allows an evaluation regarding whether the overall cos</w:t>
      </w:r>
      <w:r>
        <w:rPr>
          <w:rFonts w:ascii="Times New Roman" w:eastAsia="Times New Roman" w:hAnsi="Times New Roman" w:cs="Times New Roman"/>
          <w:noProof/>
          <w:sz w:val="24"/>
          <w:szCs w:val="24"/>
        </w:rPr>
        <w:t>ts are commensurate with the economic and social impact expected from the measures as well as their cost efficiency. The Greek government followed a four step approach to determine and verify the cost per project and then aggregate them to the total per co</w:t>
      </w:r>
      <w:r>
        <w:rPr>
          <w:rFonts w:ascii="Times New Roman" w:eastAsia="Times New Roman" w:hAnsi="Times New Roman" w:cs="Times New Roman"/>
          <w:noProof/>
          <w:sz w:val="24"/>
          <w:szCs w:val="24"/>
        </w:rPr>
        <w:t>mponent and pillar of the recovery and resilience plan.</w:t>
      </w:r>
      <w:r>
        <w:rPr>
          <w:rFonts w:ascii="Times New Roman" w:eastAsia="Times New Roman" w:hAnsi="Times New Roman" w:cs="Times New Roman"/>
          <w:b/>
          <w:bCs/>
          <w:noProof/>
          <w:sz w:val="24"/>
          <w:szCs w:val="24"/>
        </w:rPr>
        <w:t xml:space="preserve"> </w:t>
      </w:r>
      <w:r>
        <w:rPr>
          <w:rFonts w:ascii="Times New Roman" w:eastAsia="Times New Roman" w:hAnsi="Times New Roman" w:cs="Times New Roman"/>
          <w:noProof/>
          <w:sz w:val="24"/>
          <w:szCs w:val="24"/>
        </w:rPr>
        <w:t>These steps are: 1) developing a specific report per project; 2) examination of available costing information and data; 3) detailed breakdown of all major cost items and decision on costing methodolog</w:t>
      </w:r>
      <w:r>
        <w:rPr>
          <w:rFonts w:ascii="Times New Roman" w:eastAsia="Times New Roman" w:hAnsi="Times New Roman" w:cs="Times New Roman"/>
          <w:noProof/>
          <w:sz w:val="24"/>
          <w:szCs w:val="24"/>
        </w:rPr>
        <w:t>y; and 4) cost verification per project, per component and at plan level.</w:t>
      </w:r>
    </w:p>
    <w:p w:rsidR="00176373" w:rsidRDefault="00E474D1">
      <w:pPr>
        <w:spacing w:line="257" w:lineRule="auto"/>
        <w:jc w:val="both"/>
        <w:rPr>
          <w:noProof/>
          <w:sz w:val="24"/>
          <w:szCs w:val="24"/>
        </w:rPr>
      </w:pPr>
      <w:r>
        <w:rPr>
          <w:rFonts w:ascii="Times New Roman" w:eastAsia="Times New Roman" w:hAnsi="Times New Roman" w:cs="Times New Roman"/>
          <w:b/>
          <w:bCs/>
          <w:noProof/>
          <w:sz w:val="24"/>
          <w:szCs w:val="24"/>
        </w:rPr>
        <w:t>A cost analysis report was produced for each project, which includes a short description of its main characteristics, an overview of the timeline and milestones or targets to be achi</w:t>
      </w:r>
      <w:r>
        <w:rPr>
          <w:rFonts w:ascii="Times New Roman" w:eastAsia="Times New Roman" w:hAnsi="Times New Roman" w:cs="Times New Roman"/>
          <w:b/>
          <w:bCs/>
          <w:noProof/>
          <w:sz w:val="24"/>
          <w:szCs w:val="24"/>
        </w:rPr>
        <w:t>eved and a breakdown of the project budget</w:t>
      </w:r>
      <w:r>
        <w:rPr>
          <w:rFonts w:ascii="Times New Roman" w:eastAsia="Times New Roman" w:hAnsi="Times New Roman" w:cs="Times New Roman"/>
          <w:noProof/>
          <w:sz w:val="24"/>
          <w:szCs w:val="24"/>
        </w:rPr>
        <w:t>. This budget breakdown contains the estimated cost excluding value added tax, and includes information regarding the start of the project and assurances that none of the costs have been incurred before February 20</w:t>
      </w:r>
      <w:r>
        <w:rPr>
          <w:rFonts w:ascii="Times New Roman" w:eastAsia="Times New Roman" w:hAnsi="Times New Roman" w:cs="Times New Roman"/>
          <w:noProof/>
          <w:sz w:val="24"/>
          <w:szCs w:val="24"/>
        </w:rPr>
        <w:t xml:space="preserve">20 as well as information regarding recurrence of the cost. The budget also includes information regarding costs that are covered by other private parties or Union financing, in which case they have been taken out of the project cost to ensure there is no </w:t>
      </w:r>
      <w:r>
        <w:rPr>
          <w:rFonts w:ascii="Times New Roman" w:eastAsia="Times New Roman" w:hAnsi="Times New Roman" w:cs="Times New Roman"/>
          <w:noProof/>
          <w:sz w:val="24"/>
          <w:szCs w:val="24"/>
        </w:rPr>
        <w:t>double funding. Furthermore, this part of the cost analysis reports also contains information regarding the methodology used for estimating the cost, the critical cost drivers, unit costs and the total number of units, and the estimation of the total budge</w:t>
      </w:r>
      <w:r>
        <w:rPr>
          <w:rFonts w:ascii="Times New Roman" w:eastAsia="Times New Roman" w:hAnsi="Times New Roman" w:cs="Times New Roman"/>
          <w:noProof/>
          <w:sz w:val="24"/>
          <w:szCs w:val="24"/>
        </w:rPr>
        <w:t xml:space="preserve">t per project. The report also contains references to supporting material, such as relevant studies as well as historical and comparative costs of similar projects that were used to validate the project cost. </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In terms of costing methodology, the plan pres</w:t>
      </w:r>
      <w:r>
        <w:rPr>
          <w:rFonts w:ascii="Times New Roman" w:eastAsia="Times New Roman" w:hAnsi="Times New Roman" w:cs="Times New Roman"/>
          <w:b/>
          <w:bCs/>
          <w:noProof/>
          <w:sz w:val="24"/>
          <w:szCs w:val="24"/>
        </w:rPr>
        <w:t>ents three different approaches (bottom up cost calculation, parametric cost calculation and top down cost estimation) depending on the maturity of a project and the availability of data</w:t>
      </w:r>
      <w:r>
        <w:rPr>
          <w:rFonts w:ascii="Times New Roman" w:eastAsia="Times New Roman" w:hAnsi="Times New Roman" w:cs="Times New Roman"/>
          <w:noProof/>
          <w:sz w:val="24"/>
          <w:szCs w:val="24"/>
        </w:rPr>
        <w:t>. The bottom up approach estimates the cost of each granular cost driv</w:t>
      </w:r>
      <w:r>
        <w:rPr>
          <w:rFonts w:ascii="Times New Roman" w:eastAsia="Times New Roman" w:hAnsi="Times New Roman" w:cs="Times New Roman"/>
          <w:noProof/>
          <w:sz w:val="24"/>
          <w:szCs w:val="24"/>
        </w:rPr>
        <w:t xml:space="preserve">er and then aggregates the cost of the individual units to an estimated total cost of the project. The parametric approach relies on similar projects and historical figures to estimate the project cost; and the top down cost estimation approach apportions </w:t>
      </w:r>
      <w:r>
        <w:rPr>
          <w:rFonts w:ascii="Times New Roman" w:eastAsia="Times New Roman" w:hAnsi="Times New Roman" w:cs="Times New Roman"/>
          <w:noProof/>
          <w:sz w:val="24"/>
          <w:szCs w:val="24"/>
        </w:rPr>
        <w:t xml:space="preserve">the total cost to individual cost parameters. This approach also heavily relies on historical data but also takes into account expert judgement, especially in cases where there is limited comparable costing information available. The cost analysis reports </w:t>
      </w:r>
      <w:r>
        <w:rPr>
          <w:rFonts w:ascii="Times New Roman" w:eastAsia="Times New Roman" w:hAnsi="Times New Roman" w:cs="Times New Roman"/>
          <w:noProof/>
          <w:sz w:val="24"/>
          <w:szCs w:val="24"/>
        </w:rPr>
        <w:t>have been prepared in collaboration with an external consultant, which cannot be seen as an independent body due to contractual relationship with the Greek government. The cost estimates have been assessed by Greece’s National Productivity Board, which fin</w:t>
      </w:r>
      <w:r>
        <w:rPr>
          <w:rFonts w:ascii="Times New Roman" w:eastAsia="Times New Roman" w:hAnsi="Times New Roman" w:cs="Times New Roman"/>
          <w:noProof/>
          <w:sz w:val="24"/>
          <w:szCs w:val="24"/>
        </w:rPr>
        <w:t xml:space="preserve">ds them to be reasonable, plausible and commensurate and in conclusion has validated the cost estimates. </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Reasonable costs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To justify the reasonability of the cost estimates provided, the Greek government provided detailed breakdowns of the project cost. </w:t>
      </w:r>
      <w:r>
        <w:rPr>
          <w:rFonts w:ascii="Times New Roman" w:eastAsia="Times New Roman" w:hAnsi="Times New Roman" w:cs="Times New Roman"/>
          <w:noProof/>
          <w:sz w:val="24"/>
          <w:szCs w:val="24"/>
        </w:rPr>
        <w:t>The cost estimates include costing tables that break down the overall cost into different items, and allow the identification of the main cost drivers and how the overall cost of the project has been estimated. The underlying calculations and assumptions f</w:t>
      </w:r>
      <w:r>
        <w:rPr>
          <w:rFonts w:ascii="Times New Roman" w:eastAsia="Times New Roman" w:hAnsi="Times New Roman" w:cs="Times New Roman"/>
          <w:noProof/>
          <w:sz w:val="24"/>
          <w:szCs w:val="24"/>
        </w:rPr>
        <w:t>or the cost estimations can be well understood and are sound for a majority of the measures. The detailed costing summaries also provide an overview of the methodological approach used in the estimation of the cost, with the bottom up approach being the on</w:t>
      </w:r>
      <w:r>
        <w:rPr>
          <w:rFonts w:ascii="Times New Roman" w:eastAsia="Times New Roman" w:hAnsi="Times New Roman" w:cs="Times New Roman"/>
          <w:noProof/>
          <w:sz w:val="24"/>
          <w:szCs w:val="24"/>
        </w:rPr>
        <w:t>e used most frequently. Some of the investment projects are expected to create recurrent cost, due to the nature of the investment, but these cases are limited in number and duly justified and well explained. All cost breakdowns only include cost that have</w:t>
      </w:r>
      <w:r>
        <w:rPr>
          <w:rFonts w:ascii="Times New Roman" w:eastAsia="Times New Roman" w:hAnsi="Times New Roman" w:cs="Times New Roman"/>
          <w:noProof/>
          <w:sz w:val="24"/>
          <w:szCs w:val="24"/>
        </w:rPr>
        <w:t xml:space="preserve"> been incurred after February 2020 and the value added tax has been excluded from the cost calculations. Overall, the estimated cost across the investment and reform projects are appropriate for the specific measures and have been sufficiently justified fo</w:t>
      </w:r>
      <w:r>
        <w:rPr>
          <w:rFonts w:ascii="Times New Roman" w:eastAsia="Times New Roman" w:hAnsi="Times New Roman" w:cs="Times New Roman"/>
          <w:noProof/>
          <w:sz w:val="24"/>
          <w:szCs w:val="24"/>
        </w:rPr>
        <w:t xml:space="preserve">r the majority of the measures. </w:t>
      </w:r>
    </w:p>
    <w:p w:rsidR="00176373" w:rsidRDefault="00E474D1">
      <w:pPr>
        <w:spacing w:line="257" w:lineRule="auto"/>
        <w:jc w:val="both"/>
        <w:rPr>
          <w:rFonts w:ascii="Times New Roman" w:eastAsia="Times New Roman" w:hAnsi="Times New Roman" w:cs="Times New Roman"/>
          <w:i/>
          <w:noProof/>
          <w:sz w:val="24"/>
          <w:szCs w:val="24"/>
          <w:highlight w:val="yellow"/>
        </w:rPr>
      </w:pPr>
      <w:r>
        <w:rPr>
          <w:rFonts w:ascii="Times New Roman" w:eastAsia="Times New Roman" w:hAnsi="Times New Roman" w:cs="Times New Roman"/>
          <w:i/>
          <w:iCs/>
          <w:noProof/>
          <w:sz w:val="24"/>
          <w:szCs w:val="24"/>
        </w:rPr>
        <w:t xml:space="preserve">Plausible costs </w:t>
      </w:r>
    </w:p>
    <w:p w:rsidR="00176373" w:rsidRDefault="00E474D1">
      <w:pPr>
        <w:spacing w:line="257" w:lineRule="auto"/>
        <w:jc w:val="both"/>
        <w:rPr>
          <w:noProof/>
          <w:sz w:val="24"/>
          <w:szCs w:val="24"/>
        </w:rPr>
      </w:pPr>
      <w:r>
        <w:rPr>
          <w:rFonts w:ascii="Times New Roman" w:eastAsia="Times New Roman" w:hAnsi="Times New Roman" w:cs="Times New Roman"/>
          <w:b/>
          <w:bCs/>
          <w:noProof/>
          <w:sz w:val="24"/>
          <w:szCs w:val="24"/>
        </w:rPr>
        <w:t>The Greek government provided sufficient information and evidence regarding the plausibility of the cost of the planned reforms and investments by showing that the estimated total cost of the plan are in li</w:t>
      </w:r>
      <w:r>
        <w:rPr>
          <w:rFonts w:ascii="Times New Roman" w:eastAsia="Times New Roman" w:hAnsi="Times New Roman" w:cs="Times New Roman"/>
          <w:b/>
          <w:bCs/>
          <w:noProof/>
          <w:sz w:val="24"/>
          <w:szCs w:val="24"/>
        </w:rPr>
        <w:t xml:space="preserve">ne with the nature and type of the envisaged projects. </w:t>
      </w:r>
      <w:r>
        <w:rPr>
          <w:rFonts w:ascii="Times New Roman" w:eastAsia="Times New Roman" w:hAnsi="Times New Roman" w:cs="Times New Roman"/>
          <w:noProof/>
          <w:sz w:val="24"/>
          <w:szCs w:val="24"/>
        </w:rPr>
        <w:t>As part of the detailed project cost breakdown, the Greek government has included a justification why the estimated cost are in line with the nature and type of the project, and should be regarded as p</w:t>
      </w:r>
      <w:r>
        <w:rPr>
          <w:rFonts w:ascii="Times New Roman" w:eastAsia="Times New Roman" w:hAnsi="Times New Roman" w:cs="Times New Roman"/>
          <w:noProof/>
          <w:sz w:val="24"/>
          <w:szCs w:val="24"/>
        </w:rPr>
        <w:t xml:space="preserve">lausible. These justifications are generally supported by reference projects that are comparable and have been concluded recently either in Greece or other EU Member States, relevant studies, tender documentation of recently conceded tenders of comparable </w:t>
      </w:r>
      <w:r>
        <w:rPr>
          <w:rFonts w:ascii="Times New Roman" w:eastAsia="Times New Roman" w:hAnsi="Times New Roman" w:cs="Times New Roman"/>
          <w:noProof/>
          <w:sz w:val="24"/>
          <w:szCs w:val="24"/>
        </w:rPr>
        <w:t>projects and average market rates. For some projects, that are of very innovative nature or will be supporting specific action for instance via demand driven schemes and therefore cannot be directly compared to other existing projects, scientific sources a</w:t>
      </w:r>
      <w:r>
        <w:rPr>
          <w:rFonts w:ascii="Times New Roman" w:eastAsia="Times New Roman" w:hAnsi="Times New Roman" w:cs="Times New Roman"/>
          <w:noProof/>
          <w:sz w:val="24"/>
          <w:szCs w:val="24"/>
        </w:rPr>
        <w:t>nd input cost have been used to substantiate the plausibility of the cost estimates. A limited number of projects is not sufficiently substantiated with cost of comparable project or the evidence cited could not be accessed. Where estimated project cost ex</w:t>
      </w:r>
      <w:r>
        <w:rPr>
          <w:rFonts w:ascii="Times New Roman" w:eastAsia="Times New Roman" w:hAnsi="Times New Roman" w:cs="Times New Roman"/>
          <w:noProof/>
          <w:sz w:val="24"/>
          <w:szCs w:val="24"/>
        </w:rPr>
        <w:t xml:space="preserve">ceed the project cost of the reference projects, the excess remains generally within an appropriate range. </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No double Union financing</w:t>
      </w:r>
    </w:p>
    <w:p w:rsidR="00176373" w:rsidRDefault="00E474D1">
      <w:pPr>
        <w:spacing w:line="257" w:lineRule="auto"/>
        <w:jc w:val="both"/>
        <w:rPr>
          <w:noProof/>
          <w:sz w:val="24"/>
          <w:szCs w:val="24"/>
        </w:rPr>
      </w:pPr>
      <w:r>
        <w:rPr>
          <w:rFonts w:ascii="Times New Roman" w:eastAsia="Times New Roman" w:hAnsi="Times New Roman" w:cs="Times New Roman"/>
          <w:b/>
          <w:bCs/>
          <w:noProof/>
          <w:sz w:val="24"/>
          <w:szCs w:val="24"/>
        </w:rPr>
        <w:t>Most of the measures proposed in the recovery and resilience plan are funded at 100% from the Recovery and Resilience Faci</w:t>
      </w:r>
      <w:r>
        <w:rPr>
          <w:rFonts w:ascii="Times New Roman" w:eastAsia="Times New Roman" w:hAnsi="Times New Roman" w:cs="Times New Roman"/>
          <w:b/>
          <w:bCs/>
          <w:noProof/>
          <w:sz w:val="24"/>
          <w:szCs w:val="24"/>
        </w:rPr>
        <w:t xml:space="preserve">lity and in the few exceptions, where other funding sources are used, sufficient information has been provided. </w:t>
      </w:r>
      <w:r>
        <w:rPr>
          <w:rFonts w:ascii="Times New Roman" w:eastAsia="Times New Roman" w:hAnsi="Times New Roman" w:cs="Times New Roman"/>
          <w:noProof/>
          <w:sz w:val="24"/>
          <w:szCs w:val="24"/>
        </w:rPr>
        <w:t xml:space="preserve">The Greek government has provided information for each measure regarding the funding sources, with the large majority relying on 100% financing </w:t>
      </w:r>
      <w:r>
        <w:rPr>
          <w:rFonts w:ascii="Times New Roman" w:eastAsia="Times New Roman" w:hAnsi="Times New Roman" w:cs="Times New Roman"/>
          <w:noProof/>
          <w:sz w:val="24"/>
          <w:szCs w:val="24"/>
        </w:rPr>
        <w:t>from the Recovery and Resilience Facility. In the few cases that also use national or other EU funding sources, the information regarding the amounts and costing items that are not covered under the Recovery and Resilience Facility have been provided as pa</w:t>
      </w:r>
      <w:r>
        <w:rPr>
          <w:rFonts w:ascii="Times New Roman" w:eastAsia="Times New Roman" w:hAnsi="Times New Roman" w:cs="Times New Roman"/>
          <w:noProof/>
          <w:sz w:val="24"/>
          <w:szCs w:val="24"/>
        </w:rPr>
        <w:t>rt of the cost breakdown per measure. The costs that are covered by other than Recovery and Resilience Facility funding sources have been taken out of the overall cost that will be supported by the Facility, therefore providing a clear delineation and avoi</w:t>
      </w:r>
      <w:r>
        <w:rPr>
          <w:rFonts w:ascii="Times New Roman" w:eastAsia="Times New Roman" w:hAnsi="Times New Roman" w:cs="Times New Roman"/>
          <w:noProof/>
          <w:sz w:val="24"/>
          <w:szCs w:val="24"/>
        </w:rPr>
        <w:t>ding double funding. Therefore the plan ensures that the support of the Recovery and Resilience Facility is expected to be additional to the support provided under other Union funds and programmes and does not cover the same cost.</w:t>
      </w:r>
    </w:p>
    <w:p w:rsidR="00176373" w:rsidRDefault="00E474D1">
      <w:pPr>
        <w:spacing w:line="257"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i/>
          <w:iCs/>
          <w:noProof/>
          <w:sz w:val="24"/>
          <w:szCs w:val="24"/>
        </w:rPr>
        <w:t>Commensurate and cost-eff</w:t>
      </w:r>
      <w:r>
        <w:rPr>
          <w:rFonts w:ascii="Times New Roman" w:eastAsia="Times New Roman" w:hAnsi="Times New Roman" w:cs="Times New Roman"/>
          <w:i/>
          <w:iCs/>
          <w:noProof/>
          <w:sz w:val="24"/>
          <w:szCs w:val="24"/>
        </w:rPr>
        <w:t>icient costs</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Due to its significant positive economic and social impact and positive assessment regarding the reasonability and plausibility of the cost, the total cost of the recovery and resilience plan can be assessed as commensurate to the expected soc</w:t>
      </w:r>
      <w:r>
        <w:rPr>
          <w:rFonts w:ascii="Times New Roman" w:eastAsia="Times New Roman" w:hAnsi="Times New Roman" w:cs="Times New Roman"/>
          <w:b/>
          <w:bCs/>
          <w:noProof/>
          <w:sz w:val="24"/>
          <w:szCs w:val="24"/>
        </w:rPr>
        <w:t>ial and economic impact of the envisaged measures</w:t>
      </w:r>
      <w:r>
        <w:rPr>
          <w:rFonts w:ascii="Times New Roman" w:eastAsia="Times New Roman" w:hAnsi="Times New Roman" w:cs="Times New Roman"/>
          <w:noProof/>
          <w:sz w:val="24"/>
          <w:szCs w:val="24"/>
        </w:rPr>
        <w:t>. As outlined in section 4.3, the measures foreseen as part of the plan are, when assessed jointly, expected to have a significant economic and social impact, counteracting some of the adverse effects of the</w:t>
      </w:r>
      <w:r>
        <w:rPr>
          <w:rFonts w:ascii="Times New Roman" w:eastAsia="Times New Roman" w:hAnsi="Times New Roman" w:cs="Times New Roman"/>
          <w:noProof/>
          <w:sz w:val="24"/>
          <w:szCs w:val="24"/>
        </w:rPr>
        <w:t xml:space="preserve"> economic crisis caused by the coronavirus pandemic as well as fostering structural changes in the economy and society. The cost associated with these measures have been well explained and assessed as reasonable and plausible and therefore are commensurate</w:t>
      </w:r>
      <w:r>
        <w:rPr>
          <w:rFonts w:ascii="Times New Roman" w:eastAsia="Times New Roman" w:hAnsi="Times New Roman" w:cs="Times New Roman"/>
          <w:noProof/>
          <w:sz w:val="24"/>
          <w:szCs w:val="24"/>
        </w:rPr>
        <w:t xml:space="preserve"> to the expected social and economic impact. </w:t>
      </w:r>
    </w:p>
    <w:p w:rsidR="00176373" w:rsidRDefault="00E474D1">
      <w:pPr>
        <w:spacing w:line="257"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spacing w:line="257" w:lineRule="auto"/>
        <w:jc w:val="both"/>
        <w:rPr>
          <w:rFonts w:ascii="Times New Roman" w:eastAsia="Times New Roman" w:hAnsi="Times New Roman" w:cs="Times New Roman"/>
          <w:noProof/>
          <w:sz w:val="24"/>
          <w:szCs w:val="24"/>
        </w:rPr>
      </w:pPr>
      <w:r>
        <w:rPr>
          <w:rFonts w:ascii="Times New Roman" w:eastAsia="Times New Roman" w:hAnsi="Times New Roman" w:cs="Times New Roman"/>
          <w:i/>
          <w:iCs/>
          <w:noProof/>
          <w:sz w:val="24"/>
          <w:szCs w:val="24"/>
        </w:rPr>
        <w:t xml:space="preserve">The justification provided by Greece on the amount of the estimated total costs of the recovery and resilience plan is to a </w:t>
      </w:r>
      <w:r>
        <w:rPr>
          <w:rFonts w:ascii="Times New Roman" w:eastAsia="Times New Roman" w:hAnsi="Times New Roman" w:cs="Times New Roman"/>
          <w:i/>
          <w:noProof/>
          <w:sz w:val="24"/>
          <w:szCs w:val="24"/>
        </w:rPr>
        <w:t>medium</w:t>
      </w:r>
      <w:r>
        <w:rPr>
          <w:rFonts w:ascii="Times New Roman" w:eastAsia="Times New Roman" w:hAnsi="Times New Roman" w:cs="Times New Roman"/>
          <w:i/>
          <w:iCs/>
          <w:noProof/>
          <w:sz w:val="24"/>
          <w:szCs w:val="24"/>
        </w:rPr>
        <w:t xml:space="preserve"> extent reasonable, plausible, in line with the principle of cost-efficiency and commensurate to the expected national economic and social impact on the economy. Greece has provided sufficient information and evidence that the amount of the estimated cost </w:t>
      </w:r>
      <w:r>
        <w:rPr>
          <w:rFonts w:ascii="Times New Roman" w:eastAsia="Times New Roman" w:hAnsi="Times New Roman" w:cs="Times New Roman"/>
          <w:i/>
          <w:iCs/>
          <w:noProof/>
          <w:sz w:val="24"/>
          <w:szCs w:val="24"/>
        </w:rPr>
        <w:t xml:space="preserve">of the reforms and investments of the recovery and resilience plan to be financed under the Facility is not covered by existing or planned Union financing. This would warrant a rating of </w:t>
      </w:r>
      <w:r>
        <w:rPr>
          <w:rFonts w:ascii="Times New Roman" w:eastAsia="Times New Roman" w:hAnsi="Times New Roman" w:cs="Times New Roman"/>
          <w:i/>
          <w:noProof/>
          <w:sz w:val="24"/>
          <w:szCs w:val="24"/>
        </w:rPr>
        <w:t>B under the assessment criterion 2.9 of Annex V to the RRF Regulation</w:t>
      </w:r>
      <w:r>
        <w:rPr>
          <w:rFonts w:ascii="Times New Roman" w:eastAsia="Times New Roman" w:hAnsi="Times New Roman" w:cs="Times New Roman"/>
          <w:noProof/>
          <w:sz w:val="24"/>
          <w:szCs w:val="24"/>
        </w:rPr>
        <w:t>.</w:t>
      </w:r>
    </w:p>
    <w:p w:rsidR="00176373" w:rsidRDefault="00E474D1">
      <w:pPr>
        <w:pStyle w:val="Heading2"/>
        <w:numPr>
          <w:ilvl w:val="1"/>
          <w:numId w:val="10"/>
        </w:numPr>
        <w:rPr>
          <w:i/>
          <w:noProof/>
        </w:rPr>
      </w:pPr>
      <w:bookmarkStart w:id="512" w:name="_Toc72182228"/>
      <w:bookmarkStart w:id="513" w:name="_Toc72182330"/>
      <w:bookmarkStart w:id="514" w:name="_Toc72182492"/>
      <w:bookmarkStart w:id="515" w:name="_Toc72182572"/>
      <w:bookmarkStart w:id="516" w:name="_Toc72182652"/>
      <w:bookmarkStart w:id="517" w:name="_Toc72183151"/>
      <w:bookmarkStart w:id="518" w:name="_Toc72183242"/>
      <w:bookmarkStart w:id="519" w:name="_Toc72183648"/>
      <w:bookmarkStart w:id="520" w:name="_Toc72183728"/>
      <w:bookmarkStart w:id="521" w:name="_Toc72183808"/>
      <w:bookmarkStart w:id="522" w:name="_Toc72184285"/>
      <w:bookmarkStart w:id="523" w:name="_Toc72184687"/>
      <w:bookmarkStart w:id="524" w:name="_Toc72184853"/>
      <w:bookmarkStart w:id="525" w:name="_Toc72185644"/>
      <w:bookmarkStart w:id="526" w:name="_Toc72185880"/>
      <w:bookmarkStart w:id="527" w:name="_Toc72185961"/>
      <w:bookmarkStart w:id="528" w:name="_Toc72186147"/>
      <w:bookmarkStart w:id="529" w:name="_Toc72186227"/>
      <w:bookmarkStart w:id="530" w:name="_Toc72186691"/>
      <w:bookmarkStart w:id="531" w:name="_Toc72187517"/>
      <w:bookmarkStart w:id="532" w:name="_Toc72187994"/>
      <w:bookmarkStart w:id="533" w:name="_Toc72188355"/>
      <w:bookmarkStart w:id="534" w:name="_Toc72190870"/>
      <w:bookmarkStart w:id="535" w:name="_Toc72194073"/>
      <w:bookmarkStart w:id="536" w:name="_Toc62455209"/>
      <w:bookmarkStart w:id="537" w:name="_Toc74305333"/>
      <w:bookmarkStart w:id="538" w:name="_Toc62818232"/>
      <w:bookmarkStart w:id="539" w:name="_Toc62818779"/>
      <w:bookmarkStart w:id="540" w:name="_Toc63417228"/>
      <w:bookmarkStart w:id="541" w:name="_Toc63418918"/>
      <w:bookmarkStart w:id="542" w:name="_Toc63418943"/>
      <w:bookmarkStart w:id="543" w:name="_Toc64281629"/>
      <w:bookmarkStart w:id="544" w:name="_Toc71740470"/>
      <w:bookmarkStart w:id="545" w:name="_Toc71792465"/>
      <w:bookmarkStart w:id="546" w:name="_Toc72158516"/>
      <w:bookmarkStart w:id="547" w:name="_Toc72170719"/>
      <w:bookmarkStart w:id="548" w:name="_Toc72176847"/>
      <w:bookmarkStart w:id="549" w:name="_Toc72179418"/>
      <w:bookmarkStart w:id="550" w:name="_Toc72176056"/>
      <w:bookmarkStart w:id="551" w:name="_Toc72181729"/>
      <w:bookmarkStart w:id="552" w:name="_Toc72178578"/>
      <w:bookmarkStart w:id="553" w:name="_Toc72182465"/>
      <w:bookmarkStart w:id="554" w:name="_Toc72183462"/>
      <w:bookmarkStart w:id="555" w:name="_Toc72187276"/>
      <w:bookmarkStart w:id="556" w:name="_Toc71665341"/>
      <w:bookmarkStart w:id="557" w:name="_Toc72326500"/>
      <w:bookmarkStart w:id="558" w:name="_Toc7232653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noProof/>
        </w:rPr>
        <w:t>Controls and audit</w:t>
      </w:r>
      <w:bookmarkEnd w:id="536"/>
      <w:bookmarkEnd w:id="537"/>
      <w:r>
        <w:rPr>
          <w:noProof/>
        </w:rPr>
        <w:t xml:space="preserve"> </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Robustness of internal control system and distribution of roles and responsibilities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plan describes its implementation system, which is a tailored-made Management and Control System defined as the MCS.</w:t>
      </w:r>
      <w:r>
        <w:rPr>
          <w:rFonts w:ascii="Times New Roman" w:eastAsia="Times New Roman" w:hAnsi="Times New Roman" w:cs="Times New Roman"/>
          <w:noProof/>
          <w:sz w:val="24"/>
          <w:szCs w:val="24"/>
        </w:rPr>
        <w:t xml:space="preserve"> The coordinating body will be the Recovery and Resilience Facility Coordination Agency, which will perform active monitoring on the progress of the projects, and verify the achievement of the milestones and targets set for each component and/or reform and</w:t>
      </w:r>
      <w:r>
        <w:rPr>
          <w:rFonts w:ascii="Times New Roman" w:eastAsia="Times New Roman" w:hAnsi="Times New Roman" w:cs="Times New Roman"/>
          <w:noProof/>
          <w:sz w:val="24"/>
          <w:szCs w:val="24"/>
        </w:rPr>
        <w:t xml:space="preserve"> investment. The Recovery and Resilience Facility Coordination Agency will also submit the payment requests to the European Commission, upon verification of the achievement of the milestones and targets through the RRF Management Information System (MIS), </w:t>
      </w:r>
      <w:r>
        <w:rPr>
          <w:rFonts w:ascii="Times New Roman" w:eastAsia="Times New Roman" w:hAnsi="Times New Roman" w:cs="Times New Roman"/>
          <w:noProof/>
          <w:sz w:val="24"/>
          <w:szCs w:val="24"/>
        </w:rPr>
        <w:t>accompanied by the management declaration, as well as a summary of the audits carried out, including weaknesses identified and any corrective actions taken. The Implementing Bodies (IBs) will undertake the management and implementation of the approved proj</w:t>
      </w:r>
      <w:r>
        <w:rPr>
          <w:rFonts w:ascii="Times New Roman" w:eastAsia="Times New Roman" w:hAnsi="Times New Roman" w:cs="Times New Roman"/>
          <w:noProof/>
          <w:sz w:val="24"/>
          <w:szCs w:val="24"/>
        </w:rPr>
        <w:t>ects, which will be checked by independent certified auditors, while the Ministries will support the monitoring of the projects’ progress. EDEL, which is the competent Audit Authority for European Structural and Investment Funds since 2001, will be respons</w:t>
      </w:r>
      <w:r>
        <w:rPr>
          <w:rFonts w:ascii="Times New Roman" w:eastAsia="Times New Roman" w:hAnsi="Times New Roman" w:cs="Times New Roman"/>
          <w:noProof/>
          <w:sz w:val="24"/>
          <w:szCs w:val="24"/>
        </w:rPr>
        <w:t>ible of auditing the entire process before the payment claims will be submitted by the Recovery and Resilience Facility Coordination Agency.</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system presents a robust process and structure, where the roles and responsibilities are clearly defined and th</w:t>
      </w:r>
      <w:r>
        <w:rPr>
          <w:rFonts w:ascii="Times New Roman" w:eastAsia="Times New Roman" w:hAnsi="Times New Roman" w:cs="Times New Roman"/>
          <w:b/>
          <w:bCs/>
          <w:noProof/>
          <w:sz w:val="24"/>
          <w:szCs w:val="24"/>
        </w:rPr>
        <w:t>e relevant control functions are appropriately segregated.</w:t>
      </w:r>
      <w:r>
        <w:rPr>
          <w:rFonts w:ascii="Times New Roman" w:eastAsia="Times New Roman" w:hAnsi="Times New Roman" w:cs="Times New Roman"/>
          <w:noProof/>
          <w:sz w:val="24"/>
          <w:szCs w:val="24"/>
        </w:rPr>
        <w:t xml:space="preserve"> The independence of the control bodies is ensured, as the Recovery and Resilience Facility Coordination Agency is an independent special public service under the Minister of Finance, set up accordi</w:t>
      </w:r>
      <w:r>
        <w:rPr>
          <w:rFonts w:ascii="Times New Roman" w:eastAsia="Times New Roman" w:hAnsi="Times New Roman" w:cs="Times New Roman"/>
          <w:noProof/>
          <w:sz w:val="24"/>
          <w:szCs w:val="24"/>
        </w:rPr>
        <w:t>ng to the Law 4738/2020.</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Adequacy of control systems and other relevant arrangements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Management and Control System states the procedures that are in place to ensure compliance to applicable Union and national law, throughout the implementation of all m</w:t>
      </w:r>
      <w:r>
        <w:rPr>
          <w:rFonts w:ascii="Times New Roman" w:eastAsia="Times New Roman" w:hAnsi="Times New Roman" w:cs="Times New Roman"/>
          <w:b/>
          <w:bCs/>
          <w:noProof/>
          <w:sz w:val="24"/>
          <w:szCs w:val="24"/>
        </w:rPr>
        <w:t>easures.</w:t>
      </w:r>
      <w:r>
        <w:rPr>
          <w:rFonts w:ascii="Times New Roman" w:eastAsia="Times New Roman" w:hAnsi="Times New Roman" w:cs="Times New Roman"/>
          <w:noProof/>
          <w:sz w:val="24"/>
          <w:szCs w:val="24"/>
        </w:rPr>
        <w:t xml:space="preserve"> Furthermore, it clearly addresses all serious irregularities (fraud, corruption, conflict of interest) and potential double funding by allowing for controls and audits to be implemented in separate and distinctive levels. In particular, during the</w:t>
      </w:r>
      <w:r>
        <w:rPr>
          <w:rFonts w:ascii="Times New Roman" w:eastAsia="Times New Roman" w:hAnsi="Times New Roman" w:cs="Times New Roman"/>
          <w:noProof/>
          <w:sz w:val="24"/>
          <w:szCs w:val="24"/>
        </w:rPr>
        <w:t xml:space="preserve"> first level, independent certified auditors will implement audits on behalf of the implementing bodies to verify i) the fulfilment of the agreed milestones and targets that are associated with Recovery and Resilience Facility funding requests, ii) the com</w:t>
      </w:r>
      <w:r>
        <w:rPr>
          <w:rFonts w:ascii="Times New Roman" w:eastAsia="Times New Roman" w:hAnsi="Times New Roman" w:cs="Times New Roman"/>
          <w:noProof/>
          <w:sz w:val="24"/>
          <w:szCs w:val="24"/>
        </w:rPr>
        <w:t xml:space="preserve">pliance with EU and national law and iii) the avoidance of serious irregularities and double funding. On top of the above and upon discretion, Recovery and Resilience Facility Coordination Agency may entrust to external auditors to perform verification of </w:t>
      </w:r>
      <w:r>
        <w:rPr>
          <w:rFonts w:ascii="Times New Roman" w:eastAsia="Times New Roman" w:hAnsi="Times New Roman" w:cs="Times New Roman"/>
          <w:noProof/>
          <w:sz w:val="24"/>
          <w:szCs w:val="24"/>
        </w:rPr>
        <w:t xml:space="preserve">milestones and targets achievement, on its behalf. Moreover, EDEL will carry out the second level audits, as part of its mandate/authority to exercise such tasks.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proposed measures give assurance that there is an adequate level of control to prevent, </w:t>
      </w:r>
      <w:r>
        <w:rPr>
          <w:rFonts w:ascii="Times New Roman" w:eastAsia="Times New Roman" w:hAnsi="Times New Roman" w:cs="Times New Roman"/>
          <w:b/>
          <w:bCs/>
          <w:noProof/>
          <w:sz w:val="24"/>
          <w:szCs w:val="24"/>
        </w:rPr>
        <w:t>detect and correct irregularities identified when using funds provided by the Recovery and Resilience Facility.</w:t>
      </w:r>
      <w:r>
        <w:rPr>
          <w:rFonts w:ascii="Times New Roman" w:eastAsia="Times New Roman" w:hAnsi="Times New Roman" w:cs="Times New Roman"/>
          <w:noProof/>
          <w:sz w:val="24"/>
          <w:szCs w:val="24"/>
        </w:rPr>
        <w:t xml:space="preserve"> The adoption of measures for the prevention and management of the risk concerns either individual measures that will be implemented by an Implem</w:t>
      </w:r>
      <w:r>
        <w:rPr>
          <w:rFonts w:ascii="Times New Roman" w:eastAsia="Times New Roman" w:hAnsi="Times New Roman" w:cs="Times New Roman"/>
          <w:noProof/>
          <w:sz w:val="24"/>
          <w:szCs w:val="24"/>
        </w:rPr>
        <w:t>enting Body, or a proposal for horizontal measures that should be integrated in the prescribed procedures of RRP MCS (e.g. introduction of a new checkpoint in a checklist). The Recovery and Resilience Facility Coordination Agency will put in place a policy</w:t>
      </w:r>
      <w:r>
        <w:rPr>
          <w:rFonts w:ascii="Times New Roman" w:eastAsia="Times New Roman" w:hAnsi="Times New Roman" w:cs="Times New Roman"/>
          <w:noProof/>
          <w:sz w:val="24"/>
          <w:szCs w:val="24"/>
        </w:rPr>
        <w:t xml:space="preserve"> related to conflicts of interests to mitigate the risks and to tackle possible cases. Therefore, analytical procedures will be designed as a part of the MCS, tools will be provided to help identify the existence of a possible conflict of interest and a re</w:t>
      </w:r>
      <w:r>
        <w:rPr>
          <w:rFonts w:ascii="Times New Roman" w:eastAsia="Times New Roman" w:hAnsi="Times New Roman" w:cs="Times New Roman"/>
          <w:noProof/>
          <w:sz w:val="24"/>
          <w:szCs w:val="24"/>
        </w:rPr>
        <w:t>levant list of red flags will be available to detect such situations. Financial corrections will be applied to errors with a financial impact, in accordance with the national regulatory framework. The financial corrections relate to the cancellation of all</w:t>
      </w:r>
      <w:r>
        <w:rPr>
          <w:rFonts w:ascii="Times New Roman" w:eastAsia="Times New Roman" w:hAnsi="Times New Roman" w:cs="Times New Roman"/>
          <w:noProof/>
          <w:sz w:val="24"/>
          <w:szCs w:val="24"/>
        </w:rPr>
        <w:t xml:space="preserve"> or part of the Union and/or national participation in a project, within the framework of its financing by the Recovery and Resilience Facility, and the correction is proportionate to the irregular expenditure found.</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There are also no specific risks identi</w:t>
      </w:r>
      <w:r>
        <w:rPr>
          <w:rFonts w:ascii="Times New Roman" w:eastAsia="Times New Roman" w:hAnsi="Times New Roman" w:cs="Times New Roman"/>
          <w:b/>
          <w:bCs/>
          <w:noProof/>
          <w:sz w:val="24"/>
          <w:szCs w:val="24"/>
        </w:rPr>
        <w:t>fied concerning irregularities to each components.</w:t>
      </w:r>
      <w:r>
        <w:rPr>
          <w:rFonts w:ascii="Times New Roman" w:eastAsia="Times New Roman" w:hAnsi="Times New Roman" w:cs="Times New Roman"/>
          <w:noProof/>
          <w:sz w:val="24"/>
          <w:szCs w:val="24"/>
        </w:rPr>
        <w:t xml:space="preserve"> Data on final beneficiaries are stored by the RRF Management Information System as well as contractors, sub-contractors, beneficial owners, and a list of any measures for the implementation of reforms and </w:t>
      </w:r>
      <w:r>
        <w:rPr>
          <w:rFonts w:ascii="Times New Roman" w:eastAsia="Times New Roman" w:hAnsi="Times New Roman" w:cs="Times New Roman"/>
          <w:noProof/>
          <w:sz w:val="24"/>
          <w:szCs w:val="24"/>
        </w:rPr>
        <w:t>investment projects under the recovery and resilience plan. In addition, the Commission needs reassurance that a system will be operational, that (a) ensure the collection of data and monitoring of the achievement of milestones and targets; (b) allow for t</w:t>
      </w:r>
      <w:r>
        <w:rPr>
          <w:rFonts w:ascii="Times New Roman" w:eastAsia="Times New Roman" w:hAnsi="Times New Roman" w:cs="Times New Roman"/>
          <w:noProof/>
          <w:sz w:val="24"/>
          <w:szCs w:val="24"/>
        </w:rPr>
        <w:t>he preparation of management declarations and the audit summary as well as payment claims and (c) establish the necessary procedures to collect and store data on beneficiaries, contractors, subcontractors, and beneficial owners in accordance with Article 2</w:t>
      </w:r>
      <w:r>
        <w:rPr>
          <w:rFonts w:ascii="Times New Roman" w:eastAsia="Times New Roman" w:hAnsi="Times New Roman" w:cs="Times New Roman"/>
          <w:noProof/>
          <w:sz w:val="24"/>
          <w:szCs w:val="24"/>
        </w:rPr>
        <w:t>2 of the Recovery and Resilience Facility Regulation before the first payment request is made. A dedicated audit report on the system set up will be undertaken. In case that the report identifies any weaknesses, the audit report will recommend corrective a</w:t>
      </w:r>
      <w:r>
        <w:rPr>
          <w:rFonts w:ascii="Times New Roman" w:eastAsia="Times New Roman" w:hAnsi="Times New Roman" w:cs="Times New Roman"/>
          <w:noProof/>
          <w:sz w:val="24"/>
          <w:szCs w:val="24"/>
        </w:rPr>
        <w:t xml:space="preserve">ctions. This will be implemented through a dedicated milestone. </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Adequacy of arrangements to avoid double EU funding</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avoidance, detection and prevention of double funding will be ensured at all stages of the projects’ lifecycle, through robust procedur</w:t>
      </w:r>
      <w:r>
        <w:rPr>
          <w:rFonts w:ascii="Times New Roman" w:eastAsia="Times New Roman" w:hAnsi="Times New Roman" w:cs="Times New Roman"/>
          <w:b/>
          <w:bCs/>
          <w:noProof/>
          <w:sz w:val="24"/>
          <w:szCs w:val="24"/>
        </w:rPr>
        <w:t>es structured within the RRF Management and Control System</w:t>
      </w:r>
      <w:r>
        <w:rPr>
          <w:rFonts w:ascii="Times New Roman" w:eastAsia="Times New Roman" w:hAnsi="Times New Roman" w:cs="Times New Roman"/>
          <w:noProof/>
          <w:sz w:val="24"/>
          <w:szCs w:val="24"/>
        </w:rPr>
        <w:t xml:space="preserve">. First, all Implementing Bodies will have to declare, via the submitted Fiche in the RRF Management Information System, that no previous Union funding has been granted for the same project (during </w:t>
      </w:r>
      <w:r>
        <w:rPr>
          <w:rFonts w:ascii="Times New Roman" w:eastAsia="Times New Roman" w:hAnsi="Times New Roman" w:cs="Times New Roman"/>
          <w:noProof/>
          <w:sz w:val="24"/>
          <w:szCs w:val="24"/>
        </w:rPr>
        <w:t>the current or previous period). Moreover, the structure of RRF Management Information System shall allow for the cross-checking, detection and consolidation of all possible data sources that are related to the IBs funding and systemically shall separate t</w:t>
      </w:r>
      <w:r>
        <w:rPr>
          <w:rFonts w:ascii="Times New Roman" w:eastAsia="Times New Roman" w:hAnsi="Times New Roman" w:cs="Times New Roman"/>
          <w:noProof/>
          <w:sz w:val="24"/>
          <w:szCs w:val="24"/>
        </w:rPr>
        <w:t>heir different EU funding streams. This level of consolidation and transparency will ensure the early detection and avoidance of double funding from the Recovery and Resilience Facility and other EU programs, while it will act as a preventing factor for th</w:t>
      </w:r>
      <w:r>
        <w:rPr>
          <w:rFonts w:ascii="Times New Roman" w:eastAsia="Times New Roman" w:hAnsi="Times New Roman" w:cs="Times New Roman"/>
          <w:noProof/>
          <w:sz w:val="24"/>
          <w:szCs w:val="24"/>
        </w:rPr>
        <w:t>e IBs. The data collection and consolidation will heavily rely on synergies and interoperability between the different information systems, while double funding cases will be flagged through (existing) Business Intelligence tools. For example, the RRF Mana</w:t>
      </w:r>
      <w:r>
        <w:rPr>
          <w:rFonts w:ascii="Times New Roman" w:eastAsia="Times New Roman" w:hAnsi="Times New Roman" w:cs="Times New Roman"/>
          <w:noProof/>
          <w:sz w:val="24"/>
          <w:szCs w:val="24"/>
        </w:rPr>
        <w:t>gement Information System, which will be developed in the same platform as the existing platform, used for European Structural and Investment Funds, will be able to exchange data and apply cross-checks with all the different EU related data sources. Accord</w:t>
      </w:r>
      <w:r>
        <w:rPr>
          <w:rFonts w:ascii="Times New Roman" w:eastAsia="Times New Roman" w:hAnsi="Times New Roman" w:cs="Times New Roman"/>
          <w:noProof/>
          <w:sz w:val="24"/>
          <w:szCs w:val="24"/>
        </w:rPr>
        <w:t xml:space="preserve">ingly, the RRF Management Information System will be interoperable with other information systems of the Public Sector. Further, an additional safeguard to prevent double-funding between the programs under the Recovery and Resilience Facility, will be the </w:t>
      </w:r>
      <w:r>
        <w:rPr>
          <w:rFonts w:ascii="Times New Roman" w:eastAsia="Times New Roman" w:hAnsi="Times New Roman" w:cs="Times New Roman"/>
          <w:noProof/>
          <w:sz w:val="24"/>
          <w:szCs w:val="24"/>
        </w:rPr>
        <w:t>assessment of the use of electronic invoices on the basis of the new OpenPEPPOL protocol. In this way each invoice will be unified within the Management Information System and therefore could not be financed from another source. Finally, the independent ex</w:t>
      </w:r>
      <w:r>
        <w:rPr>
          <w:rFonts w:ascii="Times New Roman" w:eastAsia="Times New Roman" w:hAnsi="Times New Roman" w:cs="Times New Roman"/>
          <w:noProof/>
          <w:sz w:val="24"/>
          <w:szCs w:val="24"/>
        </w:rPr>
        <w:t>ternal auditors will also examine during their audits the existence of a possible double funding. Audit reports will be performed at all phases of the projects and uploaded to the RRFA Management Information System, followed by a declaration of non-receivi</w:t>
      </w:r>
      <w:r>
        <w:rPr>
          <w:rFonts w:ascii="Times New Roman" w:eastAsia="Times New Roman" w:hAnsi="Times New Roman" w:cs="Times New Roman"/>
          <w:noProof/>
          <w:sz w:val="24"/>
          <w:szCs w:val="24"/>
        </w:rPr>
        <w:t>ng double funding for the same project (or milestone). Moreover, EDEL will also cover the above issue during its audits.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arrangements put in place are sufficient and adequate in their description, thanks to the RRF MIS that will allow for cross-checkin</w:t>
      </w:r>
      <w:r>
        <w:rPr>
          <w:rFonts w:ascii="Times New Roman" w:eastAsia="Times New Roman" w:hAnsi="Times New Roman" w:cs="Times New Roman"/>
          <w:b/>
          <w:bCs/>
          <w:noProof/>
          <w:sz w:val="24"/>
          <w:szCs w:val="24"/>
        </w:rPr>
        <w:t>g, detection and consolidation of all possible data sources that are related to the EU funding under the remit of the relevant IBs</w:t>
      </w:r>
      <w:r>
        <w:rPr>
          <w:rFonts w:ascii="Times New Roman" w:eastAsia="Times New Roman" w:hAnsi="Times New Roman" w:cs="Times New Roman"/>
          <w:noProof/>
          <w:sz w:val="24"/>
          <w:szCs w:val="24"/>
        </w:rPr>
        <w:t xml:space="preserve">. The data collection and consolidation will heavily rely on synergies and interoperability between the different information </w:t>
      </w:r>
      <w:r>
        <w:rPr>
          <w:rFonts w:ascii="Times New Roman" w:eastAsia="Times New Roman" w:hAnsi="Times New Roman" w:cs="Times New Roman"/>
          <w:noProof/>
          <w:sz w:val="24"/>
          <w:szCs w:val="24"/>
        </w:rPr>
        <w:t xml:space="preserve">systems, as well as the use of the new OpenPEPPOL protocol, as explained above. </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Legal empowerment and administrative capacity of control function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Roles and responsibilities of the actors for controls and audits are clear, relevant control functions are ap</w:t>
      </w:r>
      <w:r>
        <w:rPr>
          <w:rFonts w:ascii="Times New Roman" w:eastAsia="Times New Roman" w:hAnsi="Times New Roman" w:cs="Times New Roman"/>
          <w:b/>
          <w:bCs/>
          <w:noProof/>
          <w:sz w:val="24"/>
          <w:szCs w:val="24"/>
        </w:rPr>
        <w:t xml:space="preserve">propriately segregated and the independence of actors performing audits is ensured. </w:t>
      </w:r>
      <w:r>
        <w:rPr>
          <w:rFonts w:ascii="Times New Roman" w:eastAsia="Times New Roman" w:hAnsi="Times New Roman" w:cs="Times New Roman"/>
          <w:noProof/>
          <w:sz w:val="24"/>
          <w:szCs w:val="24"/>
        </w:rPr>
        <w:t xml:space="preserve">The Recovery and Resilience Facility Coordination Agency is an independent special public service under the Minister of Finance, set up according to the Law 4738/2020, and </w:t>
      </w:r>
      <w:r>
        <w:rPr>
          <w:rFonts w:ascii="Times New Roman" w:eastAsia="Times New Roman" w:hAnsi="Times New Roman" w:cs="Times New Roman"/>
          <w:noProof/>
          <w:sz w:val="24"/>
          <w:szCs w:val="24"/>
        </w:rPr>
        <w:t xml:space="preserve">constitutes the lead national body tasked with the overall coordination and monitoring of the recovery and resilience plan. Regarding the Audit Authority, the mandate of EDEL to audit the plan will be provided in a dedicated national legal act, which will </w:t>
      </w:r>
      <w:r>
        <w:rPr>
          <w:rFonts w:ascii="Times New Roman" w:eastAsia="Times New Roman" w:hAnsi="Times New Roman" w:cs="Times New Roman"/>
          <w:noProof/>
          <w:sz w:val="24"/>
          <w:szCs w:val="24"/>
        </w:rPr>
        <w:t>include all involved actors, as well as management and control system responsibilities and procedures. It is indicated that the Recovery and Resilience Facility Coordination Agency will have 40 staff positions in total that will be covered mainly (at least</w:t>
      </w:r>
      <w:r>
        <w:rPr>
          <w:rFonts w:ascii="Times New Roman" w:eastAsia="Times New Roman" w:hAnsi="Times New Roman" w:cs="Times New Roman"/>
          <w:noProof/>
          <w:sz w:val="24"/>
          <w:szCs w:val="24"/>
        </w:rPr>
        <w:t xml:space="preserve"> by 50 percent) by permanent staff of the Public Sector, consisting of 29 University Education, 4 Technological Education and 5 Secondary Education employees. The organizational structure and responsibilities of the Recovery and Resilience Facility Coordin</w:t>
      </w:r>
      <w:r>
        <w:rPr>
          <w:rFonts w:ascii="Times New Roman" w:eastAsia="Times New Roman" w:hAnsi="Times New Roman" w:cs="Times New Roman"/>
          <w:noProof/>
          <w:sz w:val="24"/>
          <w:szCs w:val="24"/>
        </w:rPr>
        <w:t>ation Agency may be amended to fully reflect the processes of the Management Control System, as soon as it is finalized, but the current staffing plan gives reasonable assurance of the administrative capacity of the Recovery and Resilience Facility Coordin</w:t>
      </w:r>
      <w:r>
        <w:rPr>
          <w:rFonts w:ascii="Times New Roman" w:eastAsia="Times New Roman" w:hAnsi="Times New Roman" w:cs="Times New Roman"/>
          <w:noProof/>
          <w:sz w:val="24"/>
          <w:szCs w:val="24"/>
        </w:rPr>
        <w:t xml:space="preserve">ation Agency.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necessary legislative arrangements in the organizational structure of EDEL will be made</w:t>
      </w:r>
      <w:r>
        <w:rPr>
          <w:rFonts w:ascii="Times New Roman" w:eastAsia="Times New Roman" w:hAnsi="Times New Roman" w:cs="Times New Roman"/>
          <w:noProof/>
          <w:sz w:val="24"/>
          <w:szCs w:val="24"/>
        </w:rPr>
        <w:t xml:space="preserve"> to </w:t>
      </w:r>
      <w:r>
        <w:rPr>
          <w:rFonts w:ascii="Times New Roman" w:eastAsia="Times New Roman" w:hAnsi="Times New Roman" w:cs="Times New Roman"/>
          <w:b/>
          <w:bCs/>
          <w:noProof/>
          <w:sz w:val="24"/>
          <w:szCs w:val="24"/>
        </w:rPr>
        <w:t>establish a new dedicated Unit</w:t>
      </w:r>
      <w:r>
        <w:rPr>
          <w:rFonts w:ascii="Times New Roman" w:eastAsia="Times New Roman" w:hAnsi="Times New Roman" w:cs="Times New Roman"/>
          <w:noProof/>
          <w:sz w:val="24"/>
          <w:szCs w:val="24"/>
        </w:rPr>
        <w:t xml:space="preserve"> within the General Directorate for the Audits of Co-financed Programs, under the Financial Audit Committee. For thi</w:t>
      </w:r>
      <w:r>
        <w:rPr>
          <w:rFonts w:ascii="Times New Roman" w:eastAsia="Times New Roman" w:hAnsi="Times New Roman" w:cs="Times New Roman"/>
          <w:noProof/>
          <w:sz w:val="24"/>
          <w:szCs w:val="24"/>
        </w:rPr>
        <w:t>s new Unit, additional dedicated staff positions will be foreseen, although the amount of staff is not clearly indicated. It is foreseen that the positions will be covered by transferring staff from existing positions of the General Directorate or from oth</w:t>
      </w:r>
      <w:r>
        <w:rPr>
          <w:rFonts w:ascii="Times New Roman" w:eastAsia="Times New Roman" w:hAnsi="Times New Roman" w:cs="Times New Roman"/>
          <w:noProof/>
          <w:sz w:val="24"/>
          <w:szCs w:val="24"/>
        </w:rPr>
        <w:t>er units of the Ministry of Finance, as well as by secondment from other services and entities of the General Government. The option of outsourcing some of the audit tasks is also foreseen.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pending mandate of EDEL to audit the recovery and resilience p</w:t>
      </w:r>
      <w:r>
        <w:rPr>
          <w:rFonts w:ascii="Times New Roman" w:eastAsia="Times New Roman" w:hAnsi="Times New Roman" w:cs="Times New Roman"/>
          <w:b/>
          <w:bCs/>
          <w:noProof/>
          <w:sz w:val="24"/>
          <w:szCs w:val="24"/>
        </w:rPr>
        <w:t xml:space="preserve">lan, which will only be provided by a dedicated national legal act for the implementation of the Recovery and Resilience Facility, upon approval of the recovery and resilience plan is a shortcoming. </w:t>
      </w:r>
      <w:r>
        <w:rPr>
          <w:rFonts w:ascii="Times New Roman" w:eastAsia="Times New Roman" w:hAnsi="Times New Roman" w:cs="Times New Roman"/>
          <w:noProof/>
          <w:sz w:val="24"/>
          <w:szCs w:val="24"/>
        </w:rPr>
        <w:t xml:space="preserve">This shortcoming is addressed through the implementation </w:t>
      </w:r>
      <w:r>
        <w:rPr>
          <w:rFonts w:ascii="Times New Roman" w:eastAsia="Times New Roman" w:hAnsi="Times New Roman" w:cs="Times New Roman"/>
          <w:noProof/>
          <w:sz w:val="24"/>
          <w:szCs w:val="24"/>
        </w:rPr>
        <w:t>of a dedicated milestone.</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chapter on audit and control gives a complete description of the arrangements for the implementation and control of the plan in Greece</w:t>
      </w:r>
      <w:r>
        <w:rPr>
          <w:rFonts w:ascii="Times New Roman" w:eastAsia="Times New Roman" w:hAnsi="Times New Roman" w:cs="Times New Roman"/>
          <w:noProof/>
          <w:sz w:val="24"/>
          <w:szCs w:val="24"/>
        </w:rPr>
        <w:t>. At plan level, the report is very detailed and gives the Commission reasonable assurance t</w:t>
      </w:r>
      <w:r>
        <w:rPr>
          <w:rFonts w:ascii="Times New Roman" w:eastAsia="Times New Roman" w:hAnsi="Times New Roman" w:cs="Times New Roman"/>
          <w:noProof/>
          <w:sz w:val="24"/>
          <w:szCs w:val="24"/>
        </w:rPr>
        <w:t xml:space="preserve">hat there is a sound structure in place to monitor and implement the allocated funds from the RRF. </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i/>
          <w:iCs/>
          <w:noProof/>
          <w:sz w:val="24"/>
          <w:szCs w:val="24"/>
        </w:rPr>
        <w:t>The arrangements proposed by Greece in the recovery and resilience plan to prevent, detect and correct corruption, fraud and conflicts of interes</w:t>
      </w:r>
      <w:r>
        <w:rPr>
          <w:rFonts w:ascii="Times New Roman" w:eastAsia="Times New Roman" w:hAnsi="Times New Roman" w:cs="Times New Roman"/>
          <w:i/>
          <w:iCs/>
          <w:noProof/>
          <w:sz w:val="24"/>
          <w:szCs w:val="24"/>
        </w:rPr>
        <w:t xml:space="preserve">t when using the funds provided under the Facility, including the arrangements aimed to avoid double funding from the Facility and other Union programmes, are assessed to be adequate, provided that the pending issues are addressed before the first payment </w:t>
      </w:r>
      <w:r>
        <w:rPr>
          <w:rFonts w:ascii="Times New Roman" w:eastAsia="Times New Roman" w:hAnsi="Times New Roman" w:cs="Times New Roman"/>
          <w:i/>
          <w:iCs/>
          <w:noProof/>
          <w:sz w:val="24"/>
          <w:szCs w:val="24"/>
        </w:rPr>
        <w:t xml:space="preserve">request, through </w:t>
      </w:r>
      <w:r>
        <w:rPr>
          <w:rFonts w:ascii="Times New Roman" w:eastAsia="Times New Roman" w:hAnsi="Times New Roman" w:cs="Times New Roman"/>
          <w:i/>
          <w:noProof/>
          <w:sz w:val="24"/>
          <w:szCs w:val="24"/>
        </w:rPr>
        <w:t>the dedicated milestone. This would warra</w:t>
      </w:r>
      <w:r>
        <w:rPr>
          <w:rFonts w:ascii="Times New Roman" w:eastAsia="Times New Roman" w:hAnsi="Times New Roman" w:cs="Times New Roman"/>
          <w:i/>
          <w:iCs/>
          <w:noProof/>
          <w:sz w:val="24"/>
          <w:szCs w:val="24"/>
        </w:rPr>
        <w:t>nt a rating of A under the assessment criterion 2.10 of Annex V to the RRF Regulation</w:t>
      </w:r>
      <w:r>
        <w:rPr>
          <w:rFonts w:ascii="Times New Roman" w:eastAsia="Times New Roman" w:hAnsi="Times New Roman" w:cs="Times New Roman"/>
          <w:noProof/>
          <w:sz w:val="24"/>
          <w:szCs w:val="24"/>
        </w:rPr>
        <w:t>.</w:t>
      </w:r>
    </w:p>
    <w:p w:rsidR="00176373" w:rsidRDefault="00E474D1">
      <w:pPr>
        <w:pStyle w:val="Heading2"/>
        <w:numPr>
          <w:ilvl w:val="1"/>
          <w:numId w:val="10"/>
        </w:numPr>
        <w:rPr>
          <w:i/>
          <w:noProof/>
        </w:rPr>
      </w:pPr>
      <w:bookmarkStart w:id="559" w:name="_Toc66388723"/>
      <w:bookmarkStart w:id="560" w:name="_Toc66388724"/>
      <w:bookmarkStart w:id="561" w:name="_Toc66388725"/>
      <w:bookmarkStart w:id="562" w:name="_Toc66388726"/>
      <w:bookmarkStart w:id="563" w:name="_Toc62817740"/>
      <w:bookmarkStart w:id="564" w:name="_Toc62820937"/>
      <w:bookmarkStart w:id="565" w:name="_Toc62455210"/>
      <w:bookmarkStart w:id="566" w:name="_Toc72326501"/>
      <w:bookmarkStart w:id="567" w:name="_Toc72326532"/>
      <w:bookmarkStart w:id="568" w:name="_Toc74305334"/>
      <w:bookmarkStart w:id="569" w:name="_Toc62818233"/>
      <w:bookmarkStart w:id="570" w:name="_Toc62818780"/>
      <w:bookmarkStart w:id="571" w:name="_Toc63417229"/>
      <w:bookmarkStart w:id="572" w:name="_Toc63418919"/>
      <w:bookmarkStart w:id="573" w:name="_Toc63418944"/>
      <w:bookmarkStart w:id="574" w:name="_Toc64281630"/>
      <w:bookmarkStart w:id="575" w:name="_Toc71665342"/>
      <w:bookmarkStart w:id="576" w:name="_Toc71740471"/>
      <w:bookmarkStart w:id="577" w:name="_Toc71792466"/>
      <w:bookmarkStart w:id="578" w:name="_Toc72158517"/>
      <w:bookmarkStart w:id="579" w:name="_Toc72170720"/>
      <w:bookmarkStart w:id="580" w:name="_Toc72176848"/>
      <w:bookmarkStart w:id="581" w:name="_Toc72179419"/>
      <w:bookmarkStart w:id="582" w:name="_Toc72176057"/>
      <w:bookmarkStart w:id="583" w:name="_Toc72181730"/>
      <w:bookmarkStart w:id="584" w:name="_Toc72178579"/>
      <w:bookmarkStart w:id="585" w:name="_Toc72182466"/>
      <w:bookmarkStart w:id="586" w:name="_Toc72183463"/>
      <w:bookmarkStart w:id="587" w:name="_Toc72187277"/>
      <w:bookmarkEnd w:id="559"/>
      <w:bookmarkEnd w:id="560"/>
      <w:bookmarkEnd w:id="561"/>
      <w:bookmarkEnd w:id="562"/>
      <w:bookmarkEnd w:id="563"/>
      <w:bookmarkEnd w:id="564"/>
      <w:r>
        <w:rPr>
          <w:noProof/>
        </w:rPr>
        <w:t>Coherence</w:t>
      </w:r>
      <w:bookmarkEnd w:id="565"/>
      <w:bookmarkEnd w:id="566"/>
      <w:bookmarkEnd w:id="567"/>
      <w:bookmarkEnd w:id="568"/>
      <w:r>
        <w:rPr>
          <w:noProof/>
        </w:rPr>
        <w:t xml:space="preserve"> </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Mutually-reinforcing measures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 xml:space="preserve">The recovery and resilience plan is based on the comprehensive </w:t>
      </w:r>
      <w:r>
        <w:rPr>
          <w:rFonts w:ascii="Times New Roman" w:eastAsia="Times New Roman" w:hAnsi="Times New Roman" w:cs="Times New Roman"/>
          <w:b/>
          <w:bCs/>
          <w:noProof/>
          <w:sz w:val="24"/>
          <w:szCs w:val="24"/>
        </w:rPr>
        <w:t>Development Plan for the Greek economy, which ensures its coherence towards contributing to smart, inclusive and sustainable economic development.</w:t>
      </w:r>
      <w:r>
        <w:rPr>
          <w:rFonts w:ascii="Times New Roman" w:eastAsia="Times New Roman" w:hAnsi="Times New Roman" w:cs="Times New Roman"/>
          <w:noProof/>
          <w:sz w:val="24"/>
          <w:szCs w:val="24"/>
        </w:rPr>
        <w:t xml:space="preserve"> It is structured around four main pillars (“Green Transition”, “Digital Transformation”, “Employment, skills </w:t>
      </w:r>
      <w:r>
        <w:rPr>
          <w:rFonts w:ascii="Times New Roman" w:eastAsia="Times New Roman" w:hAnsi="Times New Roman" w:cs="Times New Roman"/>
          <w:noProof/>
          <w:sz w:val="24"/>
          <w:szCs w:val="24"/>
        </w:rPr>
        <w:t xml:space="preserve">and social cohesion”, “Private Investments and Transformation of the economy”), which include measures that are mutually reinforcing, as they are supposed to generate synergies when implemented. </w:t>
      </w:r>
    </w:p>
    <w:p w:rsidR="00176373" w:rsidRDefault="00E474D1">
      <w:pPr>
        <w:jc w:val="both"/>
        <w:rPr>
          <w:rFonts w:ascii="Calibri" w:eastAsia="Calibri" w:hAnsi="Calibri" w:cs="Calibri"/>
          <w:noProof/>
        </w:rPr>
      </w:pPr>
      <w:r>
        <w:rPr>
          <w:rFonts w:ascii="Times New Roman" w:eastAsia="Times New Roman" w:hAnsi="Times New Roman" w:cs="Times New Roman"/>
          <w:b/>
          <w:bCs/>
          <w:noProof/>
          <w:sz w:val="24"/>
          <w:szCs w:val="24"/>
        </w:rPr>
        <w:t>The measures from the green and digital transition part of t</w:t>
      </w:r>
      <w:r>
        <w:rPr>
          <w:rFonts w:ascii="Times New Roman" w:eastAsia="Times New Roman" w:hAnsi="Times New Roman" w:cs="Times New Roman"/>
          <w:b/>
          <w:bCs/>
          <w:noProof/>
          <w:sz w:val="24"/>
          <w:szCs w:val="24"/>
        </w:rPr>
        <w:t>he plan are highly interlinked.</w:t>
      </w:r>
      <w:r>
        <w:rPr>
          <w:rFonts w:ascii="Times New Roman" w:eastAsia="Times New Roman" w:hAnsi="Times New Roman" w:cs="Times New Roman"/>
          <w:noProof/>
          <w:sz w:val="24"/>
          <w:szCs w:val="24"/>
        </w:rPr>
        <w:t xml:space="preserve"> They contain measures related to the digital transformation, which are key enablers for the green and circular transition of the Greek economy. For example, measures under the component 2.3, i.e. digitalisation of businesses</w:t>
      </w:r>
      <w:r>
        <w:rPr>
          <w:rFonts w:ascii="Times New Roman" w:eastAsia="Times New Roman" w:hAnsi="Times New Roman" w:cs="Times New Roman"/>
          <w:noProof/>
          <w:sz w:val="24"/>
          <w:szCs w:val="24"/>
        </w:rPr>
        <w:t>, focuses on increasing the digital maturity of businesses by creating a digital infrastructure through funding and digital awareness schemes, which will also facilitate implementation of the measures under the green transition, for example electrification</w:t>
      </w:r>
      <w:r>
        <w:rPr>
          <w:rFonts w:ascii="Times New Roman" w:eastAsia="Times New Roman" w:hAnsi="Times New Roman" w:cs="Times New Roman"/>
          <w:noProof/>
          <w:sz w:val="24"/>
          <w:szCs w:val="24"/>
        </w:rPr>
        <w:t xml:space="preserve"> of the transport sector). Similarly, the inclusion of climate-related and sustainability criteria from the green transition pillar will enable deployment of digital technologies and contribute to the digital transition.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third pillar on employment, ski</w:t>
      </w:r>
      <w:r>
        <w:rPr>
          <w:rFonts w:ascii="Times New Roman" w:eastAsia="Times New Roman" w:hAnsi="Times New Roman" w:cs="Times New Roman"/>
          <w:b/>
          <w:bCs/>
          <w:noProof/>
          <w:sz w:val="24"/>
          <w:szCs w:val="24"/>
        </w:rPr>
        <w:t>lls and social cohesion includes measures ensuring that digital and green transitions will be fair across different parts of the Greek society</w:t>
      </w:r>
      <w:r>
        <w:rPr>
          <w:rFonts w:ascii="Times New Roman" w:eastAsia="Times New Roman" w:hAnsi="Times New Roman" w:cs="Times New Roman"/>
          <w:noProof/>
          <w:sz w:val="24"/>
          <w:szCs w:val="24"/>
        </w:rPr>
        <w:t>, by prioritising sustainable job creation, improvement of the education system and skills, and the provision of h</w:t>
      </w:r>
      <w:r>
        <w:rPr>
          <w:rFonts w:ascii="Times New Roman" w:eastAsia="Times New Roman" w:hAnsi="Times New Roman" w:cs="Times New Roman"/>
          <w:noProof/>
          <w:sz w:val="24"/>
          <w:szCs w:val="24"/>
        </w:rPr>
        <w:t xml:space="preserve">igh quality and effective health and social care services. </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fourth pillar presents measures for boosting competitiveness and innovation</w:t>
      </w:r>
      <w:r>
        <w:rPr>
          <w:rFonts w:ascii="Times New Roman" w:eastAsia="Times New Roman" w:hAnsi="Times New Roman" w:cs="Times New Roman"/>
          <w:noProof/>
          <w:sz w:val="24"/>
          <w:szCs w:val="24"/>
        </w:rPr>
        <w:t xml:space="preserve"> by mobilising private and public investment and setting up institutional frameworks, which will enable the digital a</w:t>
      </w:r>
      <w:r>
        <w:rPr>
          <w:rFonts w:ascii="Times New Roman" w:eastAsia="Times New Roman" w:hAnsi="Times New Roman" w:cs="Times New Roman"/>
          <w:noProof/>
          <w:sz w:val="24"/>
          <w:szCs w:val="24"/>
        </w:rPr>
        <w:t>nd green transition to materialise in Greece.</w:t>
      </w:r>
    </w:p>
    <w:p w:rsidR="00176373" w:rsidRDefault="00E474D1">
      <w:pPr>
        <w:keepNext/>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Complementarity</w:t>
      </w:r>
      <w:r>
        <w:rPr>
          <w:rFonts w:ascii="Times New Roman" w:hAnsi="Times New Roman"/>
          <w:i/>
          <w:iCs/>
          <w:noProof/>
          <w:sz w:val="24"/>
          <w:szCs w:val="24"/>
        </w:rPr>
        <w:t xml:space="preserve"> of </w:t>
      </w:r>
      <w:r>
        <w:rPr>
          <w:rFonts w:ascii="Times New Roman" w:eastAsia="Times New Roman" w:hAnsi="Times New Roman" w:cs="Times New Roman"/>
          <w:i/>
          <w:iCs/>
          <w:noProof/>
          <w:sz w:val="24"/>
          <w:szCs w:val="24"/>
        </w:rPr>
        <w:t>measures</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plan is coherent and exploits complementarity between measures and between components.</w:t>
      </w:r>
      <w:r>
        <w:rPr>
          <w:rFonts w:ascii="Times New Roman" w:eastAsia="Times New Roman" w:hAnsi="Times New Roman" w:cs="Times New Roman"/>
          <w:noProof/>
          <w:sz w:val="24"/>
          <w:szCs w:val="24"/>
        </w:rPr>
        <w:t xml:space="preserve"> The </w:t>
      </w:r>
      <w:r>
        <w:rPr>
          <w:rFonts w:ascii="Times New Roman" w:eastAsia="Times New Roman" w:hAnsi="Times New Roman" w:cs="Times New Roman"/>
          <w:noProof/>
          <w:sz w:val="24"/>
          <w:szCs w:val="24"/>
          <w:lang w:val="en-IE"/>
        </w:rPr>
        <w:t xml:space="preserve">plan builds upon and is consistent with the comprehensive Development Plan for </w:t>
      </w:r>
      <w:r>
        <w:rPr>
          <w:rFonts w:ascii="Times New Roman" w:eastAsia="Times New Roman" w:hAnsi="Times New Roman" w:cs="Times New Roman"/>
          <w:noProof/>
          <w:sz w:val="24"/>
          <w:szCs w:val="24"/>
          <w:lang w:val="en-IE"/>
        </w:rPr>
        <w:t>the Greek economy, prepared in 2020 by a committee led by the Nobel laureate, Professor Pissarides.</w:t>
      </w:r>
      <w:r>
        <w:rPr>
          <w:rFonts w:ascii="Times New Roman" w:eastAsia="Times New Roman" w:hAnsi="Times New Roman" w:cs="Times New Roman"/>
          <w:noProof/>
          <w:sz w:val="24"/>
          <w:szCs w:val="24"/>
        </w:rPr>
        <w:t xml:space="preserve"> Measures are carefully designed to satisfy the fulfilment of the country-specific recommendations. In order to promote wider coherence across instruments, n</w:t>
      </w:r>
      <w:r>
        <w:rPr>
          <w:rFonts w:ascii="Times New Roman" w:eastAsia="Times New Roman" w:hAnsi="Times New Roman" w:cs="Times New Roman"/>
          <w:noProof/>
          <w:sz w:val="24"/>
          <w:szCs w:val="24"/>
        </w:rPr>
        <w:t>otably with the European cohesion policy funds, a balanced territorial allocation of resources is encouraged.</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components related to the green transition, such as 1.1, 1.2 and 1.3 reinforce each other and act as complementary reforms and investment as t</w:t>
      </w:r>
      <w:r>
        <w:rPr>
          <w:rFonts w:ascii="Times New Roman" w:eastAsia="Times New Roman" w:hAnsi="Times New Roman" w:cs="Times New Roman"/>
          <w:b/>
          <w:bCs/>
          <w:noProof/>
          <w:sz w:val="24"/>
          <w:szCs w:val="24"/>
        </w:rPr>
        <w:t>hey jointly contribute to the energy transition</w:t>
      </w:r>
      <w:r>
        <w:rPr>
          <w:rFonts w:ascii="Times New Roman" w:eastAsia="Times New Roman" w:hAnsi="Times New Roman" w:cs="Times New Roman"/>
          <w:noProof/>
          <w:sz w:val="24"/>
          <w:szCs w:val="24"/>
        </w:rPr>
        <w:t>. The objective of these measures is on the one hand, producing cleaner energy and on the other, saving on the final consumption of the energy, while ensuring EU climate and energy goals by 2030. The aim of th</w:t>
      </w:r>
      <w:r>
        <w:rPr>
          <w:rFonts w:ascii="Times New Roman" w:eastAsia="Times New Roman" w:hAnsi="Times New Roman" w:cs="Times New Roman"/>
          <w:noProof/>
          <w:sz w:val="24"/>
          <w:szCs w:val="24"/>
        </w:rPr>
        <w:t>e reforms of component 1.1 – “Power up” - is to contribute to the climate and energy plans through investments and reforms that intend to accelerate the development of renewables as well as their integration through upgraded networks and enhanced interconn</w:t>
      </w:r>
      <w:r>
        <w:rPr>
          <w:rFonts w:ascii="Times New Roman" w:eastAsia="Times New Roman" w:hAnsi="Times New Roman" w:cs="Times New Roman"/>
          <w:noProof/>
          <w:sz w:val="24"/>
          <w:szCs w:val="24"/>
        </w:rPr>
        <w:t>ectivity. All this is complementary to the sustainable development of the Greek economy, contributing to healthier and cleaner future for the Greek society. The reforms and investments of “Renovate” under component 1.2 aim to increase energy efficiency and</w:t>
      </w:r>
      <w:r>
        <w:rPr>
          <w:rFonts w:ascii="Times New Roman" w:eastAsia="Times New Roman" w:hAnsi="Times New Roman" w:cs="Times New Roman"/>
          <w:noProof/>
          <w:sz w:val="24"/>
          <w:szCs w:val="24"/>
        </w:rPr>
        <w:t xml:space="preserve"> increase the energy performance of the building sector, and are coherent with enhancing economic growth, creating job opportunities and promoting social resilience. The reform “Energy Poverty Action Plan” is linked with the investment “Energy renovation o</w:t>
      </w:r>
      <w:r>
        <w:rPr>
          <w:rFonts w:ascii="Times New Roman" w:eastAsia="Times New Roman" w:hAnsi="Times New Roman" w:cs="Times New Roman"/>
          <w:noProof/>
          <w:sz w:val="24"/>
          <w:szCs w:val="24"/>
        </w:rPr>
        <w:t>n residential buildings” as it aims to provide a framework for the energy upgrade of the residential buildings of energy-vulnerable households and other social groups. The reforms and investments of “Recharge &amp; Refuel” under component 1.3 aim to increase s</w:t>
      </w:r>
      <w:r>
        <w:rPr>
          <w:rFonts w:ascii="Times New Roman" w:eastAsia="Times New Roman" w:hAnsi="Times New Roman" w:cs="Times New Roman"/>
          <w:noProof/>
          <w:sz w:val="24"/>
          <w:szCs w:val="24"/>
        </w:rPr>
        <w:t>ustainable mobility, enhance economic growth, create job opportunities and promote social resilience. The reform “E-mobility - Framework for installation and operation of EV charging” is linked with the investment “Electromobility” aiming to provide legisl</w:t>
      </w:r>
      <w:r>
        <w:rPr>
          <w:rFonts w:ascii="Times New Roman" w:eastAsia="Times New Roman" w:hAnsi="Times New Roman" w:cs="Times New Roman"/>
          <w:noProof/>
          <w:sz w:val="24"/>
          <w:szCs w:val="24"/>
        </w:rPr>
        <w:t>ative amendments towards the electrification of the Greek transportation sector. The reforms and investments from component 1.4 on “Sustainable use of resources, climate resilience and environmental protection” aim to improve sustainable management and are</w:t>
      </w:r>
      <w:r>
        <w:rPr>
          <w:rFonts w:ascii="Times New Roman" w:eastAsia="Times New Roman" w:hAnsi="Times New Roman" w:cs="Times New Roman"/>
          <w:noProof/>
          <w:sz w:val="24"/>
          <w:szCs w:val="24"/>
        </w:rPr>
        <w:t xml:space="preserve"> coherent with the protection of natural environment, the development of the circular economy and the enhancement of civil protection.</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The Greek plan also presents measures for the digital transition under components 2.1, 2.2 and 2.3, which are complementa</w:t>
      </w:r>
      <w:r>
        <w:rPr>
          <w:rFonts w:ascii="Times New Roman" w:eastAsia="Times New Roman" w:hAnsi="Times New Roman" w:cs="Times New Roman"/>
          <w:b/>
          <w:bCs/>
          <w:noProof/>
          <w:sz w:val="24"/>
          <w:szCs w:val="24"/>
        </w:rPr>
        <w:t>ry to the measures under the public administration (component 4.2), research and innovation (component 4.5), as well as modernising key economic sectors (component 4.6) components.</w:t>
      </w:r>
      <w:r>
        <w:rPr>
          <w:rFonts w:ascii="Times New Roman" w:eastAsia="Times New Roman" w:hAnsi="Times New Roman" w:cs="Times New Roman"/>
          <w:noProof/>
          <w:sz w:val="24"/>
          <w:szCs w:val="24"/>
        </w:rPr>
        <w:t xml:space="preserve"> Measures linked to digital transformation reforms and investments, together</w:t>
      </w:r>
      <w:r>
        <w:rPr>
          <w:rFonts w:ascii="Times New Roman" w:eastAsia="Times New Roman" w:hAnsi="Times New Roman" w:cs="Times New Roman"/>
          <w:noProof/>
          <w:sz w:val="24"/>
          <w:szCs w:val="24"/>
        </w:rPr>
        <w:t xml:space="preserve"> with simplified taxation system are also coherent and consistent with the better and more functional justice system (component 4.3) and strengthening the financial sector and capital markets under component 4.4. Measures and investment under the former tw</w:t>
      </w:r>
      <w:r>
        <w:rPr>
          <w:rFonts w:ascii="Times New Roman" w:eastAsia="Times New Roman" w:hAnsi="Times New Roman" w:cs="Times New Roman"/>
          <w:noProof/>
          <w:sz w:val="24"/>
          <w:szCs w:val="24"/>
        </w:rPr>
        <w:t xml:space="preserve">o components will contribute to improved business environment, creating friendlier conditions for the investors and companies by modernising procedures and institutional frameworks. Component 2.1 “Connect” presents the necessary reforms for the transition </w:t>
      </w:r>
      <w:r>
        <w:rPr>
          <w:rFonts w:ascii="Times New Roman" w:eastAsia="Times New Roman" w:hAnsi="Times New Roman" w:cs="Times New Roman"/>
          <w:noProof/>
          <w:sz w:val="24"/>
          <w:szCs w:val="24"/>
        </w:rPr>
        <w:t>to fast broadband connections and pave the road towards 5G technology; and components 2.2 and 2.3 aim to modernise the Greek public sector by improving its operational model, and achieving the provision of enhanced, quality services to citizens and busines</w:t>
      </w:r>
      <w:r>
        <w:rPr>
          <w:rFonts w:ascii="Times New Roman" w:eastAsia="Times New Roman" w:hAnsi="Times New Roman" w:cs="Times New Roman"/>
          <w:noProof/>
          <w:sz w:val="24"/>
          <w:szCs w:val="24"/>
        </w:rPr>
        <w:t>ses. These measures coherently contribute to the digital transformation of the public sector and SMEs, improving business process, increasing interoperability of systems and data, ensuring cybersecurity and extending the use of advanced technologies such a</w:t>
      </w:r>
      <w:r>
        <w:rPr>
          <w:rFonts w:ascii="Times New Roman" w:eastAsia="Times New Roman" w:hAnsi="Times New Roman" w:cs="Times New Roman"/>
          <w:noProof/>
          <w:sz w:val="24"/>
          <w:szCs w:val="24"/>
        </w:rPr>
        <w:t>s cloud computing and big data. Socio-economic policies and measures, related to the labour market (component 3.1), job creation and education, training and skills (component 3.2), are complementary and go hand in hand with the green and digital transition</w:t>
      </w:r>
      <w:r>
        <w:rPr>
          <w:rFonts w:ascii="Times New Roman" w:eastAsia="Times New Roman" w:hAnsi="Times New Roman" w:cs="Times New Roman"/>
          <w:noProof/>
          <w:sz w:val="24"/>
          <w:szCs w:val="24"/>
        </w:rPr>
        <w:t>. For instance, there are measures promoting digital skills and training on green transition, such as on circular economy. Those will notably create new job opportunities and demand new skilled and educated citizens, which are issues covered with the measu</w:t>
      </w:r>
      <w:r>
        <w:rPr>
          <w:rFonts w:ascii="Times New Roman" w:eastAsia="Times New Roman" w:hAnsi="Times New Roman" w:cs="Times New Roman"/>
          <w:noProof/>
          <w:sz w:val="24"/>
          <w:szCs w:val="24"/>
        </w:rPr>
        <w:t>res under the respective components under pillar 3.</w:t>
      </w:r>
    </w:p>
    <w:p w:rsidR="00176373" w:rsidRDefault="00E474D1">
      <w:pPr>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Measures and policies from the digital transition and modernising business environment, improving competitiveness and promoting private investment are expected to create sustainable and better growth pros</w:t>
      </w:r>
      <w:r>
        <w:rPr>
          <w:rFonts w:ascii="Times New Roman" w:eastAsia="Times New Roman" w:hAnsi="Times New Roman" w:cs="Times New Roman"/>
          <w:b/>
          <w:bCs/>
          <w:noProof/>
          <w:sz w:val="24"/>
          <w:szCs w:val="24"/>
        </w:rPr>
        <w:t xml:space="preserve">pects. </w:t>
      </w:r>
      <w:r>
        <w:rPr>
          <w:rFonts w:ascii="Times New Roman" w:eastAsia="Times New Roman" w:hAnsi="Times New Roman" w:cs="Times New Roman"/>
          <w:noProof/>
          <w:sz w:val="24"/>
          <w:szCs w:val="24"/>
        </w:rPr>
        <w:t>They are also coherent with the health and social measures presented in the plan. Here it is worth mentioning the final component 4.7, which seeks to reform the Greek business environment, and is paired with the provision of the relevant financial i</w:t>
      </w:r>
      <w:r>
        <w:rPr>
          <w:rFonts w:ascii="Times New Roman" w:eastAsia="Times New Roman" w:hAnsi="Times New Roman" w:cs="Times New Roman"/>
          <w:noProof/>
          <w:sz w:val="24"/>
          <w:szCs w:val="24"/>
        </w:rPr>
        <w:t>ncentives for private investment. Those will simplify the business environment and upgrade its quality and safety, while at the same time ensuring targeted interventions, a business-friendly ecosystem and the reduction of administrative costs. They are com</w:t>
      </w:r>
      <w:r>
        <w:rPr>
          <w:rFonts w:ascii="Times New Roman" w:eastAsia="Times New Roman" w:hAnsi="Times New Roman" w:cs="Times New Roman"/>
          <w:noProof/>
          <w:sz w:val="24"/>
          <w:szCs w:val="24"/>
        </w:rPr>
        <w:t xml:space="preserve">plemented with financial incentives for private investments (the loans from the Recovery and Resilience Facility, utilised in ways that are compatible with fiscal sustainability and limit exposure to taxpayers) that will be used to promote investment with </w:t>
      </w:r>
      <w:r>
        <w:rPr>
          <w:rFonts w:ascii="Times New Roman" w:eastAsia="Times New Roman" w:hAnsi="Times New Roman" w:cs="Times New Roman"/>
          <w:noProof/>
          <w:sz w:val="24"/>
          <w:szCs w:val="24"/>
        </w:rPr>
        <w:t xml:space="preserve">eligibility firmly grounded on economic foundations, including the green and digital economic transition. </w:t>
      </w:r>
    </w:p>
    <w:p w:rsidR="00176373" w:rsidRDefault="00E474D1">
      <w:pPr>
        <w:jc w:val="both"/>
        <w:rPr>
          <w:rFonts w:ascii="Times New Roman" w:eastAsia="Times New Roman" w:hAnsi="Times New Roman" w:cs="Times New Roman"/>
          <w:i/>
          <w:noProof/>
          <w:sz w:val="24"/>
          <w:szCs w:val="24"/>
        </w:rPr>
      </w:pPr>
      <w:r>
        <w:rPr>
          <w:rFonts w:ascii="Times New Roman" w:eastAsia="Times New Roman" w:hAnsi="Times New Roman" w:cs="Times New Roman"/>
          <w:i/>
          <w:iCs/>
          <w:noProof/>
          <w:sz w:val="24"/>
          <w:szCs w:val="24"/>
        </w:rPr>
        <w:t>Conclusion</w:t>
      </w:r>
    </w:p>
    <w:p w:rsidR="00176373" w:rsidRDefault="00E474D1">
      <w:pPr>
        <w:jc w:val="both"/>
        <w:rPr>
          <w:rFonts w:eastAsia="Times New Roman"/>
          <w:noProof/>
          <w:color w:val="000000" w:themeColor="text1"/>
          <w:u w:val="single"/>
        </w:rPr>
      </w:pPr>
      <w:r>
        <w:rPr>
          <w:rFonts w:ascii="Times New Roman" w:eastAsia="Times New Roman" w:hAnsi="Times New Roman" w:cs="Times New Roman"/>
          <w:i/>
          <w:iCs/>
          <w:noProof/>
          <w:sz w:val="24"/>
          <w:szCs w:val="24"/>
        </w:rPr>
        <w:t>Taking into consideration the qualitative assessment of all components of Greece´s recovery and resilience plan, their individual weight (</w:t>
      </w:r>
      <w:r>
        <w:rPr>
          <w:rFonts w:ascii="Times New Roman" w:eastAsia="Times New Roman" w:hAnsi="Times New Roman" w:cs="Times New Roman"/>
          <w:i/>
          <w:iCs/>
          <w:noProof/>
          <w:sz w:val="24"/>
          <w:szCs w:val="24"/>
        </w:rPr>
        <w:t>importance, relevance, financial allocation) and their interactions, the plan contains measures for the implementation of reforms and public investments which, to a high extent, represent coherent actions. This would warrant a rating of A under the assessm</w:t>
      </w:r>
      <w:r>
        <w:rPr>
          <w:rFonts w:ascii="Times New Roman" w:eastAsia="Times New Roman" w:hAnsi="Times New Roman" w:cs="Times New Roman"/>
          <w:i/>
          <w:iCs/>
          <w:noProof/>
          <w:sz w:val="24"/>
          <w:szCs w:val="24"/>
        </w:rPr>
        <w:t>ent criterion 2.11 of Annex V to the RRF Regulation</w:t>
      </w:r>
      <w:r>
        <w:rPr>
          <w:rFonts w:ascii="Times New Roman" w:eastAsia="Times New Roman" w:hAnsi="Times New Roman" w:cs="Times New Roman"/>
          <w:noProof/>
          <w:sz w:val="24"/>
          <w:szCs w:val="24"/>
        </w:rPr>
        <w:t>.</w:t>
      </w:r>
      <w:bookmarkStart w:id="588" w:name="_Toc62455212"/>
    </w:p>
    <w:bookmarkEnd w:id="588"/>
    <w:p w:rsidR="00176373" w:rsidRDefault="00E474D1">
      <w:pPr>
        <w:rPr>
          <w:noProof/>
          <w:color w:val="FF0000"/>
        </w:rPr>
      </w:pPr>
      <w:r>
        <w:rPr>
          <w:noProof/>
          <w:color w:val="FF0000"/>
        </w:rPr>
        <w:br w:type="page"/>
      </w:r>
    </w:p>
    <w:p w:rsidR="00176373" w:rsidRDefault="00E474D1">
      <w:pPr>
        <w:pStyle w:val="Heading1"/>
        <w:numPr>
          <w:ilvl w:val="0"/>
          <w:numId w:val="10"/>
        </w:numPr>
        <w:rPr>
          <w:noProof/>
        </w:rPr>
      </w:pPr>
      <w:bookmarkStart w:id="589" w:name="_Toc74305335"/>
      <w:r>
        <w:rPr>
          <w:noProof/>
        </w:rPr>
        <w:t>Annex</w:t>
      </w:r>
      <w:bookmarkEnd w:id="589"/>
    </w:p>
    <w:p w:rsidR="00176373" w:rsidRDefault="00E474D1">
      <w:pPr>
        <w:pStyle w:val="paragraph"/>
        <w:keepNext/>
        <w:rPr>
          <w:noProof/>
        </w:rPr>
      </w:pPr>
      <w:r>
        <w:rPr>
          <w:noProof/>
        </w:rPr>
        <w:t>Table 9 Climate tracking and digital tagging</w:t>
      </w:r>
    </w:p>
    <w:p w:rsidR="00176373" w:rsidRDefault="00E474D1">
      <w:pPr>
        <w:pStyle w:val="paragraph"/>
        <w:keepNext/>
        <w:spacing w:before="0" w:beforeAutospacing="0" w:after="0" w:afterAutospacing="0"/>
        <w:rPr>
          <w:i/>
          <w:noProof/>
          <w:sz w:val="20"/>
          <w:szCs w:val="20"/>
        </w:rPr>
      </w:pPr>
      <w:r>
        <w:rPr>
          <w:i/>
          <w:noProof/>
          <w:sz w:val="20"/>
          <w:szCs w:val="20"/>
        </w:rPr>
        <w:t xml:space="preserve">Note: While the total cost of Greece’s Recovery and Resilience Plan exceeds the total allocation of non-repayable financial support and loans to </w:t>
      </w:r>
      <w:r>
        <w:rPr>
          <w:i/>
          <w:noProof/>
          <w:sz w:val="20"/>
          <w:szCs w:val="20"/>
        </w:rPr>
        <w:t>Greece, Greece will ensure that all spending related to the measures mentioned in this table as contributing to climate objectives</w:t>
      </w:r>
      <w:r>
        <w:rPr>
          <w:noProof/>
          <w:color w:val="1F497D"/>
        </w:rPr>
        <w:t xml:space="preserve"> </w:t>
      </w:r>
      <w:r>
        <w:rPr>
          <w:i/>
          <w:noProof/>
          <w:sz w:val="20"/>
          <w:szCs w:val="20"/>
        </w:rPr>
        <w:t>are fully financed by the funds from the Recovery and Resilience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697"/>
        <w:gridCol w:w="907"/>
        <w:gridCol w:w="915"/>
        <w:gridCol w:w="1073"/>
        <w:gridCol w:w="1457"/>
        <w:gridCol w:w="850"/>
      </w:tblGrid>
      <w:tr w:rsidR="00176373">
        <w:trPr>
          <w:trHeight w:val="300"/>
          <w:tblHeader/>
        </w:trPr>
        <w:tc>
          <w:tcPr>
            <w:tcW w:w="1507" w:type="dxa"/>
            <w:shd w:val="clear" w:color="auto" w:fill="D9D9D9" w:themeFill="background1" w:themeFillShade="D9"/>
            <w:hideMark/>
          </w:tcPr>
          <w:p w:rsidR="00176373" w:rsidRDefault="00176373">
            <w:pPr>
              <w:jc w:val="center"/>
              <w:rPr>
                <w:rFonts w:ascii="Times New Roman" w:hAnsi="Times New Roman" w:cs="Times New Roman"/>
                <w:b/>
                <w:bCs/>
                <w:noProof/>
              </w:rPr>
            </w:pPr>
          </w:p>
        </w:tc>
        <w:tc>
          <w:tcPr>
            <w:tcW w:w="2641" w:type="dxa"/>
            <w:shd w:val="clear" w:color="auto" w:fill="D9D9D9" w:themeFill="background1" w:themeFillShade="D9"/>
            <w:hideMark/>
          </w:tcPr>
          <w:p w:rsidR="00176373" w:rsidRDefault="00176373">
            <w:pPr>
              <w:jc w:val="center"/>
              <w:rPr>
                <w:rFonts w:ascii="Times New Roman" w:hAnsi="Times New Roman" w:cs="Times New Roman"/>
                <w:b/>
                <w:bCs/>
                <w:noProof/>
              </w:rPr>
            </w:pPr>
          </w:p>
        </w:tc>
        <w:tc>
          <w:tcPr>
            <w:tcW w:w="907" w:type="dxa"/>
            <w:shd w:val="clear" w:color="auto" w:fill="D9D9D9" w:themeFill="background1" w:themeFillShade="D9"/>
            <w:hideMark/>
          </w:tcPr>
          <w:p w:rsidR="00176373" w:rsidRDefault="00176373">
            <w:pPr>
              <w:jc w:val="center"/>
              <w:rPr>
                <w:rFonts w:ascii="Times New Roman" w:hAnsi="Times New Roman" w:cs="Times New Roman"/>
                <w:b/>
                <w:bCs/>
                <w:noProof/>
              </w:rPr>
            </w:pPr>
          </w:p>
        </w:tc>
        <w:tc>
          <w:tcPr>
            <w:tcW w:w="1988" w:type="dxa"/>
            <w:gridSpan w:val="2"/>
            <w:shd w:val="clear" w:color="auto" w:fill="D9D9D9" w:themeFill="background1" w:themeFillShade="D9"/>
            <w:noWrap/>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Climate</w:t>
            </w:r>
          </w:p>
        </w:tc>
        <w:tc>
          <w:tcPr>
            <w:tcW w:w="2307" w:type="dxa"/>
            <w:gridSpan w:val="2"/>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Digital</w:t>
            </w:r>
          </w:p>
        </w:tc>
      </w:tr>
      <w:tr w:rsidR="00176373">
        <w:trPr>
          <w:trHeight w:val="855"/>
          <w:tblHeader/>
        </w:trPr>
        <w:tc>
          <w:tcPr>
            <w:tcW w:w="1507" w:type="dxa"/>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Measure/Sub-Measure ID</w:t>
            </w:r>
          </w:p>
        </w:tc>
        <w:tc>
          <w:tcPr>
            <w:tcW w:w="2641" w:type="dxa"/>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Measure/Sub-Measure Name</w:t>
            </w:r>
          </w:p>
        </w:tc>
        <w:tc>
          <w:tcPr>
            <w:tcW w:w="907" w:type="dxa"/>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Budget (EUR m)</w:t>
            </w:r>
          </w:p>
        </w:tc>
        <w:tc>
          <w:tcPr>
            <w:tcW w:w="915" w:type="dxa"/>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Int. field</w:t>
            </w:r>
          </w:p>
        </w:tc>
        <w:tc>
          <w:tcPr>
            <w:tcW w:w="1073" w:type="dxa"/>
            <w:shd w:val="clear" w:color="auto" w:fill="D9D9D9" w:themeFill="background1" w:themeFillShade="D9"/>
            <w:hideMark/>
          </w:tcPr>
          <w:p w:rsidR="00176373" w:rsidRDefault="00E474D1">
            <w:pPr>
              <w:jc w:val="center"/>
              <w:rPr>
                <w:rFonts w:ascii="Times New Roman" w:eastAsia="Calibri" w:hAnsi="Times New Roman" w:cs="Times New Roman"/>
                <w:noProof/>
              </w:rPr>
            </w:pPr>
            <w:r>
              <w:rPr>
                <w:rFonts w:ascii="Times New Roman" w:hAnsi="Times New Roman" w:cs="Times New Roman"/>
                <w:b/>
                <w:bCs/>
                <w:noProof/>
              </w:rPr>
              <w:t>Coeff. %</w:t>
            </w:r>
          </w:p>
        </w:tc>
        <w:tc>
          <w:tcPr>
            <w:tcW w:w="1457" w:type="dxa"/>
            <w:shd w:val="clear" w:color="auto" w:fill="D9D9D9" w:themeFill="background1" w:themeFillShade="D9"/>
            <w:hideMark/>
          </w:tcPr>
          <w:p w:rsidR="00176373" w:rsidRDefault="00E474D1">
            <w:pPr>
              <w:jc w:val="center"/>
              <w:rPr>
                <w:rFonts w:ascii="Times New Roman" w:hAnsi="Times New Roman" w:cs="Times New Roman"/>
                <w:b/>
                <w:bCs/>
                <w:noProof/>
              </w:rPr>
            </w:pPr>
            <w:r>
              <w:rPr>
                <w:rFonts w:ascii="Times New Roman" w:hAnsi="Times New Roman" w:cs="Times New Roman"/>
                <w:b/>
                <w:bCs/>
                <w:noProof/>
              </w:rPr>
              <w:t>Int. field</w:t>
            </w:r>
          </w:p>
        </w:tc>
        <w:tc>
          <w:tcPr>
            <w:tcW w:w="850" w:type="dxa"/>
            <w:shd w:val="clear" w:color="auto" w:fill="D9D9D9" w:themeFill="background1" w:themeFillShade="D9"/>
            <w:hideMark/>
          </w:tcPr>
          <w:p w:rsidR="00176373" w:rsidRDefault="00E474D1">
            <w:pPr>
              <w:jc w:val="center"/>
              <w:rPr>
                <w:rFonts w:ascii="Times New Roman" w:eastAsia="Calibri" w:hAnsi="Times New Roman" w:cs="Times New Roman"/>
                <w:noProof/>
              </w:rPr>
            </w:pPr>
            <w:r>
              <w:rPr>
                <w:rFonts w:ascii="Times New Roman" w:hAnsi="Times New Roman" w:cs="Times New Roman"/>
                <w:b/>
                <w:bCs/>
                <w:noProof/>
              </w:rPr>
              <w:t>Coeff. %</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Support of the installation of storage systems to enhance RES penetration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450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 xml:space="preserve">033 </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Revitalization actions of the most affected territories_Nature and </w:t>
            </w:r>
            <w:r>
              <w:rPr>
                <w:rFonts w:ascii="Times New Roman" w:hAnsi="Times New Roman" w:cs="Times New Roman"/>
                <w:noProof/>
              </w:rPr>
              <w:t>biodiversity protection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Interventions for the electricity interconnection of islands and the upgrading of the electricity network</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195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033</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16901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HEDNO network upgrades aiming at enhancing resilience and protecting the environment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16900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HEDNO overhead network upgrading in forest areas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16899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Installed capacity increase in Hellenic Electricity Distribution Network Operator (HEDNO) HV/MV substations for new RES connection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12</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028</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16865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Restructuring and enhancement of the RES CHP Account revenues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202</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028</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Energy renovation on residential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1 253</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Green Interventions - Interventions in residential areas and in the building stock_Adaptation and </w:t>
            </w:r>
            <w:r>
              <w:rPr>
                <w:rFonts w:ascii="Times New Roman" w:hAnsi="Times New Roman" w:cs="Times New Roman"/>
                <w:noProof/>
              </w:rPr>
              <w:t>climate resilience measures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160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Eleonas/ Votanikos - Interventions in residential areas and in the building stock_Energy efficiency measures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116</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Athens Reviera - Interventions in residential areas and in the building </w:t>
            </w:r>
            <w:r>
              <w:rPr>
                <w:rFonts w:ascii="Times New Roman" w:hAnsi="Times New Roman" w:cs="Times New Roman"/>
                <w:noProof/>
              </w:rPr>
              <w:t>stock_Cycling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075</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Other Strategic Interventions - Interventions in residential areas and in the building stock_Nature and biodiversity protection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31</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Other Strategic Interventions - Interventions in </w:t>
            </w:r>
            <w:r>
              <w:rPr>
                <w:rFonts w:ascii="Times New Roman" w:hAnsi="Times New Roman" w:cs="Times New Roman"/>
                <w:noProof/>
              </w:rPr>
              <w:t>residential areas and in the building stock_Energy efficiency measures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Other Strategic Interventions - Interventions in residential areas and in the building stock_Construction of new energy efficient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Energy and entrepreneurship</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450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Energy upgrade of public sector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Infrastructure development and buildings’ restoration in former royal estate in Tatoi</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Olympic Athletic Center </w:t>
            </w:r>
            <w:r>
              <w:rPr>
                <w:rFonts w:ascii="Times New Roman" w:hAnsi="Times New Roman" w:cs="Times New Roman"/>
                <w:noProof/>
              </w:rPr>
              <w:t>of Athens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16879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Preparation of Urban Plans in implementation of the urban policy reform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250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16831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Produc- E Green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16924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Charging Points – Electromobility_Alternative fuels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16924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Electric busses – Electromobility_Clean urban transport: rolling stock</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074</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tcPr>
          <w:p w:rsidR="00176373" w:rsidRDefault="00E474D1">
            <w:pPr>
              <w:rPr>
                <w:rFonts w:ascii="Times New Roman" w:hAnsi="Times New Roman" w:cs="Times New Roman"/>
                <w:noProof/>
              </w:rPr>
            </w:pPr>
            <w:r>
              <w:rPr>
                <w:rFonts w:ascii="Times New Roman" w:hAnsi="Times New Roman" w:cs="Times New Roman"/>
                <w:noProof/>
              </w:rPr>
              <w:t>16924</w:t>
            </w:r>
          </w:p>
        </w:tc>
        <w:tc>
          <w:tcPr>
            <w:tcW w:w="2641" w:type="dxa"/>
            <w:noWrap/>
          </w:tcPr>
          <w:p w:rsidR="00176373" w:rsidRDefault="00E474D1">
            <w:pPr>
              <w:rPr>
                <w:rFonts w:ascii="Times New Roman" w:hAnsi="Times New Roman" w:cs="Times New Roman"/>
                <w:noProof/>
              </w:rPr>
            </w:pPr>
            <w:r>
              <w:rPr>
                <w:rFonts w:ascii="Times New Roman" w:hAnsi="Times New Roman" w:cs="Times New Roman"/>
                <w:noProof/>
              </w:rPr>
              <w:t>Electric taxis - Electromobility_Battery driven vehicles</w:t>
            </w:r>
          </w:p>
        </w:tc>
        <w:tc>
          <w:tcPr>
            <w:tcW w:w="907" w:type="dxa"/>
            <w:noWrap/>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915" w:type="dxa"/>
            <w:noWrap/>
          </w:tcPr>
          <w:p w:rsidR="00176373" w:rsidRDefault="00E474D1">
            <w:pPr>
              <w:jc w:val="center"/>
              <w:rPr>
                <w:rFonts w:ascii="Times New Roman" w:hAnsi="Times New Roman" w:cs="Times New Roman"/>
                <w:noProof/>
              </w:rPr>
            </w:pPr>
            <w:r>
              <w:rPr>
                <w:rFonts w:ascii="Times New Roman" w:hAnsi="Times New Roman" w:cs="Times New Roman"/>
                <w:noProof/>
              </w:rPr>
              <w:t>N/A </w:t>
            </w:r>
            <w:r>
              <w:rPr>
                <w:rStyle w:val="FootnoteReference"/>
                <w:rFonts w:ascii="Times New Roman" w:hAnsi="Times New Roman" w:cs="Times New Roman"/>
                <w:noProof/>
              </w:rPr>
              <w:footnoteReference w:id="37"/>
            </w:r>
          </w:p>
        </w:tc>
        <w:tc>
          <w:tcPr>
            <w:tcW w:w="1073" w:type="dxa"/>
            <w:noWrap/>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16898</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Water Supply Projects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290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039bis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16849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National Reforestation Plan and </w:t>
            </w:r>
            <w:r>
              <w:rPr>
                <w:rFonts w:ascii="Times New Roman" w:hAnsi="Times New Roman" w:cs="Times New Roman"/>
                <w:noProof/>
              </w:rPr>
              <w:t>Parnitha flagship investment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224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16846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Renovated infrastructure - Urban Wastewater and Sludge Management Infrastructures from Wastewater Treatment_Compliant with energy efficiency criteria</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041bis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16285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Investments in the national </w:t>
            </w:r>
            <w:r>
              <w:rPr>
                <w:rFonts w:ascii="Times New Roman" w:hAnsi="Times New Roman" w:cs="Times New Roman"/>
                <w:noProof/>
              </w:rPr>
              <w:t>irrigation network through PPP schemes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16850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Drinking Water Supply and Saving Infrastructures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039bis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16911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Aerial means for crisis management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155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16882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Flood mitigation projects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035</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16912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Forest </w:t>
            </w:r>
            <w:r>
              <w:rPr>
                <w:rFonts w:ascii="Times New Roman" w:hAnsi="Times New Roman" w:cs="Times New Roman"/>
                <w:noProof/>
              </w:rPr>
              <w:t>firefighting, prevention and response equipment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16851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Biodiversity protection as a driver for sustainable growth</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16909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Infrastructure - Establishment of a strategic National Disaster Risk Management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16910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Monitoring and Management System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16283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Implementation of Regional Civil Protection Centers (PEKEPP) through PPP schemes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19</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16855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Small-satellites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055</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5G Corridors – Develop 5G networks that will provide </w:t>
            </w:r>
            <w:r>
              <w:rPr>
                <w:rFonts w:ascii="Times New Roman" w:hAnsi="Times New Roman" w:cs="Times New Roman"/>
                <w:noProof/>
              </w:rPr>
              <w:t>coverage of all Greek motorways that are part of the Trans-European Transport Networks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160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054bis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Submarine fiber cables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16818</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Fiber optic infrastructure in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131</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053</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16778</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Digitisation of archives and related </w:t>
            </w:r>
            <w:r>
              <w:rPr>
                <w:rFonts w:ascii="Times New Roman" w:hAnsi="Times New Roman" w:cs="Times New Roman"/>
                <w:noProof/>
              </w:rPr>
              <w:t>services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598</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16810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CRM for the General Government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56</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Further Modernisation of Public Administration’s One-Stop Shops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19</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16736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system for Public Procurements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17</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16742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Digital transformation of the </w:t>
            </w:r>
            <w:r>
              <w:rPr>
                <w:rFonts w:ascii="Times New Roman" w:hAnsi="Times New Roman" w:cs="Times New Roman"/>
                <w:noProof/>
              </w:rPr>
              <w:t>Ministry of Foreign Affairs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49</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skills upgrade programs for conscripts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108</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16791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Greek National Tourism Organisation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16823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Cybersecurity strategy and policies for the Public </w:t>
            </w:r>
            <w:r>
              <w:rPr>
                <w:rFonts w:ascii="Times New Roman" w:hAnsi="Times New Roman" w:cs="Times New Roman"/>
                <w:noProof/>
              </w:rPr>
              <w:t>Sector &amp; advanced security services for national critical infrastructures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49</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16779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Interoperability and web services development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Data Classification Studies for Public Sector’s Information Systems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Next-Generation Interoperability Centre (KED)</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16824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ERegistries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24</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16785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Tourism Registry e-MHTE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16854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Smart cities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73</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055</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16853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Supply of Central Cloud Computing Infrastructure and Service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95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16955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Upgrade of Cloud-computing infrastructure and services of the National Infrastructures for Research and Technology (GRNET)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63</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16287</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Enhancement of Public Sector's Business Continuity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39</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16956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Expansion</w:t>
            </w:r>
            <w:r>
              <w:rPr>
                <w:rFonts w:ascii="Times New Roman" w:hAnsi="Times New Roman" w:cs="Times New Roman"/>
                <w:noProof/>
              </w:rPr>
              <w:t xml:space="preserve"> of Syzefksis II</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26</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16827</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Data Governance strategy &amp; policies for the Public Sector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26</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16842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Central BI - Data Analytics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16</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16738</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Central Document Management System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16706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SMEs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375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010</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16750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Labour Systems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77</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16747</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Green skills, jobs, economy - Active Labour Market Policies Reform_Contributing to green skills and jobs and the green economy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16942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OAED Digitalization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17</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16913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A New Strategy for Lifelong Skilling: Modernising and Upgrading Greece’s Upskilling and Reskilling System_Digital upskilling</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690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108</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16913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Green skills, jobs, economy - A New Strategy for Lifelong Skilling: Modernising and Upgrading </w:t>
            </w:r>
            <w:r>
              <w:rPr>
                <w:rFonts w:ascii="Times New Roman" w:hAnsi="Times New Roman" w:cs="Times New Roman"/>
                <w:noProof/>
              </w:rPr>
              <w:t>Greece’s Upskilling and Reskilling System_Contributing to green skills and jobs and the green economy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350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16794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Green Schools - Strengthening the Apprenticeship System_Energy efficiency renovation or energy efficiency measures regarding public </w:t>
            </w:r>
            <w:r>
              <w:rPr>
                <w:rFonts w:ascii="Times New Roman" w:hAnsi="Times New Roman" w:cs="Times New Roman"/>
                <w:noProof/>
              </w:rPr>
              <w:t>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108</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16792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Labor force skilling, reskilling and upskilling through a reformed training model (Vocational Education &amp; Training Reform)_Contributing to green skills and jobs and the green economy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16676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Digital </w:t>
            </w:r>
            <w:r>
              <w:rPr>
                <w:rFonts w:ascii="Times New Roman" w:hAnsi="Times New Roman" w:cs="Times New Roman"/>
                <w:noProof/>
              </w:rPr>
              <w:t>transformation of Education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365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16755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Green investments - Reform of the Primary Health Care System_Energy efficiency renovation or energy efficiency measures regarding public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189</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16795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NHS Hospital Renovation and </w:t>
            </w:r>
            <w:r>
              <w:rPr>
                <w:rFonts w:ascii="Times New Roman" w:hAnsi="Times New Roman" w:cs="Times New Roman"/>
                <w:noProof/>
              </w:rPr>
              <w:t>Infrastructure Upgrade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317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16752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Health (DigHealth)</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278</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095</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16793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Project for the construction of a building dedicated to Cellular &amp; Gene Therapies and Hematology Clinic Laboratories within the General Hospital </w:t>
            </w:r>
            <w:r>
              <w:rPr>
                <w:rFonts w:ascii="Times New Roman" w:hAnsi="Times New Roman" w:cs="Times New Roman"/>
                <w:noProof/>
              </w:rPr>
              <w:t>of Thessaloniki “Papanikolaou”</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16925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social support system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16763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immigration and asylum system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16611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tax audits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798"/>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16616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Adoption of measures and incentives to increase electronic transactions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16291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Tax and Customs Administration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180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16705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Digital Transformation of Fiscal Management and Supervision in </w:t>
            </w:r>
            <w:r>
              <w:rPr>
                <w:rFonts w:ascii="Times New Roman" w:hAnsi="Times New Roman" w:cs="Times New Roman"/>
                <w:noProof/>
              </w:rPr>
              <w:t>Governance &amp; Electronic Invoicing</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16940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Modernise the Hellenic Consignment Deposit and Loans Fund</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16292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Judicial Buildings_Construction of new energy efficient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69</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16292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Judicial Buildings_Energy</w:t>
            </w:r>
            <w:r>
              <w:rPr>
                <w:rFonts w:ascii="Times New Roman" w:hAnsi="Times New Roman" w:cs="Times New Roman"/>
                <w:noProof/>
              </w:rPr>
              <w:t xml:space="preserve"> efficiency renovations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16727</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Justice (E-Justice)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81</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011quater</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16733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Skills and digital skills for judges and judicial employees (judicial staff)</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108</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16581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Enhanced capital market supervision and </w:t>
            </w:r>
            <w:r>
              <w:rPr>
                <w:rFonts w:ascii="Times New Roman" w:hAnsi="Times New Roman" w:cs="Times New Roman"/>
                <w:noProof/>
              </w:rPr>
              <w:t>trustworthiness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16654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TH 2 ORAX: Trellis Holistic &amp; Hybrid Operational Ruggedized Autonomous eXemplary system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16975</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Upgrade Interventions for Regional Ports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081bis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hideMark/>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Smart Infrastructure with environmental</w:t>
            </w:r>
            <w:r>
              <w:rPr>
                <w:rFonts w:ascii="Times New Roman" w:hAnsi="Times New Roman" w:cs="Times New Roman"/>
                <w:noProof/>
              </w:rPr>
              <w:t xml:space="preserve"> and cultural focus_Digital sub-projects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82</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Smart Infrastructure with environmental and cultural focus_</w:t>
            </w:r>
            <w:r>
              <w:rPr>
                <w:noProof/>
              </w:rPr>
              <w:t xml:space="preserve"> </w:t>
            </w:r>
            <w:r>
              <w:rPr>
                <w:rFonts w:ascii="Times New Roman" w:hAnsi="Times New Roman" w:cs="Times New Roman"/>
                <w:noProof/>
              </w:rPr>
              <w:t>Nature and biodiversity protection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16960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Smart Infrastructure with environmental and cultural focus_Air quality measures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048</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16959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Hellenic Railways Organization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070</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16954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Interventions for the upgrade and redeployment of the Greek rail network system and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130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064</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16950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Electronic Tolls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90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063bis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063bis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16949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Smart Bridges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81</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063</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16937</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Integrated Program Management System for the Administration of the Technical Works and Structural Assets of the Ministry of Infrastructure and Transport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Tourism </w:t>
            </w:r>
            <w:r>
              <w:rPr>
                <w:rFonts w:ascii="Times New Roman" w:hAnsi="Times New Roman" w:cs="Times New Roman"/>
                <w:noProof/>
              </w:rPr>
              <w:t>Development_Energy efficient measures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111</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Tourism Development_Energy efficient measures for public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Tourism Development_Renewable energy (wind)</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028</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16931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Tourism Development_Energy efficient </w:t>
            </w:r>
            <w:r>
              <w:rPr>
                <w:rFonts w:ascii="Times New Roman" w:hAnsi="Times New Roman" w:cs="Times New Roman"/>
                <w:noProof/>
              </w:rPr>
              <w:t>measures for public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16892</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Upgrading suburban railway of West Attica</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81</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073</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16786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Simplification of the Procedures of the Ministry of Infrastructure &amp; Transport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16721</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Acceleration of smart manufacturing</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75</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010bis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16653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Digital Transformation of the Agri-Food Sector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47</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Parks_Construction of new energy efficient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w:t>
            </w:r>
            <w:r>
              <w:rPr>
                <w:noProof/>
              </w:rPr>
              <w:t xml:space="preserve"> </w:t>
            </w:r>
            <w:r>
              <w:rPr>
                <w:rFonts w:ascii="Times New Roman" w:hAnsi="Times New Roman" w:cs="Times New Roman"/>
                <w:noProof/>
              </w:rPr>
              <w:t>Water management and water resource conservation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w:t>
            </w:r>
            <w:r>
              <w:rPr>
                <w:noProof/>
              </w:rPr>
              <w:t xml:space="preserve"> </w:t>
            </w:r>
            <w:r>
              <w:rPr>
                <w:rFonts w:ascii="Times New Roman" w:hAnsi="Times New Roman" w:cs="Times New Roman"/>
                <w:noProof/>
              </w:rPr>
              <w:t>Waste water collection and treatment compliant with energy efficiency criteria</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041bis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w:t>
            </w:r>
            <w:r>
              <w:rPr>
                <w:noProof/>
              </w:rPr>
              <w:t xml:space="preserve"> </w:t>
            </w:r>
            <w:r>
              <w:rPr>
                <w:rFonts w:ascii="Times New Roman" w:hAnsi="Times New Roman" w:cs="Times New Roman"/>
                <w:noProof/>
              </w:rPr>
              <w:t>Renewable energy (solar)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029</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w:t>
            </w:r>
            <w:r>
              <w:rPr>
                <w:noProof/>
              </w:rPr>
              <w:t xml:space="preserve"> </w:t>
            </w:r>
            <w:r>
              <w:rPr>
                <w:rFonts w:ascii="Times New Roman" w:hAnsi="Times New Roman" w:cs="Times New Roman"/>
                <w:noProof/>
              </w:rPr>
              <w:t xml:space="preserve">Alternative fuels </w:t>
            </w:r>
            <w:r>
              <w:rPr>
                <w:rFonts w:ascii="Times New Roman" w:hAnsi="Times New Roman" w:cs="Times New Roman"/>
                <w:noProof/>
              </w:rPr>
              <w:t>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16634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New Industrial Parks_</w:t>
            </w:r>
            <w:r>
              <w:rPr>
                <w:noProof/>
              </w:rPr>
              <w:t xml:space="preserve"> </w:t>
            </w:r>
            <w:r>
              <w:rPr>
                <w:rFonts w:ascii="Times New Roman" w:hAnsi="Times New Roman" w:cs="Times New Roman"/>
                <w:noProof/>
              </w:rPr>
              <w:t>Water management and water resource conservation</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Climate related - Economic transformation on the Agricultural Sector_Energy efficiency and demonstration projects in SMEs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62</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Climate related - Economic transformation on the Agricultural Sector_Renewable energy (solar)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029</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Climate related - Economic transformation on the Agricultural Sector_Alternative fuels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077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16626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Climate related - Economic transformation on the Agricultural Sector_Support to environmentally-friendly production processes and resource efficiency in SMEs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170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hideMark/>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16599</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Digitilization of Economic Diplomacy Network &amp; Exporters Training Program</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w:t>
            </w:r>
          </w:p>
        </w:tc>
        <w:tc>
          <w:tcPr>
            <w:tcW w:w="915" w:type="dxa"/>
            <w:noWrap/>
          </w:tcPr>
          <w:p w:rsidR="00176373" w:rsidRDefault="00176373">
            <w:pPr>
              <w:jc w:val="center"/>
              <w:rPr>
                <w:rFonts w:ascii="Times New Roman" w:hAnsi="Times New Roman" w:cs="Times New Roman"/>
                <w:noProof/>
              </w:rPr>
            </w:pPr>
          </w:p>
        </w:tc>
        <w:tc>
          <w:tcPr>
            <w:tcW w:w="1073" w:type="dxa"/>
            <w:noWrap/>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011</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16593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Amendment of the legal framework for the attraction of strategic investment_Support to enterprises that provide services contributing to the low carbon economy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16593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Amendment of the legal framework for the attraction of </w:t>
            </w:r>
            <w:r>
              <w:rPr>
                <w:rFonts w:ascii="Times New Roman" w:hAnsi="Times New Roman" w:cs="Times New Roman"/>
                <w:noProof/>
              </w:rPr>
              <w:t>strategic investment_Construction of new energy efficient buildings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025ter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16584</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Proposals for actions in the Aquaculture Sector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16536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Upgrade of infrastructure, renewal of equipment and upgrade of quality of services provided by </w:t>
            </w:r>
            <w:r>
              <w:rPr>
                <w:rFonts w:ascii="Times New Roman" w:hAnsi="Times New Roman" w:cs="Times New Roman"/>
                <w:noProof/>
              </w:rPr>
              <w:t>HOCRED Stores – former ARF Stores (On-spot and electronic)</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024bis</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16486</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Museum of underwater antiquities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54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16433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Protection of cultural monuments and archaeological sites from climate change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16293</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Culture as a driver of </w:t>
            </w:r>
            <w:r>
              <w:rPr>
                <w:rFonts w:ascii="Times New Roman" w:hAnsi="Times New Roman" w:cs="Times New Roman"/>
                <w:noProof/>
              </w:rPr>
              <w:t>growth</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30</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026</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Facility_Energy efficiency and demonstration projects in SMEs or large enterprises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1 398</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024ter</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Facility_Renewable energy (solar)</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1 189</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029</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Facility_Renewable energy (wind)</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843</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028</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Facility_Commercial, industrial waste management</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634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044</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Facility_Smart Energy Systems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445</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033</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RRP Loan Facility_Support to enterprises that provide services contributing to the low carbon </w:t>
            </w:r>
            <w:r>
              <w:rPr>
                <w:rFonts w:ascii="Times New Roman" w:hAnsi="Times New Roman" w:cs="Times New Roman"/>
                <w:noProof/>
              </w:rPr>
              <w:t>economy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254</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027</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Facility_Other renewable energy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206</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032</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Facility_Research and innovation processes focusing on the low carbon economy, resilience and adaptation to climate change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102</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022</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 xml:space="preserve">RRP Loan </w:t>
            </w:r>
            <w:r>
              <w:rPr>
                <w:rFonts w:ascii="Times New Roman" w:hAnsi="Times New Roman" w:cs="Times New Roman"/>
                <w:noProof/>
              </w:rPr>
              <w:t>Facility_Renewable energy (biomass)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47</w:t>
            </w:r>
          </w:p>
        </w:tc>
        <w:tc>
          <w:tcPr>
            <w:tcW w:w="915"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030</w:t>
            </w:r>
          </w:p>
        </w:tc>
        <w:tc>
          <w:tcPr>
            <w:tcW w:w="1073"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40%</w:t>
            </w:r>
          </w:p>
        </w:tc>
        <w:tc>
          <w:tcPr>
            <w:tcW w:w="1457" w:type="dxa"/>
            <w:noWrap/>
          </w:tcPr>
          <w:p w:rsidR="00176373" w:rsidRDefault="00176373">
            <w:pPr>
              <w:jc w:val="center"/>
              <w:rPr>
                <w:rFonts w:ascii="Times New Roman" w:hAnsi="Times New Roman" w:cs="Times New Roman"/>
                <w:noProof/>
              </w:rPr>
            </w:pPr>
          </w:p>
        </w:tc>
        <w:tc>
          <w:tcPr>
            <w:tcW w:w="850" w:type="dxa"/>
            <w:noWrap/>
          </w:tcPr>
          <w:p w:rsidR="00176373" w:rsidRDefault="00176373">
            <w:pPr>
              <w:jc w:val="center"/>
              <w:rPr>
                <w:rFonts w:ascii="Times New Roman" w:hAnsi="Times New Roman" w:cs="Times New Roman"/>
                <w:noProof/>
              </w:rPr>
            </w:pP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Facility_Very High Capacity Networks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912</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054</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Facility_Digitalisation of large entreprises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770</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010bis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 Digitalisation of SMEs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330</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010</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Facility_Other ICT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208</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055</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Facility_Cybersecurity</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120</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021quinquies</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Facility_Advanced technologies</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118</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021quater</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r w:rsidR="00176373">
        <w:trPr>
          <w:trHeight w:val="300"/>
        </w:trPr>
        <w:tc>
          <w:tcPr>
            <w:tcW w:w="1507" w:type="dxa"/>
            <w:noWrap/>
            <w:hideMark/>
          </w:tcPr>
          <w:p w:rsidR="00176373" w:rsidRDefault="00E474D1">
            <w:pPr>
              <w:rPr>
                <w:rFonts w:ascii="Times New Roman" w:hAnsi="Times New Roman" w:cs="Times New Roman"/>
                <w:noProof/>
              </w:rPr>
            </w:pPr>
            <w:r>
              <w:rPr>
                <w:rFonts w:ascii="Times New Roman" w:hAnsi="Times New Roman" w:cs="Times New Roman"/>
                <w:noProof/>
              </w:rPr>
              <w:t>16980</w:t>
            </w:r>
          </w:p>
        </w:tc>
        <w:tc>
          <w:tcPr>
            <w:tcW w:w="2641" w:type="dxa"/>
            <w:noWrap/>
            <w:hideMark/>
          </w:tcPr>
          <w:p w:rsidR="00176373" w:rsidRDefault="00E474D1">
            <w:pPr>
              <w:rPr>
                <w:rFonts w:ascii="Times New Roman" w:hAnsi="Times New Roman" w:cs="Times New Roman"/>
                <w:noProof/>
              </w:rPr>
            </w:pPr>
            <w:r>
              <w:rPr>
                <w:rFonts w:ascii="Times New Roman" w:hAnsi="Times New Roman" w:cs="Times New Roman"/>
                <w:noProof/>
              </w:rPr>
              <w:t>RRP Loan Facility_Other ICT infrastructure</w:t>
            </w:r>
          </w:p>
        </w:tc>
        <w:tc>
          <w:tcPr>
            <w:tcW w:w="90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89</w:t>
            </w:r>
          </w:p>
        </w:tc>
        <w:tc>
          <w:tcPr>
            <w:tcW w:w="915" w:type="dxa"/>
            <w:noWrap/>
            <w:hideMark/>
          </w:tcPr>
          <w:p w:rsidR="00176373" w:rsidRDefault="00176373">
            <w:pPr>
              <w:jc w:val="center"/>
              <w:rPr>
                <w:rFonts w:ascii="Times New Roman" w:hAnsi="Times New Roman" w:cs="Times New Roman"/>
                <w:noProof/>
              </w:rPr>
            </w:pPr>
          </w:p>
        </w:tc>
        <w:tc>
          <w:tcPr>
            <w:tcW w:w="1073" w:type="dxa"/>
            <w:noWrap/>
            <w:hideMark/>
          </w:tcPr>
          <w:p w:rsidR="00176373" w:rsidRDefault="00176373">
            <w:pPr>
              <w:jc w:val="center"/>
              <w:rPr>
                <w:rFonts w:ascii="Times New Roman" w:hAnsi="Times New Roman" w:cs="Times New Roman"/>
                <w:noProof/>
              </w:rPr>
            </w:pPr>
          </w:p>
        </w:tc>
        <w:tc>
          <w:tcPr>
            <w:tcW w:w="1457"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055</w:t>
            </w:r>
          </w:p>
        </w:tc>
        <w:tc>
          <w:tcPr>
            <w:tcW w:w="850" w:type="dxa"/>
            <w:noWrap/>
            <w:hideMark/>
          </w:tcPr>
          <w:p w:rsidR="00176373" w:rsidRDefault="00E474D1">
            <w:pPr>
              <w:jc w:val="center"/>
              <w:rPr>
                <w:rFonts w:ascii="Times New Roman" w:hAnsi="Times New Roman" w:cs="Times New Roman"/>
                <w:noProof/>
              </w:rPr>
            </w:pPr>
            <w:r>
              <w:rPr>
                <w:rFonts w:ascii="Times New Roman" w:hAnsi="Times New Roman" w:cs="Times New Roman"/>
                <w:noProof/>
              </w:rPr>
              <w:t>100%</w:t>
            </w:r>
          </w:p>
        </w:tc>
      </w:tr>
    </w:tbl>
    <w:p w:rsidR="00176373" w:rsidRDefault="00E474D1">
      <w:pPr>
        <w:spacing w:after="0" w:line="256" w:lineRule="auto"/>
        <w:rPr>
          <w:rFonts w:ascii="Times New Roman" w:eastAsia="Calibri" w:hAnsi="Times New Roman" w:cs="Times New Roman"/>
          <w:i/>
          <w:noProof/>
        </w:rPr>
      </w:pPr>
      <w:r>
        <w:rPr>
          <w:rFonts w:ascii="Times New Roman" w:eastAsia="Calibri" w:hAnsi="Times New Roman" w:cs="Times New Roman"/>
          <w:i/>
          <w:noProof/>
        </w:rPr>
        <w:t>Int. Field = intervention field</w:t>
      </w:r>
    </w:p>
    <w:p w:rsidR="00176373" w:rsidRDefault="00E474D1">
      <w:pPr>
        <w:spacing w:after="0" w:line="256" w:lineRule="auto"/>
        <w:rPr>
          <w:rFonts w:ascii="Times New Roman" w:eastAsia="Calibri" w:hAnsi="Times New Roman" w:cs="Times New Roman"/>
          <w:i/>
          <w:noProof/>
        </w:rPr>
      </w:pPr>
      <w:r>
        <w:rPr>
          <w:rFonts w:ascii="Times New Roman" w:eastAsia="Calibri" w:hAnsi="Times New Roman" w:cs="Times New Roman"/>
          <w:i/>
          <w:noProof/>
        </w:rPr>
        <w:t>Coeff. = Coefficient for the calculation of support to climate change objectives and to digital transition, on the basis of Annex VI and Annex VII to the RRF Regulation</w:t>
      </w:r>
    </w:p>
    <w:p w:rsidR="00176373" w:rsidRDefault="00176373">
      <w:pPr>
        <w:rPr>
          <w:noProof/>
        </w:rPr>
      </w:pPr>
    </w:p>
    <w:p w:rsidR="00176373" w:rsidRDefault="00176373">
      <w:pPr>
        <w:rPr>
          <w:noProof/>
          <w:lang w:eastAsia="en-GB"/>
        </w:rPr>
      </w:pPr>
    </w:p>
    <w:p w:rsidR="00176373" w:rsidRDefault="00176373">
      <w:pPr>
        <w:rPr>
          <w:noProof/>
          <w:lang w:eastAsia="en-GB"/>
        </w:rPr>
      </w:pPr>
    </w:p>
    <w:p w:rsidR="00176373" w:rsidRDefault="00176373">
      <w:pPr>
        <w:jc w:val="both"/>
        <w:rPr>
          <w:noProof/>
          <w:color w:val="FF0000"/>
        </w:rPr>
      </w:pPr>
    </w:p>
    <w:sectPr w:rsidR="00176373">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373" w:rsidRDefault="00E474D1">
      <w:pPr>
        <w:spacing w:after="0" w:line="240" w:lineRule="auto"/>
      </w:pPr>
      <w:r>
        <w:separator/>
      </w:r>
    </w:p>
    <w:p w:rsidR="00176373" w:rsidRDefault="00176373"/>
  </w:endnote>
  <w:endnote w:type="continuationSeparator" w:id="0">
    <w:p w:rsidR="00176373" w:rsidRDefault="00E474D1">
      <w:pPr>
        <w:spacing w:after="0" w:line="240" w:lineRule="auto"/>
      </w:pPr>
      <w:r>
        <w:continuationSeparator/>
      </w:r>
    </w:p>
    <w:p w:rsidR="00176373" w:rsidRDefault="00176373"/>
  </w:endnote>
  <w:endnote w:type="continuationNotice" w:id="1">
    <w:p w:rsidR="00176373" w:rsidRDefault="00176373">
      <w:pPr>
        <w:spacing w:after="0" w:line="240" w:lineRule="auto"/>
      </w:pPr>
    </w:p>
    <w:p w:rsidR="00176373" w:rsidRDefault="00176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627186"/>
      <w:docPartObj>
        <w:docPartGallery w:val="Page Numbers (Bottom of Page)"/>
        <w:docPartUnique/>
      </w:docPartObj>
    </w:sdtPr>
    <w:sdtEndPr>
      <w:rPr>
        <w:noProof/>
      </w:rPr>
    </w:sdtEndPr>
    <w:sdtContent>
      <w:p w:rsidR="00176373" w:rsidRDefault="00E474D1">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106</w:t>
        </w:r>
        <w:r>
          <w:rPr>
            <w:rFonts w:ascii="Times New Roman" w:hAnsi="Times New Roman" w:cs="Times New Roman"/>
          </w:rPr>
          <w:fldChar w:fldCharType="end"/>
        </w:r>
      </w:p>
    </w:sdtContent>
  </w:sdt>
  <w:p w:rsidR="00176373" w:rsidRDefault="001763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FooterCoverPage"/>
      <w:rPr>
        <w:rFonts w:ascii="Arial" w:hAnsi="Arial" w:cs="Arial"/>
        <w:b/>
        <w:sz w:val="48"/>
      </w:rPr>
    </w:pPr>
    <w:r w:rsidRPr="00E474D1">
      <w:rPr>
        <w:rFonts w:ascii="Arial" w:hAnsi="Arial" w:cs="Arial"/>
        <w:b/>
        <w:sz w:val="48"/>
      </w:rPr>
      <w:t>EN</w:t>
    </w:r>
    <w:r w:rsidRPr="00E474D1">
      <w:rPr>
        <w:rFonts w:ascii="Arial" w:hAnsi="Arial" w:cs="Arial"/>
        <w:b/>
        <w:sz w:val="48"/>
      </w:rPr>
      <w:tab/>
    </w:r>
    <w:r w:rsidRPr="00E474D1">
      <w:rPr>
        <w:rFonts w:ascii="Arial" w:hAnsi="Arial" w:cs="Arial"/>
        <w:b/>
        <w:sz w:val="48"/>
      </w:rPr>
      <w:tab/>
    </w:r>
    <w:r w:rsidRPr="00E474D1">
      <w:tab/>
    </w:r>
    <w:r w:rsidRPr="00E474D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0188"/>
      <w:docPartObj>
        <w:docPartGallery w:val="Page Numbers (Bottom of Page)"/>
        <w:docPartUnique/>
      </w:docPartObj>
    </w:sdtPr>
    <w:sdtEndPr>
      <w:rPr>
        <w:noProof/>
      </w:rPr>
    </w:sdtEndPr>
    <w:sdtContent>
      <w:p w:rsidR="00176373" w:rsidRDefault="00E474D1">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rsidR="00176373" w:rsidRDefault="001763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07624"/>
      <w:docPartObj>
        <w:docPartGallery w:val="Page Numbers (Bottom of Page)"/>
        <w:docPartUnique/>
      </w:docPartObj>
    </w:sdtPr>
    <w:sdtEndPr>
      <w:rPr>
        <w:noProof/>
      </w:rPr>
    </w:sdtEndPr>
    <w:sdtContent>
      <w:p w:rsidR="00176373" w:rsidRDefault="00E474D1">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52</w:t>
        </w:r>
        <w:r>
          <w:rPr>
            <w:rFonts w:ascii="Times New Roman" w:hAnsi="Times New Roman" w:cs="Times New Roman"/>
          </w:rPr>
          <w:fldChar w:fldCharType="end"/>
        </w:r>
      </w:p>
    </w:sdtContent>
  </w:sdt>
  <w:p w:rsidR="00176373" w:rsidRDefault="001763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373" w:rsidRDefault="00E474D1">
      <w:r>
        <w:separator/>
      </w:r>
    </w:p>
  </w:footnote>
  <w:footnote w:type="continuationSeparator" w:id="0">
    <w:p w:rsidR="00176373" w:rsidRDefault="00E474D1">
      <w:pPr>
        <w:spacing w:after="0" w:line="240" w:lineRule="auto"/>
      </w:pPr>
      <w:r>
        <w:continuationSeparator/>
      </w:r>
    </w:p>
    <w:p w:rsidR="00176373" w:rsidRDefault="00176373"/>
  </w:footnote>
  <w:footnote w:type="continuationNotice" w:id="1">
    <w:p w:rsidR="00176373" w:rsidRDefault="00176373">
      <w:pPr>
        <w:spacing w:after="0" w:line="240" w:lineRule="auto"/>
      </w:pPr>
    </w:p>
    <w:p w:rsidR="00176373" w:rsidRDefault="00176373"/>
  </w:footnote>
  <w:footnote w:id="2">
    <w:p w:rsidR="00176373" w:rsidRDefault="00E474D1">
      <w:pPr>
        <w:pStyle w:val="FootnoteText"/>
        <w:jc w:val="both"/>
        <w:rPr>
          <w:rFonts w:ascii="Times New Roman" w:hAnsi="Times New Roman" w:cs="Times New Roman"/>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Greece submitted its National Reform Programme on 27 April 2021. The information provided in the National Reform Programme is being considered and jointly assessed in this Staff Working Document together with the Recovery and Resilience Plan.</w:t>
      </w:r>
    </w:p>
  </w:footnote>
  <w:footnote w:id="3">
    <w:p w:rsidR="00176373" w:rsidRDefault="00E474D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Pend</w:t>
      </w:r>
      <w:r>
        <w:rPr>
          <w:rFonts w:ascii="Times New Roman" w:hAnsi="Times New Roman" w:cs="Times New Roman"/>
        </w:rPr>
        <w:t>ing final adoption by the Council, after endorsement by the European Council. The text agreed by the Eurogroup on 16 December 2020 is available at: </w:t>
      </w:r>
      <w:hyperlink r:id="rId1" w:history="1">
        <w:r>
          <w:rPr>
            <w:rStyle w:val="Hyperlink"/>
            <w:rFonts w:ascii="Times New Roman" w:hAnsi="Times New Roman" w:cs="Times New Roman"/>
          </w:rPr>
          <w:t>https://data.consili</w:t>
        </w:r>
        <w:r>
          <w:rPr>
            <w:rStyle w:val="Hyperlink"/>
            <w:rFonts w:ascii="Times New Roman" w:hAnsi="Times New Roman" w:cs="Times New Roman"/>
          </w:rPr>
          <w:t>um.europa.eu/doc/document/ST-14356-2020-INIT/en/pdf</w:t>
        </w:r>
      </w:hyperlink>
      <w:r>
        <w:rPr>
          <w:rStyle w:val="Hyperlink"/>
          <w:rFonts w:ascii="Times New Roman" w:hAnsi="Times New Roman" w:cs="Times New Roman"/>
        </w:rPr>
        <w:t>.</w:t>
      </w:r>
    </w:p>
  </w:footnote>
  <w:footnote w:id="4">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rPr>
        <w:footnoteRef/>
      </w:r>
      <w:r>
        <w:rPr>
          <w:rFonts w:ascii="Times New Roman" w:hAnsi="Times New Roman" w:cs="Times New Roman"/>
        </w:rPr>
        <w:t xml:space="preserve"> Figures in this paragraph refer to non-repayable financial support only.</w:t>
      </w:r>
    </w:p>
  </w:footnote>
  <w:footnote w:id="5">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 xml:space="preserve">Enhanced surveillance supports the continuation, completion, and delivery of reforms agreed under the European Stability </w:t>
      </w:r>
      <w:r>
        <w:rPr>
          <w:rFonts w:ascii="Times New Roman" w:hAnsi="Times New Roman" w:cs="Times New Roman"/>
        </w:rPr>
        <w:t>Mechanism stability support programme (2015-2018). See Articles 2 and 3 of Regulation (EU) No 472/2013 of the European Parliament and the Council of 21 May 2013 on the strengthening of economic and budgetary surveillance of Member States in the euro area e</w:t>
      </w:r>
      <w:r>
        <w:rPr>
          <w:rFonts w:ascii="Times New Roman" w:hAnsi="Times New Roman" w:cs="Times New Roman"/>
        </w:rPr>
        <w:t>xperiencing or threatened with serious difficulties with respect to their financial stability, OJ L140, 27.5.2013, p. 1.</w:t>
      </w:r>
      <w:r>
        <w:rPr>
          <w:rFonts w:ascii="Times New Roman" w:hAnsi="Times New Roman" w:cs="Times New Roman"/>
          <w:sz w:val="22"/>
          <w:szCs w:val="22"/>
          <w:highlight w:val="yellow"/>
        </w:rPr>
        <w:t xml:space="preserve"> </w:t>
      </w:r>
    </w:p>
  </w:footnote>
  <w:footnote w:id="6">
    <w:p w:rsidR="00176373" w:rsidRDefault="00E474D1">
      <w:pPr>
        <w:pStyle w:val="FootnoteText"/>
      </w:pPr>
      <w:r>
        <w:rPr>
          <w:rStyle w:val="FootnoteReference"/>
        </w:rPr>
        <w:footnoteRef/>
      </w:r>
      <w:r>
        <w:t xml:space="preserve"> </w:t>
      </w:r>
      <w:r>
        <w:rPr>
          <w:rFonts w:ascii="Times New Roman" w:hAnsi="Times New Roman" w:cs="Times New Roman"/>
        </w:rPr>
        <w:t>Communication from the Commission on Economic Policy Coordination in 2021: Overcoming COVID-19, Supporting the Recovery and Modernis</w:t>
      </w:r>
      <w:r>
        <w:rPr>
          <w:rFonts w:ascii="Times New Roman" w:hAnsi="Times New Roman" w:cs="Times New Roman"/>
        </w:rPr>
        <w:t>ing our Economy, COM(2021)500. In-depth Review for Greece, COM(2021)403.</w:t>
      </w:r>
      <w:r>
        <w:t xml:space="preserve"> </w:t>
      </w:r>
    </w:p>
  </w:footnote>
  <w:footnote w:id="7">
    <w:p w:rsidR="00176373" w:rsidRDefault="00E474D1">
      <w:pPr>
        <w:pStyle w:val="FootnoteText"/>
        <w:jc w:val="both"/>
        <w:rPr>
          <w:rFonts w:ascii="Times New Roman" w:hAnsi="Times New Roman" w:cs="Times New Roman"/>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szCs w:val="22"/>
        </w:rPr>
        <w:t>Headline deficit in ESA terms, according to the latest EDP notification from Eurostat.</w:t>
      </w:r>
    </w:p>
  </w:footnote>
  <w:footnote w:id="8">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Cs w:val="22"/>
        </w:rPr>
        <w:footnoteRef/>
      </w:r>
      <w:r>
        <w:rPr>
          <w:rFonts w:ascii="Times New Roman" w:hAnsi="Times New Roman" w:cs="Times New Roman"/>
          <w:szCs w:val="22"/>
        </w:rPr>
        <w:t xml:space="preserve"> According to the latest EDP notification from Eurostat.</w:t>
      </w:r>
    </w:p>
  </w:footnote>
  <w:footnote w:id="9">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10</w:t>
      </w:r>
      <w:r>
        <w:rPr>
          <w:rFonts w:ascii="Times New Roman" w:hAnsi="Times New Roman" w:cs="Times New Roman"/>
          <w:vertAlign w:val="superscript"/>
        </w:rPr>
        <w:t>th</w:t>
      </w:r>
      <w:r>
        <w:rPr>
          <w:rFonts w:ascii="Times New Roman" w:hAnsi="Times New Roman" w:cs="Times New Roman"/>
        </w:rPr>
        <w:t xml:space="preserve"> Enhanced Surveillance Report</w:t>
      </w:r>
      <w:r>
        <w:rPr>
          <w:rFonts w:ascii="Times New Roman" w:hAnsi="Times New Roman" w:cs="Times New Roman"/>
        </w:rPr>
        <w:t xml:space="preserve"> on Greece, COM(2021)528.</w:t>
      </w:r>
    </w:p>
  </w:footnote>
  <w:footnote w:id="10">
    <w:p w:rsidR="00176373" w:rsidRDefault="00E474D1">
      <w:pPr>
        <w:pStyle w:val="FootnoteText"/>
        <w:jc w:val="both"/>
        <w:rPr>
          <w:rFonts w:ascii="Times New Roman" w:hAnsi="Times New Roman" w:cs="Times New Roman"/>
          <w:sz w:val="22"/>
          <w:szCs w:val="22"/>
          <w:lang w:val="en-IE"/>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Based on Eurostat, gross capital formation in health care (gov_10a_exp).</w:t>
      </w:r>
    </w:p>
  </w:footnote>
  <w:footnote w:id="11">
    <w:p w:rsidR="00176373" w:rsidRDefault="00E474D1">
      <w:pPr>
        <w:pStyle w:val="FootnoteText"/>
        <w:jc w:val="both"/>
        <w:rPr>
          <w:rFonts w:ascii="Times New Roman" w:hAnsi="Times New Roman" w:cs="Times New Roman"/>
          <w:sz w:val="22"/>
          <w:szCs w:val="22"/>
          <w:lang w:val="en-IE"/>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Source: Eurostat. Severe difficulties in personal care activities or household activities by sex, age and type of activity where the severe difficulty is</w:t>
      </w:r>
      <w:r>
        <w:rPr>
          <w:rFonts w:ascii="Times New Roman" w:hAnsi="Times New Roman" w:cs="Times New Roman"/>
        </w:rPr>
        <w:t xml:space="preserve"> encountered (hlth_ehis_tadle). Last update: 08-02-2021.</w:t>
      </w:r>
    </w:p>
  </w:footnote>
  <w:footnote w:id="12">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World Bank World Governance and EC Standard Eurobarometer’s annual indicators for example.</w:t>
      </w:r>
    </w:p>
  </w:footnote>
  <w:footnote w:id="13">
    <w:p w:rsidR="00176373" w:rsidRDefault="00E474D1">
      <w:pPr>
        <w:pStyle w:val="FootnoteText"/>
        <w:rPr>
          <w:rFonts w:cs="Times New Roman"/>
        </w:rPr>
      </w:pPr>
      <w:r>
        <w:rPr>
          <w:rStyle w:val="FootnoteReference"/>
          <w:rFonts w:cs="Times New Roman"/>
        </w:rPr>
        <w:footnoteRef/>
      </w:r>
      <w:r>
        <w:rPr>
          <w:rFonts w:cs="Times New Roman"/>
        </w:rPr>
        <w:t xml:space="preserve"> </w:t>
      </w:r>
      <w:r>
        <w:rPr>
          <w:rFonts w:ascii="Times New Roman" w:hAnsi="Times New Roman" w:cs="Times New Roman"/>
        </w:rPr>
        <w:t>2021 EU Justice Scoreboard (forthcoming).</w:t>
      </w:r>
    </w:p>
  </w:footnote>
  <w:footnote w:id="14">
    <w:p w:rsidR="00176373" w:rsidRDefault="00E474D1">
      <w:pPr>
        <w:pStyle w:val="FootnoteText"/>
        <w:jc w:val="both"/>
        <w:rPr>
          <w:rStyle w:val="Hyperlink"/>
          <w:rFonts w:ascii="Times New Roman" w:eastAsia="Cambria" w:hAnsi="Times New Roman" w:cs="Times New Roman"/>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eastAsia="Cambria" w:hAnsi="Times New Roman" w:cs="Times New Roman"/>
        </w:rPr>
        <w:t xml:space="preserve">European Commission, </w:t>
      </w:r>
      <w:hyperlink r:id="rId2" w:history="1">
        <w:r>
          <w:rPr>
            <w:rStyle w:val="Hyperlink"/>
            <w:rFonts w:ascii="Times New Roman" w:eastAsia="Cambria" w:hAnsi="Times New Roman" w:cs="Times New Roman"/>
          </w:rPr>
          <w:t>Environmental Implementation Review 2019 - Greece</w:t>
        </w:r>
      </w:hyperlink>
      <w:r>
        <w:rPr>
          <w:rStyle w:val="Hyperlink"/>
          <w:rFonts w:ascii="Times New Roman" w:eastAsia="Cambria" w:hAnsi="Times New Roman" w:cs="Times New Roman"/>
        </w:rPr>
        <w:t>.</w:t>
      </w:r>
    </w:p>
  </w:footnote>
  <w:footnote w:id="15">
    <w:p w:rsidR="00176373" w:rsidRDefault="00E474D1">
      <w:pPr>
        <w:pStyle w:val="FootnoteText"/>
        <w:jc w:val="both"/>
        <w:rPr>
          <w:rStyle w:val="Hyperlink"/>
          <w:rFonts w:ascii="Times New Roman" w:eastAsia="Cambria" w:hAnsi="Times New Roman" w:cs="Times New Roman"/>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eastAsia="Cambria" w:hAnsi="Times New Roman" w:cs="Times New Roman"/>
        </w:rPr>
        <w:t xml:space="preserve">European Environmental Agency, </w:t>
      </w:r>
      <w:hyperlink r:id="rId3" w:history="1">
        <w:r>
          <w:rPr>
            <w:rStyle w:val="Hyperlink"/>
            <w:rFonts w:ascii="Times New Roman" w:eastAsia="Cambria" w:hAnsi="Times New Roman" w:cs="Times New Roman"/>
          </w:rPr>
          <w:t>Conservation status and trends of</w:t>
        </w:r>
        <w:r>
          <w:rPr>
            <w:rStyle w:val="Hyperlink"/>
            <w:rFonts w:ascii="Times New Roman" w:eastAsia="Cambria" w:hAnsi="Times New Roman" w:cs="Times New Roman"/>
          </w:rPr>
          <w:t xml:space="preserve"> habitats and species 2019</w:t>
        </w:r>
      </w:hyperlink>
      <w:r>
        <w:rPr>
          <w:rStyle w:val="Hyperlink"/>
          <w:rFonts w:ascii="Times New Roman" w:eastAsia="Cambria" w:hAnsi="Times New Roman" w:cs="Times New Roman"/>
        </w:rPr>
        <w:t>.</w:t>
      </w:r>
    </w:p>
  </w:footnote>
  <w:footnote w:id="16">
    <w:p w:rsidR="00176373" w:rsidRDefault="00E474D1">
      <w:pPr>
        <w:pStyle w:val="FootnoteText"/>
        <w:jc w:val="both"/>
        <w:rPr>
          <w:rFonts w:ascii="Times New Roman" w:eastAsia="Cambria"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eastAsia="Cambria" w:hAnsi="Times New Roman" w:cs="Times New Roman"/>
        </w:rPr>
        <w:t>Regulation (EU) No 1143/2014 of the European Parliament and of the Council of 22 October 2014 on the prevention and management of the introduction and spread of invasive alien species, OJ L 317, 4.11.2014, p. 35.</w:t>
      </w:r>
    </w:p>
  </w:footnote>
  <w:footnote w:id="17">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For all pio</w:t>
      </w:r>
      <w:r>
        <w:rPr>
          <w:rFonts w:ascii="Times New Roman" w:hAnsi="Times New Roman" w:cs="Times New Roman"/>
        </w:rPr>
        <w:t>neer bands (700 MHz, 3400 -3800 MHz and 26 GHz) as well as of the 2 GHz band.</w:t>
      </w:r>
    </w:p>
  </w:footnote>
  <w:footnote w:id="18">
    <w:p w:rsidR="00176373" w:rsidRDefault="00E474D1">
      <w:pPr>
        <w:pStyle w:val="FootnoteText"/>
        <w:jc w:val="both"/>
        <w:rPr>
          <w:rFonts w:ascii="Times New Roman" w:hAnsi="Times New Roman" w:cs="Times New Roman"/>
          <w:sz w:val="22"/>
          <w:szCs w:val="22"/>
          <w:lang w:val="fr-BE"/>
        </w:rPr>
      </w:pPr>
      <w:r>
        <w:rPr>
          <w:rStyle w:val="FootnoteReference"/>
          <w:rFonts w:ascii="Times New Roman" w:hAnsi="Times New Roman" w:cs="Times New Roman"/>
          <w:sz w:val="22"/>
          <w:szCs w:val="22"/>
        </w:rPr>
        <w:footnoteRef/>
      </w:r>
      <w:r>
        <w:rPr>
          <w:rFonts w:ascii="Times New Roman" w:hAnsi="Times New Roman" w:cs="Times New Roman"/>
          <w:sz w:val="22"/>
          <w:szCs w:val="22"/>
          <w:lang w:val="fr-BE"/>
        </w:rPr>
        <w:t xml:space="preserve"> </w:t>
      </w:r>
      <w:r>
        <w:rPr>
          <w:rFonts w:ascii="Times New Roman" w:hAnsi="Times New Roman" w:cs="Times New Roman"/>
          <w:lang w:val="fr-BE"/>
        </w:rPr>
        <w:t>Source: Eurostat - Labour Force Survey.</w:t>
      </w:r>
    </w:p>
  </w:footnote>
  <w:footnote w:id="19">
    <w:p w:rsidR="00176373" w:rsidRDefault="00E474D1">
      <w:pPr>
        <w:pStyle w:val="FootnoteText"/>
        <w:jc w:val="both"/>
        <w:rPr>
          <w:rFonts w:ascii="Times New Roman" w:hAnsi="Times New Roman" w:cs="Times New Roman"/>
          <w:sz w:val="22"/>
          <w:szCs w:val="22"/>
          <w:lang w:val="fr-BE"/>
        </w:rPr>
      </w:pPr>
      <w:r>
        <w:rPr>
          <w:rStyle w:val="FootnoteReference"/>
          <w:rFonts w:ascii="Times New Roman" w:hAnsi="Times New Roman" w:cs="Times New Roman"/>
          <w:sz w:val="22"/>
          <w:szCs w:val="22"/>
        </w:rPr>
        <w:footnoteRef/>
      </w:r>
      <w:r>
        <w:rPr>
          <w:rFonts w:ascii="Times New Roman" w:hAnsi="Times New Roman" w:cs="Times New Roman"/>
          <w:sz w:val="22"/>
          <w:szCs w:val="22"/>
          <w:lang w:val="fr-BE"/>
        </w:rPr>
        <w:t xml:space="preserve"> </w:t>
      </w:r>
      <w:r>
        <w:rPr>
          <w:rFonts w:ascii="Times New Roman" w:hAnsi="Times New Roman" w:cs="Times New Roman"/>
          <w:lang w:val="fr-BE"/>
        </w:rPr>
        <w:t>Source: Eurostat.</w:t>
      </w:r>
    </w:p>
  </w:footnote>
  <w:footnote w:id="20">
    <w:p w:rsidR="00176373" w:rsidRDefault="00E474D1">
      <w:pPr>
        <w:pStyle w:val="FootnoteText"/>
        <w:jc w:val="both"/>
        <w:rPr>
          <w:rFonts w:ascii="Times New Roman" w:hAnsi="Times New Roman" w:cs="Times New Roman"/>
          <w:sz w:val="22"/>
          <w:szCs w:val="22"/>
          <w:lang w:val="fr-BE"/>
        </w:rPr>
      </w:pPr>
      <w:r>
        <w:rPr>
          <w:rStyle w:val="FootnoteReference"/>
          <w:rFonts w:ascii="Times New Roman" w:hAnsi="Times New Roman" w:cs="Times New Roman"/>
          <w:sz w:val="22"/>
          <w:szCs w:val="22"/>
        </w:rPr>
        <w:footnoteRef/>
      </w:r>
      <w:r>
        <w:rPr>
          <w:rFonts w:ascii="Times New Roman" w:hAnsi="Times New Roman" w:cs="Times New Roman"/>
          <w:sz w:val="22"/>
          <w:szCs w:val="22"/>
          <w:lang w:val="fr-BE"/>
        </w:rPr>
        <w:t xml:space="preserve"> </w:t>
      </w:r>
      <w:r>
        <w:rPr>
          <w:rFonts w:ascii="Times New Roman" w:hAnsi="Times New Roman" w:cs="Times New Roman"/>
          <w:lang w:val="fr-BE"/>
        </w:rPr>
        <w:t>Source: Eurostat.</w:t>
      </w:r>
    </w:p>
  </w:footnote>
  <w:footnote w:id="21">
    <w:p w:rsidR="00176373" w:rsidRDefault="00E474D1">
      <w:pPr>
        <w:pStyle w:val="FootnoteText"/>
        <w:jc w:val="both"/>
        <w:rPr>
          <w:rFonts w:ascii="Times New Roman" w:hAnsi="Times New Roman" w:cs="Times New Roman"/>
          <w:sz w:val="22"/>
          <w:szCs w:val="22"/>
          <w:lang w:val="fr-BE"/>
        </w:rPr>
      </w:pPr>
      <w:r>
        <w:rPr>
          <w:rStyle w:val="FootnoteReference"/>
          <w:rFonts w:ascii="Times New Roman" w:hAnsi="Times New Roman" w:cs="Times New Roman"/>
          <w:sz w:val="22"/>
          <w:szCs w:val="22"/>
        </w:rPr>
        <w:footnoteRef/>
      </w:r>
      <w:r>
        <w:rPr>
          <w:rFonts w:ascii="Times New Roman" w:hAnsi="Times New Roman" w:cs="Times New Roman"/>
          <w:sz w:val="22"/>
          <w:szCs w:val="22"/>
          <w:lang w:val="fr-BE"/>
        </w:rPr>
        <w:t xml:space="preserve"> </w:t>
      </w:r>
      <w:r>
        <w:rPr>
          <w:rFonts w:ascii="Times New Roman" w:hAnsi="Times New Roman" w:cs="Times New Roman"/>
          <w:lang w:val="fr-BE"/>
        </w:rPr>
        <w:t>Source: Eurostat.</w:t>
      </w:r>
    </w:p>
  </w:footnote>
  <w:footnote w:id="22">
    <w:p w:rsidR="00176373" w:rsidRDefault="00E474D1">
      <w:pPr>
        <w:pStyle w:val="FootnoteText"/>
        <w:rPr>
          <w:lang w:val="fr-BE"/>
        </w:rPr>
      </w:pPr>
      <w:r>
        <w:rPr>
          <w:rStyle w:val="FootnoteReference"/>
        </w:rPr>
        <w:footnoteRef/>
      </w:r>
      <w:r>
        <w:rPr>
          <w:lang w:val="fr-BE"/>
        </w:rPr>
        <w:t xml:space="preserve"> </w:t>
      </w:r>
      <w:r>
        <w:rPr>
          <w:rFonts w:ascii="Times New Roman" w:hAnsi="Times New Roman" w:cs="Times New Roman"/>
          <w:lang w:val="fr-BE"/>
        </w:rPr>
        <w:t>https://ec.europa.eu/digital-single-market/en/news/nine-more-countries-join-initiative-explore-quantum-communication-europe</w:t>
      </w:r>
    </w:p>
  </w:footnote>
  <w:footnote w:id="23">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Progress towards meeting SDGs, as described in this Box, is assessed over the period 2014-2019 for which data on the various indic</w:t>
      </w:r>
      <w:r>
        <w:rPr>
          <w:rFonts w:ascii="Times New Roman" w:hAnsi="Times New Roman" w:cs="Times New Roman"/>
        </w:rPr>
        <w:t>ators are available. The impact of the pandemic is not reflected in this analysis.</w:t>
      </w:r>
      <w:r>
        <w:rPr>
          <w:rFonts w:ascii="Times New Roman" w:hAnsi="Times New Roman" w:cs="Times New Roman"/>
          <w:sz w:val="22"/>
          <w:szCs w:val="22"/>
        </w:rPr>
        <w:t xml:space="preserve"> </w:t>
      </w:r>
    </w:p>
  </w:footnote>
  <w:footnote w:id="24">
    <w:p w:rsidR="00176373" w:rsidRDefault="00E474D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COM(2021) 350 final</w:t>
      </w:r>
    </w:p>
  </w:footnote>
  <w:footnote w:id="25">
    <w:p w:rsidR="00176373" w:rsidRDefault="00E474D1">
      <w:pPr>
        <w:pStyle w:val="FootnoteText"/>
        <w:jc w:val="both"/>
      </w:pPr>
      <w:r>
        <w:rPr>
          <w:rStyle w:val="FootnoteReference"/>
        </w:rPr>
        <w:footnoteRef/>
      </w:r>
      <w:r>
        <w:t xml:space="preserve"> </w:t>
      </w:r>
      <w:r>
        <w:rPr>
          <w:rFonts w:ascii="Times New Roman" w:hAnsi="Times New Roman" w:cs="Times New Roman"/>
        </w:rPr>
        <w:t xml:space="preserve">Pending final adoption by the Council, after endorsement by the European Council. The text agreed by the Eurogroup on 16 December 2020 is available </w:t>
      </w:r>
      <w:r>
        <w:rPr>
          <w:rFonts w:ascii="Times New Roman" w:hAnsi="Times New Roman" w:cs="Times New Roman"/>
        </w:rPr>
        <w:t>at: </w:t>
      </w:r>
      <w:hyperlink r:id="rId4" w:history="1">
        <w:r>
          <w:rPr>
            <w:rStyle w:val="Hyperlink"/>
            <w:rFonts w:ascii="Times New Roman" w:hAnsi="Times New Roman" w:cs="Times New Roman"/>
          </w:rPr>
          <w:t>https://data.consilium.europa.eu/doc/document/ST-14356-2020-INIT/en/pdf</w:t>
        </w:r>
      </w:hyperlink>
    </w:p>
  </w:footnote>
  <w:footnote w:id="26">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hyperlink r:id="rId5" w:history="1">
        <w:r>
          <w:rPr>
            <w:rStyle w:val="Hyperlink"/>
            <w:rFonts w:ascii="Times New Roman" w:eastAsia="Times New Roman" w:hAnsi="Times New Roman" w:cs="Times New Roman"/>
          </w:rPr>
          <w:t>https://www.minfin.gr/we</w:t>
        </w:r>
        <w:r>
          <w:rPr>
            <w:rStyle w:val="Hyperlink"/>
            <w:rFonts w:ascii="Times New Roman" w:eastAsia="Times New Roman" w:hAnsi="Times New Roman" w:cs="Times New Roman"/>
          </w:rPr>
          <w:t>b/guest/tameio-anakampses</w:t>
        </w:r>
      </w:hyperlink>
    </w:p>
  </w:footnote>
  <w:footnote w:id="27">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eastAsia="Times New Roman" w:hAnsi="Times New Roman" w:cs="Times New Roman"/>
        </w:rPr>
        <w:t>Commission Regulation 651/2014, OJ L 187, 26.6.2014, p. 1.</w:t>
      </w:r>
    </w:p>
  </w:footnote>
  <w:footnote w:id="28">
    <w:p w:rsidR="00176373" w:rsidRDefault="00E474D1">
      <w:pPr>
        <w:pStyle w:val="FootnoteText"/>
        <w:tabs>
          <w:tab w:val="left" w:pos="709"/>
        </w:tabs>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color w:val="000000"/>
        </w:rPr>
        <w:t>These macroeconomic imbalances refer to the recommendations made pursuant to Article 6 of Regulation (EU) No 1176/2011 in 2019 and 2020</w:t>
      </w:r>
      <w:r>
        <w:rPr>
          <w:rFonts w:ascii="Times New Roman" w:hAnsi="Times New Roman" w:cs="Times New Roman"/>
        </w:rPr>
        <w:t>.</w:t>
      </w:r>
    </w:p>
  </w:footnote>
  <w:footnote w:id="29">
    <w:p w:rsidR="00176373" w:rsidRDefault="00E474D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RRF amounts to roughly 90% o</w:t>
      </w:r>
      <w:r>
        <w:rPr>
          <w:rFonts w:ascii="Times New Roman" w:hAnsi="Times New Roman" w:cs="Times New Roman"/>
        </w:rPr>
        <w:t>f NGEU, which also includes ReactEU, Horizon, InvestEU, JTF, Rural Development and RescEU.</w:t>
      </w:r>
    </w:p>
  </w:footnote>
  <w:footnote w:id="30">
    <w:p w:rsidR="00176373" w:rsidRDefault="00E474D1">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IE"/>
        </w:rPr>
        <w:t>Technically, the low productivity scenario considers a significantly reduced output elasticity of public capital.</w:t>
      </w:r>
    </w:p>
  </w:footnote>
  <w:footnote w:id="31">
    <w:p w:rsidR="00176373" w:rsidRDefault="00E474D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Varga, J, in 't Veld J. (2014), “The potential growth impact of structural reforms in the EU: a benchmarking exercise ", European Economy Economic Papers no. 541. </w:t>
      </w:r>
    </w:p>
    <w:p w:rsidR="00176373" w:rsidRDefault="00E474D1">
      <w:pPr>
        <w:pStyle w:val="FootnoteText"/>
        <w:jc w:val="both"/>
      </w:pPr>
      <w:hyperlink r:id="rId6" w:history="1">
        <w:r>
          <w:rPr>
            <w:rStyle w:val="Hyperlink"/>
            <w:rFonts w:ascii="Times New Roman" w:hAnsi="Times New Roman" w:cs="Times New Roman"/>
          </w:rPr>
          <w:t>http://ec.europa.eu/economy_finance/publications/economic_paper/2014/pdf/ecp541_en.pdf</w:t>
        </w:r>
      </w:hyperlink>
      <w:r>
        <w:rPr>
          <w:rStyle w:val="Hyperlink"/>
          <w:rFonts w:ascii="Times New Roman" w:hAnsi="Times New Roman" w:cs="Times New Roman"/>
        </w:rPr>
        <w:t xml:space="preserve">. </w:t>
      </w:r>
    </w:p>
  </w:footnote>
  <w:footnote w:id="32">
    <w:p w:rsidR="00176373" w:rsidRDefault="00E474D1">
      <w:pPr>
        <w:pStyle w:val="FootnoteText"/>
        <w:jc w:val="both"/>
        <w:rPr>
          <w:rFonts w:ascii="Times New Roman" w:eastAsia="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eastAsia="Times New Roman" w:hAnsi="Times New Roman" w:cs="Times New Roman"/>
          <w:sz w:val="22"/>
          <w:szCs w:val="22"/>
        </w:rPr>
        <w:t xml:space="preserve"> </w:t>
      </w:r>
      <w:r>
        <w:rPr>
          <w:rFonts w:ascii="Times New Roman" w:eastAsia="Times New Roman" w:hAnsi="Times New Roman" w:cs="Times New Roman"/>
        </w:rPr>
        <w:t>The six environmental objectives comprise (1) climate change mitigation, (2) climate change adaptation, (3) sustainable use and protection of water and m</w:t>
      </w:r>
      <w:r>
        <w:rPr>
          <w:rFonts w:ascii="Times New Roman" w:eastAsia="Times New Roman" w:hAnsi="Times New Roman" w:cs="Times New Roman"/>
        </w:rPr>
        <w:t>arine resources, (4) the circular economy, (5) pollution prevention and control, and (6) protection and restoration of biodiversity and ecosystems.</w:t>
      </w:r>
    </w:p>
  </w:footnote>
  <w:footnote w:id="33">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2021/C58/01.</w:t>
      </w:r>
    </w:p>
  </w:footnote>
  <w:footnote w:id="34">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Assessment of the final national energy and climate plan of Greece, European Commission Sta</w:t>
      </w:r>
      <w:r>
        <w:rPr>
          <w:rFonts w:ascii="Times New Roman" w:hAnsi="Times New Roman" w:cs="Times New Roman"/>
        </w:rPr>
        <w:t>ff Working Document, Brussels, 14.10.2020 SWD(2020) 907 final, pages 9-10.</w:t>
      </w:r>
    </w:p>
  </w:footnote>
  <w:footnote w:id="35">
    <w:p w:rsidR="00176373" w:rsidRDefault="00E474D1">
      <w:pPr>
        <w:pStyle w:val="FootnoteText"/>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rPr>
        <w:t>The framework has been developed jointly by ECFIN and REFORM, in cooperation with other Commission services.</w:t>
      </w:r>
    </w:p>
  </w:footnote>
  <w:footnote w:id="36">
    <w:p w:rsidR="00176373" w:rsidRDefault="00E474D1">
      <w:pPr>
        <w:pStyle w:val="FootnoteText"/>
        <w:jc w:val="both"/>
        <w:rPr>
          <w:rFonts w:ascii="Times New Roman" w:hAnsi="Times New Roman" w:cs="Times New Roman"/>
          <w:sz w:val="22"/>
          <w:szCs w:val="22"/>
          <w:lang w:val="en-IE"/>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hyperlink r:id="rId7" w:history="1">
        <w:r>
          <w:rPr>
            <w:rStyle w:val="Hyperlink"/>
            <w:rFonts w:ascii="Times New Roman" w:eastAsia="Times New Roman" w:hAnsi="Times New Roman" w:cs="Times New Roman"/>
            <w:lang w:val="en-IE"/>
          </w:rPr>
          <w:t>ht</w:t>
        </w:r>
        <w:r>
          <w:rPr>
            <w:rStyle w:val="Hyperlink"/>
            <w:rFonts w:ascii="Times New Roman" w:eastAsia="Times New Roman" w:hAnsi="Times New Roman" w:cs="Times New Roman"/>
            <w:lang w:val="en-IE"/>
          </w:rPr>
          <w:t>tps://www.minfin.gr/web/guest/tameio-anakampses</w:t>
        </w:r>
      </w:hyperlink>
    </w:p>
  </w:footnote>
  <w:footnote w:id="37">
    <w:p w:rsidR="00176373" w:rsidRDefault="00E474D1">
      <w:pPr>
        <w:pStyle w:val="FootnoteText"/>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cs="Times New Roman"/>
          <w:sz w:val="18"/>
        </w:rPr>
        <w:t xml:space="preserve"> The ‘Methodology for climate tracking’ annexed to the Recovery and Resilience Facility Regulation (2021/241) does not set out intervention fields that would allow for climate or environmental tracking of electric vehicles or plug-in hybrid vehicles, excep</w:t>
      </w:r>
      <w:r>
        <w:rPr>
          <w:rFonts w:ascii="Times New Roman" w:hAnsi="Times New Roman" w:cs="Times New Roman"/>
          <w:sz w:val="18"/>
        </w:rPr>
        <w:t>t for vehicles for urban transport falling under intervention field 074. According to Article 18(4)(e) of the Regulation, the methodology should however ‘be used accordingly for measures that cannot be directly assigned to an intervention field listed in A</w:t>
      </w:r>
      <w:r>
        <w:rPr>
          <w:rFonts w:ascii="Times New Roman" w:hAnsi="Times New Roman" w:cs="Times New Roman"/>
          <w:sz w:val="18"/>
        </w:rPr>
        <w:t>nnex VI’. In this context, the Commission has applied a 100% climate contribution coefficient for zero-emission vehicles of all categories (this includes battery electric and fuel cell/hydrogen-powered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D1" w:rsidRPr="00E474D1" w:rsidRDefault="00E474D1" w:rsidP="00E474D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73" w:rsidRDefault="0017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72C"/>
    <w:multiLevelType w:val="hybridMultilevel"/>
    <w:tmpl w:val="410A6ECC"/>
    <w:lvl w:ilvl="0" w:tplc="EA100F28">
      <w:start w:val="1"/>
      <w:numFmt w:val="decimal"/>
      <w:lvlText w:val="%1."/>
      <w:lvlJc w:val="left"/>
      <w:pPr>
        <w:ind w:left="720" w:hanging="360"/>
      </w:pPr>
    </w:lvl>
    <w:lvl w:ilvl="1" w:tplc="E54894E6">
      <w:start w:val="1"/>
      <w:numFmt w:val="lowerLetter"/>
      <w:lvlText w:val="%2."/>
      <w:lvlJc w:val="left"/>
      <w:pPr>
        <w:ind w:left="1440" w:hanging="360"/>
      </w:pPr>
    </w:lvl>
    <w:lvl w:ilvl="2" w:tplc="C19C2E2C">
      <w:start w:val="1"/>
      <w:numFmt w:val="lowerRoman"/>
      <w:lvlText w:val="%3."/>
      <w:lvlJc w:val="right"/>
      <w:pPr>
        <w:ind w:left="2160" w:hanging="180"/>
      </w:pPr>
    </w:lvl>
    <w:lvl w:ilvl="3" w:tplc="D2965E92">
      <w:start w:val="1"/>
      <w:numFmt w:val="decimal"/>
      <w:lvlText w:val="%4."/>
      <w:lvlJc w:val="left"/>
      <w:pPr>
        <w:ind w:left="2880" w:hanging="360"/>
      </w:pPr>
    </w:lvl>
    <w:lvl w:ilvl="4" w:tplc="A1DAB74C">
      <w:start w:val="1"/>
      <w:numFmt w:val="lowerLetter"/>
      <w:lvlText w:val="%5."/>
      <w:lvlJc w:val="left"/>
      <w:pPr>
        <w:ind w:left="3600" w:hanging="360"/>
      </w:pPr>
    </w:lvl>
    <w:lvl w:ilvl="5" w:tplc="78D4DBC2">
      <w:start w:val="1"/>
      <w:numFmt w:val="lowerRoman"/>
      <w:lvlText w:val="%6."/>
      <w:lvlJc w:val="right"/>
      <w:pPr>
        <w:ind w:left="4320" w:hanging="180"/>
      </w:pPr>
    </w:lvl>
    <w:lvl w:ilvl="6" w:tplc="523AD1B8">
      <w:start w:val="1"/>
      <w:numFmt w:val="decimal"/>
      <w:lvlText w:val="%7."/>
      <w:lvlJc w:val="left"/>
      <w:pPr>
        <w:ind w:left="5040" w:hanging="360"/>
      </w:pPr>
    </w:lvl>
    <w:lvl w:ilvl="7" w:tplc="27847A7C">
      <w:start w:val="1"/>
      <w:numFmt w:val="lowerLetter"/>
      <w:lvlText w:val="%8."/>
      <w:lvlJc w:val="left"/>
      <w:pPr>
        <w:ind w:left="5760" w:hanging="360"/>
      </w:pPr>
    </w:lvl>
    <w:lvl w:ilvl="8" w:tplc="72769396">
      <w:start w:val="1"/>
      <w:numFmt w:val="lowerRoman"/>
      <w:lvlText w:val="%9."/>
      <w:lvlJc w:val="right"/>
      <w:pPr>
        <w:ind w:left="6480" w:hanging="180"/>
      </w:pPr>
    </w:lvl>
  </w:abstractNum>
  <w:abstractNum w:abstractNumId="1" w15:restartNumberingAfterBreak="0">
    <w:nsid w:val="0BB66E00"/>
    <w:multiLevelType w:val="multilevel"/>
    <w:tmpl w:val="AF20E67C"/>
    <w:lvl w:ilvl="0">
      <w:start w:val="1"/>
      <w:numFmt w:val="decimal"/>
      <w:lvlText w:val="%1."/>
      <w:lvlJc w:val="left"/>
      <w:pPr>
        <w:tabs>
          <w:tab w:val="num" w:pos="482"/>
        </w:tabs>
        <w:ind w:left="482" w:hanging="482"/>
      </w:pPr>
      <w:rPr>
        <w:rFonts w:hint="default"/>
      </w:rPr>
    </w:lvl>
    <w:lvl w:ilvl="1">
      <w:start w:val="1"/>
      <w:numFmt w:val="decimal"/>
      <w:lvlText w:val="%2."/>
      <w:lvlJc w:val="left"/>
      <w:pPr>
        <w:tabs>
          <w:tab w:val="num" w:pos="1202"/>
        </w:tabs>
        <w:ind w:left="1202" w:hanging="72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1922"/>
        </w:tabs>
        <w:ind w:left="1922" w:hanging="720"/>
      </w:pPr>
      <w:rPr>
        <w:rFonts w:hint="default"/>
      </w:rPr>
    </w:lvl>
    <w:lvl w:ilvl="4">
      <w:start w:val="1"/>
      <w:numFmt w:val="decimal"/>
      <w:lvlText w:val="%1.%2.%3.%4.%5."/>
      <w:lvlJc w:val="left"/>
      <w:pPr>
        <w:tabs>
          <w:tab w:val="num" w:pos="2880"/>
        </w:tabs>
        <w:ind w:left="3838" w:hanging="958"/>
      </w:pPr>
      <w:rPr>
        <w:rFonts w:hint="default"/>
      </w:rPr>
    </w:lvl>
    <w:lvl w:ilvl="5">
      <w:start w:val="1"/>
      <w:numFmt w:val="decimal"/>
      <w:lvlText w:val="%1.%2.%3.%4.%5.%6."/>
      <w:lvlJc w:val="left"/>
      <w:pPr>
        <w:tabs>
          <w:tab w:val="num" w:pos="2880"/>
        </w:tabs>
        <w:ind w:left="3838" w:hanging="958"/>
      </w:pPr>
      <w:rPr>
        <w:rFonts w:hint="default"/>
      </w:rPr>
    </w:lvl>
    <w:lvl w:ilvl="6">
      <w:start w:val="1"/>
      <w:numFmt w:val="decimal"/>
      <w:lvlText w:val="%1.%2.%3.%4.%5.%6.%7."/>
      <w:lvlJc w:val="left"/>
      <w:pPr>
        <w:tabs>
          <w:tab w:val="num" w:pos="2880"/>
        </w:tabs>
        <w:ind w:left="3838" w:hanging="958"/>
      </w:pPr>
      <w:rPr>
        <w:rFonts w:hint="default"/>
      </w:rPr>
    </w:lvl>
    <w:lvl w:ilvl="7">
      <w:start w:val="1"/>
      <w:numFmt w:val="decimal"/>
      <w:lvlText w:val="%1.%2.%3.%4.%5.%6.%7.%8."/>
      <w:lvlJc w:val="left"/>
      <w:pPr>
        <w:tabs>
          <w:tab w:val="num" w:pos="2880"/>
        </w:tabs>
        <w:ind w:left="3838" w:hanging="958"/>
      </w:pPr>
      <w:rPr>
        <w:rFonts w:hint="default"/>
      </w:rPr>
    </w:lvl>
    <w:lvl w:ilvl="8">
      <w:start w:val="1"/>
      <w:numFmt w:val="decimal"/>
      <w:lvlText w:val="%1.%2.%3.%4.%5.%6.%7.%8.%9."/>
      <w:lvlJc w:val="left"/>
      <w:pPr>
        <w:tabs>
          <w:tab w:val="num" w:pos="2880"/>
        </w:tabs>
        <w:ind w:left="3838" w:hanging="958"/>
      </w:pPr>
      <w:rPr>
        <w:rFonts w:hint="default"/>
      </w:rPr>
    </w:lvl>
  </w:abstractNum>
  <w:abstractNum w:abstractNumId="2" w15:restartNumberingAfterBreak="0">
    <w:nsid w:val="173C1BAF"/>
    <w:multiLevelType w:val="hybridMultilevel"/>
    <w:tmpl w:val="82E61372"/>
    <w:lvl w:ilvl="0" w:tplc="47E21340">
      <w:start w:val="1"/>
      <w:numFmt w:val="bullet"/>
      <w:lvlText w:val="·"/>
      <w:lvlJc w:val="left"/>
      <w:pPr>
        <w:ind w:left="720" w:hanging="360"/>
      </w:pPr>
      <w:rPr>
        <w:rFonts w:ascii="Symbol" w:hAnsi="Symbol" w:hint="default"/>
      </w:rPr>
    </w:lvl>
    <w:lvl w:ilvl="1" w:tplc="C5363726">
      <w:start w:val="1"/>
      <w:numFmt w:val="bullet"/>
      <w:lvlText w:val="o"/>
      <w:lvlJc w:val="left"/>
      <w:pPr>
        <w:ind w:left="1440" w:hanging="360"/>
      </w:pPr>
      <w:rPr>
        <w:rFonts w:ascii="Courier New" w:hAnsi="Courier New" w:hint="default"/>
      </w:rPr>
    </w:lvl>
    <w:lvl w:ilvl="2" w:tplc="33825F5A">
      <w:start w:val="1"/>
      <w:numFmt w:val="bullet"/>
      <w:lvlText w:val=""/>
      <w:lvlJc w:val="left"/>
      <w:pPr>
        <w:ind w:left="2160" w:hanging="360"/>
      </w:pPr>
      <w:rPr>
        <w:rFonts w:ascii="Wingdings" w:hAnsi="Wingdings" w:hint="default"/>
      </w:rPr>
    </w:lvl>
    <w:lvl w:ilvl="3" w:tplc="5D68B1AA">
      <w:start w:val="1"/>
      <w:numFmt w:val="bullet"/>
      <w:lvlText w:val=""/>
      <w:lvlJc w:val="left"/>
      <w:pPr>
        <w:ind w:left="2880" w:hanging="360"/>
      </w:pPr>
      <w:rPr>
        <w:rFonts w:ascii="Symbol" w:hAnsi="Symbol" w:hint="default"/>
      </w:rPr>
    </w:lvl>
    <w:lvl w:ilvl="4" w:tplc="39C80468">
      <w:start w:val="1"/>
      <w:numFmt w:val="bullet"/>
      <w:lvlText w:val="o"/>
      <w:lvlJc w:val="left"/>
      <w:pPr>
        <w:ind w:left="3600" w:hanging="360"/>
      </w:pPr>
      <w:rPr>
        <w:rFonts w:ascii="Courier New" w:hAnsi="Courier New" w:hint="default"/>
      </w:rPr>
    </w:lvl>
    <w:lvl w:ilvl="5" w:tplc="88242D98">
      <w:start w:val="1"/>
      <w:numFmt w:val="bullet"/>
      <w:lvlText w:val=""/>
      <w:lvlJc w:val="left"/>
      <w:pPr>
        <w:ind w:left="4320" w:hanging="360"/>
      </w:pPr>
      <w:rPr>
        <w:rFonts w:ascii="Wingdings" w:hAnsi="Wingdings" w:hint="default"/>
      </w:rPr>
    </w:lvl>
    <w:lvl w:ilvl="6" w:tplc="A71AFCC6">
      <w:start w:val="1"/>
      <w:numFmt w:val="bullet"/>
      <w:lvlText w:val=""/>
      <w:lvlJc w:val="left"/>
      <w:pPr>
        <w:ind w:left="5040" w:hanging="360"/>
      </w:pPr>
      <w:rPr>
        <w:rFonts w:ascii="Symbol" w:hAnsi="Symbol" w:hint="default"/>
      </w:rPr>
    </w:lvl>
    <w:lvl w:ilvl="7" w:tplc="C284FAC2">
      <w:start w:val="1"/>
      <w:numFmt w:val="bullet"/>
      <w:lvlText w:val="o"/>
      <w:lvlJc w:val="left"/>
      <w:pPr>
        <w:ind w:left="5760" w:hanging="360"/>
      </w:pPr>
      <w:rPr>
        <w:rFonts w:ascii="Courier New" w:hAnsi="Courier New" w:hint="default"/>
      </w:rPr>
    </w:lvl>
    <w:lvl w:ilvl="8" w:tplc="68061B70">
      <w:start w:val="1"/>
      <w:numFmt w:val="bullet"/>
      <w:lvlText w:val=""/>
      <w:lvlJc w:val="left"/>
      <w:pPr>
        <w:ind w:left="6480" w:hanging="360"/>
      </w:pPr>
      <w:rPr>
        <w:rFonts w:ascii="Wingdings" w:hAnsi="Wingdings" w:hint="default"/>
      </w:rPr>
    </w:lvl>
  </w:abstractNum>
  <w:abstractNum w:abstractNumId="3" w15:restartNumberingAfterBreak="0">
    <w:nsid w:val="1A817143"/>
    <w:multiLevelType w:val="hybridMultilevel"/>
    <w:tmpl w:val="BF62A9AC"/>
    <w:lvl w:ilvl="0" w:tplc="C6647050">
      <w:start w:val="1"/>
      <w:numFmt w:val="bullet"/>
      <w:lvlText w:val=""/>
      <w:lvlJc w:val="left"/>
      <w:pPr>
        <w:ind w:left="720" w:hanging="360"/>
      </w:pPr>
      <w:rPr>
        <w:rFonts w:ascii="Symbol" w:hAnsi="Symbol" w:hint="default"/>
      </w:rPr>
    </w:lvl>
    <w:lvl w:ilvl="1" w:tplc="16D09170">
      <w:start w:val="1"/>
      <w:numFmt w:val="bullet"/>
      <w:lvlText w:val="o"/>
      <w:lvlJc w:val="left"/>
      <w:pPr>
        <w:ind w:left="1440" w:hanging="360"/>
      </w:pPr>
      <w:rPr>
        <w:rFonts w:ascii="Courier New" w:hAnsi="Courier New" w:hint="default"/>
      </w:rPr>
    </w:lvl>
    <w:lvl w:ilvl="2" w:tplc="FD5685B2">
      <w:start w:val="1"/>
      <w:numFmt w:val="bullet"/>
      <w:lvlText w:val=""/>
      <w:lvlJc w:val="left"/>
      <w:pPr>
        <w:ind w:left="2160" w:hanging="360"/>
      </w:pPr>
      <w:rPr>
        <w:rFonts w:ascii="Wingdings" w:hAnsi="Wingdings" w:hint="default"/>
      </w:rPr>
    </w:lvl>
    <w:lvl w:ilvl="3" w:tplc="61542A86">
      <w:start w:val="1"/>
      <w:numFmt w:val="bullet"/>
      <w:lvlText w:val=""/>
      <w:lvlJc w:val="left"/>
      <w:pPr>
        <w:ind w:left="2880" w:hanging="360"/>
      </w:pPr>
      <w:rPr>
        <w:rFonts w:ascii="Symbol" w:hAnsi="Symbol" w:hint="default"/>
      </w:rPr>
    </w:lvl>
    <w:lvl w:ilvl="4" w:tplc="A900F7FA">
      <w:start w:val="1"/>
      <w:numFmt w:val="bullet"/>
      <w:lvlText w:val="o"/>
      <w:lvlJc w:val="left"/>
      <w:pPr>
        <w:ind w:left="3600" w:hanging="360"/>
      </w:pPr>
      <w:rPr>
        <w:rFonts w:ascii="Courier New" w:hAnsi="Courier New" w:hint="default"/>
      </w:rPr>
    </w:lvl>
    <w:lvl w:ilvl="5" w:tplc="D9565264">
      <w:start w:val="1"/>
      <w:numFmt w:val="bullet"/>
      <w:lvlText w:val=""/>
      <w:lvlJc w:val="left"/>
      <w:pPr>
        <w:ind w:left="4320" w:hanging="360"/>
      </w:pPr>
      <w:rPr>
        <w:rFonts w:ascii="Wingdings" w:hAnsi="Wingdings" w:hint="default"/>
      </w:rPr>
    </w:lvl>
    <w:lvl w:ilvl="6" w:tplc="4FEEEAEA">
      <w:start w:val="1"/>
      <w:numFmt w:val="bullet"/>
      <w:lvlText w:val=""/>
      <w:lvlJc w:val="left"/>
      <w:pPr>
        <w:ind w:left="5040" w:hanging="360"/>
      </w:pPr>
      <w:rPr>
        <w:rFonts w:ascii="Symbol" w:hAnsi="Symbol" w:hint="default"/>
      </w:rPr>
    </w:lvl>
    <w:lvl w:ilvl="7" w:tplc="A5ECC1EC">
      <w:start w:val="1"/>
      <w:numFmt w:val="bullet"/>
      <w:lvlText w:val="o"/>
      <w:lvlJc w:val="left"/>
      <w:pPr>
        <w:ind w:left="5760" w:hanging="360"/>
      </w:pPr>
      <w:rPr>
        <w:rFonts w:ascii="Courier New" w:hAnsi="Courier New" w:hint="default"/>
      </w:rPr>
    </w:lvl>
    <w:lvl w:ilvl="8" w:tplc="0A2ED37C">
      <w:start w:val="1"/>
      <w:numFmt w:val="bullet"/>
      <w:lvlText w:val=""/>
      <w:lvlJc w:val="left"/>
      <w:pPr>
        <w:ind w:left="6480" w:hanging="360"/>
      </w:pPr>
      <w:rPr>
        <w:rFonts w:ascii="Wingdings" w:hAnsi="Wingdings" w:hint="default"/>
      </w:rPr>
    </w:lvl>
  </w:abstractNum>
  <w:abstractNum w:abstractNumId="4" w15:restartNumberingAfterBreak="0">
    <w:nsid w:val="1C051E06"/>
    <w:multiLevelType w:val="hybridMultilevel"/>
    <w:tmpl w:val="0DCE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F3D7B"/>
    <w:multiLevelType w:val="hybridMultilevel"/>
    <w:tmpl w:val="8DDCD2AA"/>
    <w:lvl w:ilvl="0" w:tplc="1CB237B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944E5"/>
    <w:multiLevelType w:val="hybridMultilevel"/>
    <w:tmpl w:val="84B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F484A"/>
    <w:multiLevelType w:val="hybridMultilevel"/>
    <w:tmpl w:val="0B306B20"/>
    <w:lvl w:ilvl="0" w:tplc="D09A5B54">
      <w:start w:val="1"/>
      <w:numFmt w:val="bullet"/>
      <w:lvlText w:val=""/>
      <w:lvlJc w:val="left"/>
      <w:pPr>
        <w:ind w:left="720" w:hanging="360"/>
      </w:pPr>
      <w:rPr>
        <w:rFonts w:ascii="Symbol" w:hAnsi="Symbol" w:hint="default"/>
      </w:rPr>
    </w:lvl>
    <w:lvl w:ilvl="1" w:tplc="1AEC2F82">
      <w:start w:val="1"/>
      <w:numFmt w:val="bullet"/>
      <w:lvlText w:val="o"/>
      <w:lvlJc w:val="left"/>
      <w:pPr>
        <w:ind w:left="1440" w:hanging="360"/>
      </w:pPr>
      <w:rPr>
        <w:rFonts w:ascii="Courier New" w:hAnsi="Courier New" w:hint="default"/>
      </w:rPr>
    </w:lvl>
    <w:lvl w:ilvl="2" w:tplc="1F42A882">
      <w:start w:val="1"/>
      <w:numFmt w:val="bullet"/>
      <w:lvlText w:val=""/>
      <w:lvlJc w:val="left"/>
      <w:pPr>
        <w:ind w:left="2160" w:hanging="360"/>
      </w:pPr>
      <w:rPr>
        <w:rFonts w:ascii="Wingdings" w:hAnsi="Wingdings" w:hint="default"/>
      </w:rPr>
    </w:lvl>
    <w:lvl w:ilvl="3" w:tplc="0A60824E">
      <w:start w:val="1"/>
      <w:numFmt w:val="bullet"/>
      <w:lvlText w:val=""/>
      <w:lvlJc w:val="left"/>
      <w:pPr>
        <w:ind w:left="2880" w:hanging="360"/>
      </w:pPr>
      <w:rPr>
        <w:rFonts w:ascii="Symbol" w:hAnsi="Symbol" w:hint="default"/>
      </w:rPr>
    </w:lvl>
    <w:lvl w:ilvl="4" w:tplc="82D83CCC">
      <w:start w:val="1"/>
      <w:numFmt w:val="bullet"/>
      <w:lvlText w:val="o"/>
      <w:lvlJc w:val="left"/>
      <w:pPr>
        <w:ind w:left="3600" w:hanging="360"/>
      </w:pPr>
      <w:rPr>
        <w:rFonts w:ascii="Courier New" w:hAnsi="Courier New" w:hint="default"/>
      </w:rPr>
    </w:lvl>
    <w:lvl w:ilvl="5" w:tplc="E0A225E4">
      <w:start w:val="1"/>
      <w:numFmt w:val="bullet"/>
      <w:lvlText w:val=""/>
      <w:lvlJc w:val="left"/>
      <w:pPr>
        <w:ind w:left="4320" w:hanging="360"/>
      </w:pPr>
      <w:rPr>
        <w:rFonts w:ascii="Wingdings" w:hAnsi="Wingdings" w:hint="default"/>
      </w:rPr>
    </w:lvl>
    <w:lvl w:ilvl="6" w:tplc="FB081832">
      <w:start w:val="1"/>
      <w:numFmt w:val="bullet"/>
      <w:lvlText w:val=""/>
      <w:lvlJc w:val="left"/>
      <w:pPr>
        <w:ind w:left="5040" w:hanging="360"/>
      </w:pPr>
      <w:rPr>
        <w:rFonts w:ascii="Symbol" w:hAnsi="Symbol" w:hint="default"/>
      </w:rPr>
    </w:lvl>
    <w:lvl w:ilvl="7" w:tplc="80D01326">
      <w:start w:val="1"/>
      <w:numFmt w:val="bullet"/>
      <w:lvlText w:val="o"/>
      <w:lvlJc w:val="left"/>
      <w:pPr>
        <w:ind w:left="5760" w:hanging="360"/>
      </w:pPr>
      <w:rPr>
        <w:rFonts w:ascii="Courier New" w:hAnsi="Courier New" w:hint="default"/>
      </w:rPr>
    </w:lvl>
    <w:lvl w:ilvl="8" w:tplc="FF62E438">
      <w:start w:val="1"/>
      <w:numFmt w:val="bullet"/>
      <w:lvlText w:val=""/>
      <w:lvlJc w:val="left"/>
      <w:pPr>
        <w:ind w:left="6480" w:hanging="360"/>
      </w:pPr>
      <w:rPr>
        <w:rFonts w:ascii="Wingdings" w:hAnsi="Wingdings" w:hint="default"/>
      </w:rPr>
    </w:lvl>
  </w:abstractNum>
  <w:abstractNum w:abstractNumId="8" w15:restartNumberingAfterBreak="0">
    <w:nsid w:val="24922059"/>
    <w:multiLevelType w:val="hybridMultilevel"/>
    <w:tmpl w:val="6E8E9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94155D"/>
    <w:multiLevelType w:val="hybridMultilevel"/>
    <w:tmpl w:val="92460FC0"/>
    <w:lvl w:ilvl="0" w:tplc="FFFFFFFF">
      <w:start w:val="1"/>
      <w:numFmt w:val="bullet"/>
      <w:lvlText w:val=""/>
      <w:lvlJc w:val="left"/>
      <w:pPr>
        <w:ind w:left="720" w:hanging="360"/>
      </w:pPr>
      <w:rPr>
        <w:rFonts w:ascii="Symbol" w:hAnsi="Symbol" w:hint="default"/>
      </w:rPr>
    </w:lvl>
    <w:lvl w:ilvl="1" w:tplc="8250BEC8">
      <w:start w:val="1"/>
      <w:numFmt w:val="bullet"/>
      <w:lvlText w:val="o"/>
      <w:lvlJc w:val="left"/>
      <w:pPr>
        <w:ind w:left="1440" w:hanging="360"/>
      </w:pPr>
      <w:rPr>
        <w:rFonts w:ascii="Courier New" w:hAnsi="Courier New" w:hint="default"/>
      </w:rPr>
    </w:lvl>
    <w:lvl w:ilvl="2" w:tplc="A1B42478">
      <w:start w:val="1"/>
      <w:numFmt w:val="bullet"/>
      <w:lvlText w:val=""/>
      <w:lvlJc w:val="left"/>
      <w:pPr>
        <w:ind w:left="2160" w:hanging="360"/>
      </w:pPr>
      <w:rPr>
        <w:rFonts w:ascii="Wingdings" w:hAnsi="Wingdings" w:hint="default"/>
      </w:rPr>
    </w:lvl>
    <w:lvl w:ilvl="3" w:tplc="8B72F55E">
      <w:start w:val="1"/>
      <w:numFmt w:val="bullet"/>
      <w:lvlText w:val=""/>
      <w:lvlJc w:val="left"/>
      <w:pPr>
        <w:ind w:left="2880" w:hanging="360"/>
      </w:pPr>
      <w:rPr>
        <w:rFonts w:ascii="Symbol" w:hAnsi="Symbol" w:hint="default"/>
      </w:rPr>
    </w:lvl>
    <w:lvl w:ilvl="4" w:tplc="D0A255AE">
      <w:start w:val="1"/>
      <w:numFmt w:val="bullet"/>
      <w:lvlText w:val="o"/>
      <w:lvlJc w:val="left"/>
      <w:pPr>
        <w:ind w:left="3600" w:hanging="360"/>
      </w:pPr>
      <w:rPr>
        <w:rFonts w:ascii="Courier New" w:hAnsi="Courier New" w:hint="default"/>
      </w:rPr>
    </w:lvl>
    <w:lvl w:ilvl="5" w:tplc="4A10AC92">
      <w:start w:val="1"/>
      <w:numFmt w:val="bullet"/>
      <w:lvlText w:val=""/>
      <w:lvlJc w:val="left"/>
      <w:pPr>
        <w:ind w:left="4320" w:hanging="360"/>
      </w:pPr>
      <w:rPr>
        <w:rFonts w:ascii="Wingdings" w:hAnsi="Wingdings" w:hint="default"/>
      </w:rPr>
    </w:lvl>
    <w:lvl w:ilvl="6" w:tplc="CC28BECE">
      <w:start w:val="1"/>
      <w:numFmt w:val="bullet"/>
      <w:lvlText w:val=""/>
      <w:lvlJc w:val="left"/>
      <w:pPr>
        <w:ind w:left="5040" w:hanging="360"/>
      </w:pPr>
      <w:rPr>
        <w:rFonts w:ascii="Symbol" w:hAnsi="Symbol" w:hint="default"/>
      </w:rPr>
    </w:lvl>
    <w:lvl w:ilvl="7" w:tplc="76A892BA">
      <w:start w:val="1"/>
      <w:numFmt w:val="bullet"/>
      <w:lvlText w:val="o"/>
      <w:lvlJc w:val="left"/>
      <w:pPr>
        <w:ind w:left="5760" w:hanging="360"/>
      </w:pPr>
      <w:rPr>
        <w:rFonts w:ascii="Courier New" w:hAnsi="Courier New" w:hint="default"/>
      </w:rPr>
    </w:lvl>
    <w:lvl w:ilvl="8" w:tplc="56B286CA">
      <w:start w:val="1"/>
      <w:numFmt w:val="bullet"/>
      <w:lvlText w:val=""/>
      <w:lvlJc w:val="left"/>
      <w:pPr>
        <w:ind w:left="6480" w:hanging="360"/>
      </w:pPr>
      <w:rPr>
        <w:rFonts w:ascii="Wingdings" w:hAnsi="Wingdings" w:hint="default"/>
      </w:rPr>
    </w:lvl>
  </w:abstractNum>
  <w:abstractNum w:abstractNumId="10" w15:restartNumberingAfterBreak="0">
    <w:nsid w:val="2CC95DC7"/>
    <w:multiLevelType w:val="hybridMultilevel"/>
    <w:tmpl w:val="86362C5C"/>
    <w:lvl w:ilvl="0" w:tplc="4AEC9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919FC"/>
    <w:multiLevelType w:val="hybridMultilevel"/>
    <w:tmpl w:val="2EC8235C"/>
    <w:lvl w:ilvl="0" w:tplc="FFFFFFFF">
      <w:start w:val="1"/>
      <w:numFmt w:val="bullet"/>
      <w:lvlText w:val=""/>
      <w:lvlJc w:val="left"/>
      <w:pPr>
        <w:ind w:left="720" w:hanging="360"/>
      </w:pPr>
      <w:rPr>
        <w:rFonts w:ascii="Symbol" w:hAnsi="Symbol" w:hint="default"/>
      </w:rPr>
    </w:lvl>
    <w:lvl w:ilvl="1" w:tplc="2B6AFCE0">
      <w:start w:val="1"/>
      <w:numFmt w:val="bullet"/>
      <w:lvlText w:val="o"/>
      <w:lvlJc w:val="left"/>
      <w:pPr>
        <w:ind w:left="1440" w:hanging="360"/>
      </w:pPr>
      <w:rPr>
        <w:rFonts w:ascii="Courier New" w:hAnsi="Courier New" w:hint="default"/>
      </w:rPr>
    </w:lvl>
    <w:lvl w:ilvl="2" w:tplc="E320CF2A">
      <w:start w:val="1"/>
      <w:numFmt w:val="bullet"/>
      <w:lvlText w:val=""/>
      <w:lvlJc w:val="left"/>
      <w:pPr>
        <w:ind w:left="2160" w:hanging="360"/>
      </w:pPr>
      <w:rPr>
        <w:rFonts w:ascii="Wingdings" w:hAnsi="Wingdings" w:hint="default"/>
      </w:rPr>
    </w:lvl>
    <w:lvl w:ilvl="3" w:tplc="2F845870">
      <w:start w:val="1"/>
      <w:numFmt w:val="bullet"/>
      <w:lvlText w:val=""/>
      <w:lvlJc w:val="left"/>
      <w:pPr>
        <w:ind w:left="2880" w:hanging="360"/>
      </w:pPr>
      <w:rPr>
        <w:rFonts w:ascii="Symbol" w:hAnsi="Symbol" w:hint="default"/>
      </w:rPr>
    </w:lvl>
    <w:lvl w:ilvl="4" w:tplc="16C6E7A2">
      <w:start w:val="1"/>
      <w:numFmt w:val="bullet"/>
      <w:lvlText w:val="o"/>
      <w:lvlJc w:val="left"/>
      <w:pPr>
        <w:ind w:left="3600" w:hanging="360"/>
      </w:pPr>
      <w:rPr>
        <w:rFonts w:ascii="Courier New" w:hAnsi="Courier New" w:hint="default"/>
      </w:rPr>
    </w:lvl>
    <w:lvl w:ilvl="5" w:tplc="B2223F76">
      <w:start w:val="1"/>
      <w:numFmt w:val="bullet"/>
      <w:lvlText w:val=""/>
      <w:lvlJc w:val="left"/>
      <w:pPr>
        <w:ind w:left="4320" w:hanging="360"/>
      </w:pPr>
      <w:rPr>
        <w:rFonts w:ascii="Wingdings" w:hAnsi="Wingdings" w:hint="default"/>
      </w:rPr>
    </w:lvl>
    <w:lvl w:ilvl="6" w:tplc="2346B648">
      <w:start w:val="1"/>
      <w:numFmt w:val="bullet"/>
      <w:lvlText w:val=""/>
      <w:lvlJc w:val="left"/>
      <w:pPr>
        <w:ind w:left="5040" w:hanging="360"/>
      </w:pPr>
      <w:rPr>
        <w:rFonts w:ascii="Symbol" w:hAnsi="Symbol" w:hint="default"/>
      </w:rPr>
    </w:lvl>
    <w:lvl w:ilvl="7" w:tplc="5DAAAD78">
      <w:start w:val="1"/>
      <w:numFmt w:val="bullet"/>
      <w:lvlText w:val="o"/>
      <w:lvlJc w:val="left"/>
      <w:pPr>
        <w:ind w:left="5760" w:hanging="360"/>
      </w:pPr>
      <w:rPr>
        <w:rFonts w:ascii="Courier New" w:hAnsi="Courier New" w:hint="default"/>
      </w:rPr>
    </w:lvl>
    <w:lvl w:ilvl="8" w:tplc="877412C6">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71719"/>
    <w:multiLevelType w:val="hybridMultilevel"/>
    <w:tmpl w:val="744C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3E2830"/>
    <w:multiLevelType w:val="hybridMultilevel"/>
    <w:tmpl w:val="D23A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E358F"/>
    <w:multiLevelType w:val="hybridMultilevel"/>
    <w:tmpl w:val="8EA611F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FB4990"/>
    <w:multiLevelType w:val="hybridMultilevel"/>
    <w:tmpl w:val="AF000A82"/>
    <w:lvl w:ilvl="0" w:tplc="58366032">
      <w:start w:val="1"/>
      <w:numFmt w:val="bullet"/>
      <w:lvlText w:val="·"/>
      <w:lvlJc w:val="left"/>
      <w:pPr>
        <w:ind w:left="360" w:hanging="360"/>
      </w:pPr>
      <w:rPr>
        <w:rFonts w:ascii="Symbol" w:hAnsi="Symbol" w:hint="default"/>
      </w:rPr>
    </w:lvl>
    <w:lvl w:ilvl="1" w:tplc="F5B26230">
      <w:start w:val="1"/>
      <w:numFmt w:val="bullet"/>
      <w:lvlText w:val="o"/>
      <w:lvlJc w:val="left"/>
      <w:pPr>
        <w:ind w:left="1080" w:hanging="360"/>
      </w:pPr>
      <w:rPr>
        <w:rFonts w:ascii="Courier New" w:hAnsi="Courier New" w:hint="default"/>
      </w:rPr>
    </w:lvl>
    <w:lvl w:ilvl="2" w:tplc="31F86DCC">
      <w:start w:val="1"/>
      <w:numFmt w:val="bullet"/>
      <w:lvlText w:val=""/>
      <w:lvlJc w:val="left"/>
      <w:pPr>
        <w:ind w:left="1800" w:hanging="360"/>
      </w:pPr>
      <w:rPr>
        <w:rFonts w:ascii="Wingdings" w:hAnsi="Wingdings" w:hint="default"/>
      </w:rPr>
    </w:lvl>
    <w:lvl w:ilvl="3" w:tplc="BE625612">
      <w:start w:val="1"/>
      <w:numFmt w:val="bullet"/>
      <w:lvlText w:val=""/>
      <w:lvlJc w:val="left"/>
      <w:pPr>
        <w:ind w:left="2520" w:hanging="360"/>
      </w:pPr>
      <w:rPr>
        <w:rFonts w:ascii="Symbol" w:hAnsi="Symbol" w:hint="default"/>
      </w:rPr>
    </w:lvl>
    <w:lvl w:ilvl="4" w:tplc="86863E2E">
      <w:start w:val="1"/>
      <w:numFmt w:val="bullet"/>
      <w:lvlText w:val="o"/>
      <w:lvlJc w:val="left"/>
      <w:pPr>
        <w:ind w:left="3240" w:hanging="360"/>
      </w:pPr>
      <w:rPr>
        <w:rFonts w:ascii="Courier New" w:hAnsi="Courier New" w:hint="default"/>
      </w:rPr>
    </w:lvl>
    <w:lvl w:ilvl="5" w:tplc="E6B43C02">
      <w:start w:val="1"/>
      <w:numFmt w:val="bullet"/>
      <w:lvlText w:val=""/>
      <w:lvlJc w:val="left"/>
      <w:pPr>
        <w:ind w:left="3960" w:hanging="360"/>
      </w:pPr>
      <w:rPr>
        <w:rFonts w:ascii="Wingdings" w:hAnsi="Wingdings" w:hint="default"/>
      </w:rPr>
    </w:lvl>
    <w:lvl w:ilvl="6" w:tplc="895623A8">
      <w:start w:val="1"/>
      <w:numFmt w:val="bullet"/>
      <w:lvlText w:val=""/>
      <w:lvlJc w:val="left"/>
      <w:pPr>
        <w:ind w:left="4680" w:hanging="360"/>
      </w:pPr>
      <w:rPr>
        <w:rFonts w:ascii="Symbol" w:hAnsi="Symbol" w:hint="default"/>
      </w:rPr>
    </w:lvl>
    <w:lvl w:ilvl="7" w:tplc="46383F58">
      <w:start w:val="1"/>
      <w:numFmt w:val="bullet"/>
      <w:lvlText w:val="o"/>
      <w:lvlJc w:val="left"/>
      <w:pPr>
        <w:ind w:left="5400" w:hanging="360"/>
      </w:pPr>
      <w:rPr>
        <w:rFonts w:ascii="Courier New" w:hAnsi="Courier New" w:hint="default"/>
      </w:rPr>
    </w:lvl>
    <w:lvl w:ilvl="8" w:tplc="8938D0A6">
      <w:start w:val="1"/>
      <w:numFmt w:val="bullet"/>
      <w:lvlText w:val=""/>
      <w:lvlJc w:val="left"/>
      <w:pPr>
        <w:ind w:left="6120" w:hanging="360"/>
      </w:pPr>
      <w:rPr>
        <w:rFonts w:ascii="Wingdings" w:hAnsi="Wingdings" w:hint="default"/>
      </w:rPr>
    </w:lvl>
  </w:abstractNum>
  <w:abstractNum w:abstractNumId="17" w15:restartNumberingAfterBreak="0">
    <w:nsid w:val="41AA55F3"/>
    <w:multiLevelType w:val="hybridMultilevel"/>
    <w:tmpl w:val="23F84FF6"/>
    <w:lvl w:ilvl="0" w:tplc="256061E2">
      <w:start w:val="1"/>
      <w:numFmt w:val="decimal"/>
      <w:lvlText w:val="%1."/>
      <w:lvlJc w:val="left"/>
      <w:pPr>
        <w:ind w:left="720" w:hanging="360"/>
      </w:pPr>
    </w:lvl>
    <w:lvl w:ilvl="1" w:tplc="80B40754">
      <w:start w:val="1"/>
      <w:numFmt w:val="lowerLetter"/>
      <w:lvlText w:val="%2."/>
      <w:lvlJc w:val="left"/>
      <w:pPr>
        <w:ind w:left="1440" w:hanging="360"/>
      </w:pPr>
    </w:lvl>
    <w:lvl w:ilvl="2" w:tplc="8E1C5FD4">
      <w:start w:val="1"/>
      <w:numFmt w:val="decimal"/>
      <w:lvlText w:val="%3."/>
      <w:lvlJc w:val="left"/>
      <w:pPr>
        <w:ind w:left="2160" w:hanging="180"/>
      </w:pPr>
    </w:lvl>
    <w:lvl w:ilvl="3" w:tplc="A2A06D0A">
      <w:start w:val="1"/>
      <w:numFmt w:val="decimal"/>
      <w:lvlText w:val="%4."/>
      <w:lvlJc w:val="left"/>
      <w:pPr>
        <w:ind w:left="2880" w:hanging="360"/>
      </w:pPr>
    </w:lvl>
    <w:lvl w:ilvl="4" w:tplc="70668C80">
      <w:start w:val="1"/>
      <w:numFmt w:val="lowerLetter"/>
      <w:lvlText w:val="%5."/>
      <w:lvlJc w:val="left"/>
      <w:pPr>
        <w:ind w:left="3600" w:hanging="360"/>
      </w:pPr>
    </w:lvl>
    <w:lvl w:ilvl="5" w:tplc="6CA699BE">
      <w:start w:val="1"/>
      <w:numFmt w:val="lowerRoman"/>
      <w:lvlText w:val="%6."/>
      <w:lvlJc w:val="right"/>
      <w:pPr>
        <w:ind w:left="4320" w:hanging="180"/>
      </w:pPr>
    </w:lvl>
    <w:lvl w:ilvl="6" w:tplc="8EA60292">
      <w:start w:val="1"/>
      <w:numFmt w:val="decimal"/>
      <w:lvlText w:val="%7."/>
      <w:lvlJc w:val="left"/>
      <w:pPr>
        <w:ind w:left="5040" w:hanging="360"/>
      </w:pPr>
    </w:lvl>
    <w:lvl w:ilvl="7" w:tplc="E6A26168">
      <w:start w:val="1"/>
      <w:numFmt w:val="lowerLetter"/>
      <w:lvlText w:val="%8."/>
      <w:lvlJc w:val="left"/>
      <w:pPr>
        <w:ind w:left="5760" w:hanging="360"/>
      </w:pPr>
    </w:lvl>
    <w:lvl w:ilvl="8" w:tplc="5BBA58DE">
      <w:start w:val="1"/>
      <w:numFmt w:val="lowerRoman"/>
      <w:lvlText w:val="%9."/>
      <w:lvlJc w:val="right"/>
      <w:pPr>
        <w:ind w:left="6480" w:hanging="180"/>
      </w:pPr>
    </w:lvl>
  </w:abstractNum>
  <w:abstractNum w:abstractNumId="18" w15:restartNumberingAfterBreak="0">
    <w:nsid w:val="435F56C9"/>
    <w:multiLevelType w:val="hybridMultilevel"/>
    <w:tmpl w:val="49A0DD9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B2E65"/>
    <w:multiLevelType w:val="hybridMultilevel"/>
    <w:tmpl w:val="F5FA3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2E344B"/>
    <w:multiLevelType w:val="hybridMultilevel"/>
    <w:tmpl w:val="9AB0EC84"/>
    <w:lvl w:ilvl="0" w:tplc="357C53E8">
      <w:start w:val="1"/>
      <w:numFmt w:val="bullet"/>
      <w:lvlText w:val=""/>
      <w:lvlJc w:val="left"/>
      <w:pPr>
        <w:ind w:left="360" w:hanging="360"/>
      </w:pPr>
      <w:rPr>
        <w:rFonts w:ascii="Symbol" w:hAnsi="Symbol" w:hint="default"/>
      </w:rPr>
    </w:lvl>
    <w:lvl w:ilvl="1" w:tplc="81308CB2">
      <w:start w:val="1"/>
      <w:numFmt w:val="bullet"/>
      <w:lvlText w:val="o"/>
      <w:lvlJc w:val="left"/>
      <w:pPr>
        <w:ind w:left="1080" w:hanging="360"/>
      </w:pPr>
      <w:rPr>
        <w:rFonts w:ascii="Courier New" w:hAnsi="Courier New" w:hint="default"/>
      </w:rPr>
    </w:lvl>
    <w:lvl w:ilvl="2" w:tplc="309E675C">
      <w:start w:val="1"/>
      <w:numFmt w:val="bullet"/>
      <w:lvlText w:val=""/>
      <w:lvlJc w:val="left"/>
      <w:pPr>
        <w:ind w:left="1800" w:hanging="360"/>
      </w:pPr>
      <w:rPr>
        <w:rFonts w:ascii="Wingdings" w:hAnsi="Wingdings" w:hint="default"/>
      </w:rPr>
    </w:lvl>
    <w:lvl w:ilvl="3" w:tplc="D2F46006">
      <w:start w:val="1"/>
      <w:numFmt w:val="bullet"/>
      <w:lvlText w:val=""/>
      <w:lvlJc w:val="left"/>
      <w:pPr>
        <w:ind w:left="2520" w:hanging="360"/>
      </w:pPr>
      <w:rPr>
        <w:rFonts w:ascii="Symbol" w:hAnsi="Symbol" w:hint="default"/>
      </w:rPr>
    </w:lvl>
    <w:lvl w:ilvl="4" w:tplc="61EC17DE">
      <w:start w:val="1"/>
      <w:numFmt w:val="bullet"/>
      <w:lvlText w:val="o"/>
      <w:lvlJc w:val="left"/>
      <w:pPr>
        <w:ind w:left="3240" w:hanging="360"/>
      </w:pPr>
      <w:rPr>
        <w:rFonts w:ascii="Courier New" w:hAnsi="Courier New" w:hint="default"/>
      </w:rPr>
    </w:lvl>
    <w:lvl w:ilvl="5" w:tplc="F790138C">
      <w:start w:val="1"/>
      <w:numFmt w:val="bullet"/>
      <w:lvlText w:val=""/>
      <w:lvlJc w:val="left"/>
      <w:pPr>
        <w:ind w:left="3960" w:hanging="360"/>
      </w:pPr>
      <w:rPr>
        <w:rFonts w:ascii="Wingdings" w:hAnsi="Wingdings" w:hint="default"/>
      </w:rPr>
    </w:lvl>
    <w:lvl w:ilvl="6" w:tplc="4C56FA8C">
      <w:start w:val="1"/>
      <w:numFmt w:val="bullet"/>
      <w:lvlText w:val=""/>
      <w:lvlJc w:val="left"/>
      <w:pPr>
        <w:ind w:left="4680" w:hanging="360"/>
      </w:pPr>
      <w:rPr>
        <w:rFonts w:ascii="Symbol" w:hAnsi="Symbol" w:hint="default"/>
      </w:rPr>
    </w:lvl>
    <w:lvl w:ilvl="7" w:tplc="4E685598">
      <w:start w:val="1"/>
      <w:numFmt w:val="bullet"/>
      <w:lvlText w:val="o"/>
      <w:lvlJc w:val="left"/>
      <w:pPr>
        <w:ind w:left="5400" w:hanging="360"/>
      </w:pPr>
      <w:rPr>
        <w:rFonts w:ascii="Courier New" w:hAnsi="Courier New" w:hint="default"/>
      </w:rPr>
    </w:lvl>
    <w:lvl w:ilvl="8" w:tplc="3F3895FE">
      <w:start w:val="1"/>
      <w:numFmt w:val="bullet"/>
      <w:lvlText w:val=""/>
      <w:lvlJc w:val="left"/>
      <w:pPr>
        <w:ind w:left="6120" w:hanging="360"/>
      </w:pPr>
      <w:rPr>
        <w:rFonts w:ascii="Wingdings" w:hAnsi="Wingdings" w:hint="default"/>
      </w:rPr>
    </w:lvl>
  </w:abstractNum>
  <w:abstractNum w:abstractNumId="21" w15:restartNumberingAfterBreak="0">
    <w:nsid w:val="4B1D60AA"/>
    <w:multiLevelType w:val="hybridMultilevel"/>
    <w:tmpl w:val="5CA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C6A26"/>
    <w:multiLevelType w:val="hybridMultilevel"/>
    <w:tmpl w:val="45729F0A"/>
    <w:lvl w:ilvl="0" w:tplc="ABFE9FA0">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567AC"/>
    <w:multiLevelType w:val="hybridMultilevel"/>
    <w:tmpl w:val="1E945C32"/>
    <w:lvl w:ilvl="0" w:tplc="49D00C80">
      <w:start w:val="1"/>
      <w:numFmt w:val="bullet"/>
      <w:lvlText w:val=""/>
      <w:lvlJc w:val="left"/>
      <w:pPr>
        <w:ind w:left="720" w:hanging="360"/>
      </w:pPr>
      <w:rPr>
        <w:rFonts w:ascii="Symbol" w:hAnsi="Symbol" w:hint="default"/>
      </w:rPr>
    </w:lvl>
    <w:lvl w:ilvl="1" w:tplc="EA4C0960">
      <w:start w:val="1"/>
      <w:numFmt w:val="bullet"/>
      <w:lvlText w:val="o"/>
      <w:lvlJc w:val="left"/>
      <w:pPr>
        <w:ind w:left="1440" w:hanging="360"/>
      </w:pPr>
      <w:rPr>
        <w:rFonts w:ascii="Courier New" w:hAnsi="Courier New" w:hint="default"/>
      </w:rPr>
    </w:lvl>
    <w:lvl w:ilvl="2" w:tplc="21C8687A">
      <w:start w:val="1"/>
      <w:numFmt w:val="bullet"/>
      <w:lvlText w:val=""/>
      <w:lvlJc w:val="left"/>
      <w:pPr>
        <w:ind w:left="2160" w:hanging="360"/>
      </w:pPr>
      <w:rPr>
        <w:rFonts w:ascii="Wingdings" w:hAnsi="Wingdings" w:hint="default"/>
      </w:rPr>
    </w:lvl>
    <w:lvl w:ilvl="3" w:tplc="ACB8B816">
      <w:start w:val="1"/>
      <w:numFmt w:val="bullet"/>
      <w:lvlText w:val=""/>
      <w:lvlJc w:val="left"/>
      <w:pPr>
        <w:ind w:left="2880" w:hanging="360"/>
      </w:pPr>
      <w:rPr>
        <w:rFonts w:ascii="Symbol" w:hAnsi="Symbol" w:hint="default"/>
      </w:rPr>
    </w:lvl>
    <w:lvl w:ilvl="4" w:tplc="D41014EA">
      <w:start w:val="1"/>
      <w:numFmt w:val="bullet"/>
      <w:lvlText w:val="o"/>
      <w:lvlJc w:val="left"/>
      <w:pPr>
        <w:ind w:left="3600" w:hanging="360"/>
      </w:pPr>
      <w:rPr>
        <w:rFonts w:ascii="Courier New" w:hAnsi="Courier New" w:hint="default"/>
      </w:rPr>
    </w:lvl>
    <w:lvl w:ilvl="5" w:tplc="9DAC4410">
      <w:start w:val="1"/>
      <w:numFmt w:val="bullet"/>
      <w:lvlText w:val=""/>
      <w:lvlJc w:val="left"/>
      <w:pPr>
        <w:ind w:left="4320" w:hanging="360"/>
      </w:pPr>
      <w:rPr>
        <w:rFonts w:ascii="Wingdings" w:hAnsi="Wingdings" w:hint="default"/>
      </w:rPr>
    </w:lvl>
    <w:lvl w:ilvl="6" w:tplc="75B2A53A">
      <w:start w:val="1"/>
      <w:numFmt w:val="bullet"/>
      <w:lvlText w:val=""/>
      <w:lvlJc w:val="left"/>
      <w:pPr>
        <w:ind w:left="5040" w:hanging="360"/>
      </w:pPr>
      <w:rPr>
        <w:rFonts w:ascii="Symbol" w:hAnsi="Symbol" w:hint="default"/>
      </w:rPr>
    </w:lvl>
    <w:lvl w:ilvl="7" w:tplc="364A3826">
      <w:start w:val="1"/>
      <w:numFmt w:val="bullet"/>
      <w:lvlText w:val="o"/>
      <w:lvlJc w:val="left"/>
      <w:pPr>
        <w:ind w:left="5760" w:hanging="360"/>
      </w:pPr>
      <w:rPr>
        <w:rFonts w:ascii="Courier New" w:hAnsi="Courier New" w:hint="default"/>
      </w:rPr>
    </w:lvl>
    <w:lvl w:ilvl="8" w:tplc="6AF84AC8">
      <w:start w:val="1"/>
      <w:numFmt w:val="bullet"/>
      <w:lvlText w:val=""/>
      <w:lvlJc w:val="left"/>
      <w:pPr>
        <w:ind w:left="6480" w:hanging="360"/>
      </w:pPr>
      <w:rPr>
        <w:rFonts w:ascii="Wingdings" w:hAnsi="Wingdings" w:hint="default"/>
      </w:rPr>
    </w:lvl>
  </w:abstractNum>
  <w:abstractNum w:abstractNumId="24" w15:restartNumberingAfterBreak="0">
    <w:nsid w:val="545D2ED6"/>
    <w:multiLevelType w:val="hybridMultilevel"/>
    <w:tmpl w:val="C096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25AF3"/>
    <w:multiLevelType w:val="hybridMultilevel"/>
    <w:tmpl w:val="AE462548"/>
    <w:lvl w:ilvl="0" w:tplc="FFFFFFFF">
      <w:start w:val="1"/>
      <w:numFmt w:val="bullet"/>
      <w:lvlText w:val=""/>
      <w:lvlJc w:val="left"/>
      <w:pPr>
        <w:ind w:left="720" w:hanging="360"/>
      </w:pPr>
      <w:rPr>
        <w:rFonts w:ascii="Symbol" w:hAnsi="Symbol" w:hint="default"/>
      </w:rPr>
    </w:lvl>
    <w:lvl w:ilvl="1" w:tplc="BB4E4CDC">
      <w:start w:val="1"/>
      <w:numFmt w:val="bullet"/>
      <w:lvlText w:val="o"/>
      <w:lvlJc w:val="left"/>
      <w:pPr>
        <w:ind w:left="1440" w:hanging="360"/>
      </w:pPr>
      <w:rPr>
        <w:rFonts w:ascii="Courier New" w:hAnsi="Courier New" w:hint="default"/>
      </w:rPr>
    </w:lvl>
    <w:lvl w:ilvl="2" w:tplc="2A7C63B8">
      <w:start w:val="1"/>
      <w:numFmt w:val="bullet"/>
      <w:lvlText w:val=""/>
      <w:lvlJc w:val="left"/>
      <w:pPr>
        <w:ind w:left="2160" w:hanging="360"/>
      </w:pPr>
      <w:rPr>
        <w:rFonts w:ascii="Wingdings" w:hAnsi="Wingdings" w:hint="default"/>
      </w:rPr>
    </w:lvl>
    <w:lvl w:ilvl="3" w:tplc="F3D02A76">
      <w:start w:val="1"/>
      <w:numFmt w:val="bullet"/>
      <w:lvlText w:val=""/>
      <w:lvlJc w:val="left"/>
      <w:pPr>
        <w:ind w:left="2880" w:hanging="360"/>
      </w:pPr>
      <w:rPr>
        <w:rFonts w:ascii="Symbol" w:hAnsi="Symbol" w:hint="default"/>
      </w:rPr>
    </w:lvl>
    <w:lvl w:ilvl="4" w:tplc="4858D51C">
      <w:start w:val="1"/>
      <w:numFmt w:val="bullet"/>
      <w:lvlText w:val="o"/>
      <w:lvlJc w:val="left"/>
      <w:pPr>
        <w:ind w:left="3600" w:hanging="360"/>
      </w:pPr>
      <w:rPr>
        <w:rFonts w:ascii="Courier New" w:hAnsi="Courier New" w:hint="default"/>
      </w:rPr>
    </w:lvl>
    <w:lvl w:ilvl="5" w:tplc="5456E12A">
      <w:start w:val="1"/>
      <w:numFmt w:val="bullet"/>
      <w:lvlText w:val=""/>
      <w:lvlJc w:val="left"/>
      <w:pPr>
        <w:ind w:left="4320" w:hanging="360"/>
      </w:pPr>
      <w:rPr>
        <w:rFonts w:ascii="Wingdings" w:hAnsi="Wingdings" w:hint="default"/>
      </w:rPr>
    </w:lvl>
    <w:lvl w:ilvl="6" w:tplc="A77E3684">
      <w:start w:val="1"/>
      <w:numFmt w:val="bullet"/>
      <w:lvlText w:val=""/>
      <w:lvlJc w:val="left"/>
      <w:pPr>
        <w:ind w:left="5040" w:hanging="360"/>
      </w:pPr>
      <w:rPr>
        <w:rFonts w:ascii="Symbol" w:hAnsi="Symbol" w:hint="default"/>
      </w:rPr>
    </w:lvl>
    <w:lvl w:ilvl="7" w:tplc="EC0A0206">
      <w:start w:val="1"/>
      <w:numFmt w:val="bullet"/>
      <w:lvlText w:val="o"/>
      <w:lvlJc w:val="left"/>
      <w:pPr>
        <w:ind w:left="5760" w:hanging="360"/>
      </w:pPr>
      <w:rPr>
        <w:rFonts w:ascii="Courier New" w:hAnsi="Courier New" w:hint="default"/>
      </w:rPr>
    </w:lvl>
    <w:lvl w:ilvl="8" w:tplc="FCC82184">
      <w:start w:val="1"/>
      <w:numFmt w:val="bullet"/>
      <w:lvlText w:val=""/>
      <w:lvlJc w:val="left"/>
      <w:pPr>
        <w:ind w:left="6480" w:hanging="360"/>
      </w:pPr>
      <w:rPr>
        <w:rFonts w:ascii="Wingdings" w:hAnsi="Wingdings" w:hint="default"/>
      </w:rPr>
    </w:lvl>
  </w:abstractNum>
  <w:abstractNum w:abstractNumId="26" w15:restartNumberingAfterBreak="0">
    <w:nsid w:val="55DC1BD9"/>
    <w:multiLevelType w:val="hybridMultilevel"/>
    <w:tmpl w:val="86362C5C"/>
    <w:lvl w:ilvl="0" w:tplc="4AEC9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D65A9"/>
    <w:multiLevelType w:val="hybridMultilevel"/>
    <w:tmpl w:val="B87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26990"/>
    <w:multiLevelType w:val="hybridMultilevel"/>
    <w:tmpl w:val="2602698E"/>
    <w:lvl w:ilvl="0" w:tplc="0240B288">
      <w:start w:val="1"/>
      <w:numFmt w:val="bullet"/>
      <w:lvlText w:val=""/>
      <w:lvlJc w:val="left"/>
      <w:pPr>
        <w:ind w:left="720" w:hanging="360"/>
      </w:pPr>
      <w:rPr>
        <w:rFonts w:ascii="Symbol" w:hAnsi="Symbol" w:hint="default"/>
      </w:rPr>
    </w:lvl>
    <w:lvl w:ilvl="1" w:tplc="A2AE9486">
      <w:start w:val="1"/>
      <w:numFmt w:val="bullet"/>
      <w:lvlText w:val="o"/>
      <w:lvlJc w:val="left"/>
      <w:pPr>
        <w:ind w:left="1440" w:hanging="360"/>
      </w:pPr>
      <w:rPr>
        <w:rFonts w:ascii="Courier New" w:hAnsi="Courier New" w:hint="default"/>
      </w:rPr>
    </w:lvl>
    <w:lvl w:ilvl="2" w:tplc="5636CD86">
      <w:start w:val="1"/>
      <w:numFmt w:val="bullet"/>
      <w:lvlText w:val=""/>
      <w:lvlJc w:val="left"/>
      <w:pPr>
        <w:ind w:left="2160" w:hanging="360"/>
      </w:pPr>
      <w:rPr>
        <w:rFonts w:ascii="Wingdings" w:hAnsi="Wingdings" w:hint="default"/>
      </w:rPr>
    </w:lvl>
    <w:lvl w:ilvl="3" w:tplc="2252FAB0">
      <w:start w:val="1"/>
      <w:numFmt w:val="bullet"/>
      <w:lvlText w:val=""/>
      <w:lvlJc w:val="left"/>
      <w:pPr>
        <w:ind w:left="2880" w:hanging="360"/>
      </w:pPr>
      <w:rPr>
        <w:rFonts w:ascii="Symbol" w:hAnsi="Symbol" w:hint="default"/>
      </w:rPr>
    </w:lvl>
    <w:lvl w:ilvl="4" w:tplc="C672AD68">
      <w:start w:val="1"/>
      <w:numFmt w:val="bullet"/>
      <w:lvlText w:val="o"/>
      <w:lvlJc w:val="left"/>
      <w:pPr>
        <w:ind w:left="3600" w:hanging="360"/>
      </w:pPr>
      <w:rPr>
        <w:rFonts w:ascii="Courier New" w:hAnsi="Courier New" w:hint="default"/>
      </w:rPr>
    </w:lvl>
    <w:lvl w:ilvl="5" w:tplc="14623848">
      <w:start w:val="1"/>
      <w:numFmt w:val="bullet"/>
      <w:lvlText w:val=""/>
      <w:lvlJc w:val="left"/>
      <w:pPr>
        <w:ind w:left="4320" w:hanging="360"/>
      </w:pPr>
      <w:rPr>
        <w:rFonts w:ascii="Wingdings" w:hAnsi="Wingdings" w:hint="default"/>
      </w:rPr>
    </w:lvl>
    <w:lvl w:ilvl="6" w:tplc="A5542AB0">
      <w:start w:val="1"/>
      <w:numFmt w:val="bullet"/>
      <w:lvlText w:val=""/>
      <w:lvlJc w:val="left"/>
      <w:pPr>
        <w:ind w:left="5040" w:hanging="360"/>
      </w:pPr>
      <w:rPr>
        <w:rFonts w:ascii="Symbol" w:hAnsi="Symbol" w:hint="default"/>
      </w:rPr>
    </w:lvl>
    <w:lvl w:ilvl="7" w:tplc="2BB08A3A">
      <w:start w:val="1"/>
      <w:numFmt w:val="bullet"/>
      <w:lvlText w:val="o"/>
      <w:lvlJc w:val="left"/>
      <w:pPr>
        <w:ind w:left="5760" w:hanging="360"/>
      </w:pPr>
      <w:rPr>
        <w:rFonts w:ascii="Courier New" w:hAnsi="Courier New" w:hint="default"/>
      </w:rPr>
    </w:lvl>
    <w:lvl w:ilvl="8" w:tplc="5CC212E8">
      <w:start w:val="1"/>
      <w:numFmt w:val="bullet"/>
      <w:lvlText w:val=""/>
      <w:lvlJc w:val="left"/>
      <w:pPr>
        <w:ind w:left="6480" w:hanging="360"/>
      </w:pPr>
      <w:rPr>
        <w:rFonts w:ascii="Wingdings" w:hAnsi="Wingdings" w:hint="default"/>
      </w:rPr>
    </w:lvl>
  </w:abstractNum>
  <w:abstractNum w:abstractNumId="29" w15:restartNumberingAfterBreak="0">
    <w:nsid w:val="6C3165DD"/>
    <w:multiLevelType w:val="hybridMultilevel"/>
    <w:tmpl w:val="18EA2654"/>
    <w:lvl w:ilvl="0" w:tplc="CD5CCCE4">
      <w:start w:val="2"/>
      <w:numFmt w:val="decimal"/>
      <w:lvlText w:val="%1."/>
      <w:lvlJc w:val="left"/>
      <w:pPr>
        <w:ind w:left="720" w:hanging="360"/>
      </w:pPr>
    </w:lvl>
    <w:lvl w:ilvl="1" w:tplc="F99C8B18">
      <w:start w:val="1"/>
      <w:numFmt w:val="lowerLetter"/>
      <w:lvlText w:val="%2."/>
      <w:lvlJc w:val="left"/>
      <w:pPr>
        <w:ind w:left="1440" w:hanging="360"/>
      </w:pPr>
    </w:lvl>
    <w:lvl w:ilvl="2" w:tplc="7B0A988E">
      <w:start w:val="1"/>
      <w:numFmt w:val="lowerRoman"/>
      <w:lvlText w:val="%3."/>
      <w:lvlJc w:val="right"/>
      <w:pPr>
        <w:ind w:left="2160" w:hanging="180"/>
      </w:pPr>
    </w:lvl>
    <w:lvl w:ilvl="3" w:tplc="F9AAA5DE">
      <w:start w:val="1"/>
      <w:numFmt w:val="decimal"/>
      <w:lvlText w:val="%4."/>
      <w:lvlJc w:val="left"/>
      <w:pPr>
        <w:ind w:left="2880" w:hanging="360"/>
      </w:pPr>
    </w:lvl>
    <w:lvl w:ilvl="4" w:tplc="BE4034E0">
      <w:start w:val="1"/>
      <w:numFmt w:val="lowerLetter"/>
      <w:lvlText w:val="%5."/>
      <w:lvlJc w:val="left"/>
      <w:pPr>
        <w:ind w:left="3600" w:hanging="360"/>
      </w:pPr>
    </w:lvl>
    <w:lvl w:ilvl="5" w:tplc="F12A607E">
      <w:start w:val="1"/>
      <w:numFmt w:val="lowerRoman"/>
      <w:lvlText w:val="%6."/>
      <w:lvlJc w:val="right"/>
      <w:pPr>
        <w:ind w:left="4320" w:hanging="180"/>
      </w:pPr>
    </w:lvl>
    <w:lvl w:ilvl="6" w:tplc="28BE5D76">
      <w:start w:val="1"/>
      <w:numFmt w:val="decimal"/>
      <w:lvlText w:val="%7."/>
      <w:lvlJc w:val="left"/>
      <w:pPr>
        <w:ind w:left="5040" w:hanging="360"/>
      </w:pPr>
    </w:lvl>
    <w:lvl w:ilvl="7" w:tplc="062C12B0">
      <w:start w:val="1"/>
      <w:numFmt w:val="lowerLetter"/>
      <w:lvlText w:val="%8."/>
      <w:lvlJc w:val="left"/>
      <w:pPr>
        <w:ind w:left="5760" w:hanging="360"/>
      </w:pPr>
    </w:lvl>
    <w:lvl w:ilvl="8" w:tplc="6292E5D2">
      <w:start w:val="1"/>
      <w:numFmt w:val="lowerRoman"/>
      <w:lvlText w:val="%9."/>
      <w:lvlJc w:val="right"/>
      <w:pPr>
        <w:ind w:left="6480" w:hanging="180"/>
      </w:pPr>
    </w:lvl>
  </w:abstractNum>
  <w:abstractNum w:abstractNumId="30" w15:restartNumberingAfterBreak="0">
    <w:nsid w:val="713314AF"/>
    <w:multiLevelType w:val="hybridMultilevel"/>
    <w:tmpl w:val="8746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D249D"/>
    <w:multiLevelType w:val="hybridMultilevel"/>
    <w:tmpl w:val="A1385DEA"/>
    <w:lvl w:ilvl="0" w:tplc="5E507F96">
      <w:start w:val="1"/>
      <w:numFmt w:val="decimal"/>
      <w:lvlText w:val="%1."/>
      <w:lvlJc w:val="left"/>
      <w:pPr>
        <w:ind w:left="720" w:hanging="360"/>
      </w:pPr>
    </w:lvl>
    <w:lvl w:ilvl="1" w:tplc="0FD83C50">
      <w:start w:val="1"/>
      <w:numFmt w:val="lowerLetter"/>
      <w:lvlText w:val="%2."/>
      <w:lvlJc w:val="left"/>
      <w:pPr>
        <w:ind w:left="1440" w:hanging="360"/>
      </w:pPr>
    </w:lvl>
    <w:lvl w:ilvl="2" w:tplc="29646B52">
      <w:start w:val="1"/>
      <w:numFmt w:val="lowerRoman"/>
      <w:lvlText w:val="%3."/>
      <w:lvlJc w:val="right"/>
      <w:pPr>
        <w:ind w:left="2160" w:hanging="180"/>
      </w:pPr>
    </w:lvl>
    <w:lvl w:ilvl="3" w:tplc="8304D4D2">
      <w:start w:val="1"/>
      <w:numFmt w:val="decimal"/>
      <w:lvlText w:val="%4."/>
      <w:lvlJc w:val="left"/>
      <w:pPr>
        <w:ind w:left="2880" w:hanging="360"/>
      </w:pPr>
    </w:lvl>
    <w:lvl w:ilvl="4" w:tplc="2F702334">
      <w:start w:val="1"/>
      <w:numFmt w:val="lowerLetter"/>
      <w:lvlText w:val="%5."/>
      <w:lvlJc w:val="left"/>
      <w:pPr>
        <w:ind w:left="3600" w:hanging="360"/>
      </w:pPr>
    </w:lvl>
    <w:lvl w:ilvl="5" w:tplc="C6924B70">
      <w:start w:val="1"/>
      <w:numFmt w:val="lowerRoman"/>
      <w:lvlText w:val="%6."/>
      <w:lvlJc w:val="right"/>
      <w:pPr>
        <w:ind w:left="4320" w:hanging="180"/>
      </w:pPr>
    </w:lvl>
    <w:lvl w:ilvl="6" w:tplc="56A8FB14">
      <w:start w:val="1"/>
      <w:numFmt w:val="decimal"/>
      <w:lvlText w:val="%7."/>
      <w:lvlJc w:val="left"/>
      <w:pPr>
        <w:ind w:left="5040" w:hanging="360"/>
      </w:pPr>
    </w:lvl>
    <w:lvl w:ilvl="7" w:tplc="D7289DFE">
      <w:start w:val="1"/>
      <w:numFmt w:val="lowerLetter"/>
      <w:lvlText w:val="%8."/>
      <w:lvlJc w:val="left"/>
      <w:pPr>
        <w:ind w:left="5760" w:hanging="360"/>
      </w:pPr>
    </w:lvl>
    <w:lvl w:ilvl="8" w:tplc="B330EBF2">
      <w:start w:val="1"/>
      <w:numFmt w:val="lowerRoman"/>
      <w:lvlText w:val="%9."/>
      <w:lvlJc w:val="right"/>
      <w:pPr>
        <w:ind w:left="6480" w:hanging="180"/>
      </w:pPr>
    </w:lvl>
  </w:abstractNum>
  <w:abstractNum w:abstractNumId="32" w15:restartNumberingAfterBreak="0">
    <w:nsid w:val="76224C1F"/>
    <w:multiLevelType w:val="hybridMultilevel"/>
    <w:tmpl w:val="F65A924E"/>
    <w:lvl w:ilvl="0" w:tplc="357C53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10DB4"/>
    <w:multiLevelType w:val="hybridMultilevel"/>
    <w:tmpl w:val="BEBCA1F6"/>
    <w:lvl w:ilvl="0" w:tplc="EE7819FC">
      <w:start w:val="1"/>
      <w:numFmt w:val="bullet"/>
      <w:lvlText w:val="·"/>
      <w:lvlJc w:val="left"/>
      <w:pPr>
        <w:ind w:left="360" w:hanging="360"/>
      </w:pPr>
      <w:rPr>
        <w:rFonts w:ascii="Symbol" w:hAnsi="Symbol" w:hint="default"/>
      </w:rPr>
    </w:lvl>
    <w:lvl w:ilvl="1" w:tplc="17905B40">
      <w:start w:val="1"/>
      <w:numFmt w:val="bullet"/>
      <w:lvlText w:val="o"/>
      <w:lvlJc w:val="left"/>
      <w:pPr>
        <w:ind w:left="1080" w:hanging="360"/>
      </w:pPr>
      <w:rPr>
        <w:rFonts w:ascii="Courier New" w:hAnsi="Courier New" w:hint="default"/>
      </w:rPr>
    </w:lvl>
    <w:lvl w:ilvl="2" w:tplc="2C38C50A">
      <w:start w:val="1"/>
      <w:numFmt w:val="bullet"/>
      <w:lvlText w:val=""/>
      <w:lvlJc w:val="left"/>
      <w:pPr>
        <w:ind w:left="1800" w:hanging="360"/>
      </w:pPr>
      <w:rPr>
        <w:rFonts w:ascii="Wingdings" w:hAnsi="Wingdings" w:hint="default"/>
      </w:rPr>
    </w:lvl>
    <w:lvl w:ilvl="3" w:tplc="B7142CFE">
      <w:start w:val="1"/>
      <w:numFmt w:val="bullet"/>
      <w:lvlText w:val=""/>
      <w:lvlJc w:val="left"/>
      <w:pPr>
        <w:ind w:left="2520" w:hanging="360"/>
      </w:pPr>
      <w:rPr>
        <w:rFonts w:ascii="Symbol" w:hAnsi="Symbol" w:hint="default"/>
      </w:rPr>
    </w:lvl>
    <w:lvl w:ilvl="4" w:tplc="687A840E">
      <w:start w:val="1"/>
      <w:numFmt w:val="bullet"/>
      <w:lvlText w:val="o"/>
      <w:lvlJc w:val="left"/>
      <w:pPr>
        <w:ind w:left="3240" w:hanging="360"/>
      </w:pPr>
      <w:rPr>
        <w:rFonts w:ascii="Courier New" w:hAnsi="Courier New" w:hint="default"/>
      </w:rPr>
    </w:lvl>
    <w:lvl w:ilvl="5" w:tplc="80581E76">
      <w:start w:val="1"/>
      <w:numFmt w:val="bullet"/>
      <w:lvlText w:val=""/>
      <w:lvlJc w:val="left"/>
      <w:pPr>
        <w:ind w:left="3960" w:hanging="360"/>
      </w:pPr>
      <w:rPr>
        <w:rFonts w:ascii="Wingdings" w:hAnsi="Wingdings" w:hint="default"/>
      </w:rPr>
    </w:lvl>
    <w:lvl w:ilvl="6" w:tplc="DE5E6A7A">
      <w:start w:val="1"/>
      <w:numFmt w:val="bullet"/>
      <w:lvlText w:val=""/>
      <w:lvlJc w:val="left"/>
      <w:pPr>
        <w:ind w:left="4680" w:hanging="360"/>
      </w:pPr>
      <w:rPr>
        <w:rFonts w:ascii="Symbol" w:hAnsi="Symbol" w:hint="default"/>
      </w:rPr>
    </w:lvl>
    <w:lvl w:ilvl="7" w:tplc="4E0C9D7A">
      <w:start w:val="1"/>
      <w:numFmt w:val="bullet"/>
      <w:lvlText w:val="o"/>
      <w:lvlJc w:val="left"/>
      <w:pPr>
        <w:ind w:left="5400" w:hanging="360"/>
      </w:pPr>
      <w:rPr>
        <w:rFonts w:ascii="Courier New" w:hAnsi="Courier New" w:hint="default"/>
      </w:rPr>
    </w:lvl>
    <w:lvl w:ilvl="8" w:tplc="D9900E74">
      <w:start w:val="1"/>
      <w:numFmt w:val="bullet"/>
      <w:lvlText w:val=""/>
      <w:lvlJc w:val="left"/>
      <w:pPr>
        <w:ind w:left="6120" w:hanging="360"/>
      </w:pPr>
      <w:rPr>
        <w:rFonts w:ascii="Wingdings" w:hAnsi="Wingdings" w:hint="default"/>
      </w:rPr>
    </w:lvl>
  </w:abstractNum>
  <w:abstractNum w:abstractNumId="34" w15:restartNumberingAfterBreak="0">
    <w:nsid w:val="7C29722C"/>
    <w:multiLevelType w:val="hybridMultilevel"/>
    <w:tmpl w:val="A68CB546"/>
    <w:lvl w:ilvl="0" w:tplc="BD201316">
      <w:start w:val="1"/>
      <w:numFmt w:val="decimal"/>
      <w:lvlText w:val="%1."/>
      <w:lvlJc w:val="left"/>
      <w:pPr>
        <w:ind w:left="720" w:hanging="360"/>
      </w:pPr>
    </w:lvl>
    <w:lvl w:ilvl="1" w:tplc="8AFA2F36">
      <w:start w:val="1"/>
      <w:numFmt w:val="lowerLetter"/>
      <w:lvlText w:val="%2."/>
      <w:lvlJc w:val="left"/>
      <w:pPr>
        <w:ind w:left="1440" w:hanging="360"/>
      </w:pPr>
    </w:lvl>
    <w:lvl w:ilvl="2" w:tplc="94E24EE2">
      <w:start w:val="1"/>
      <w:numFmt w:val="lowerRoman"/>
      <w:lvlText w:val="%3."/>
      <w:lvlJc w:val="right"/>
      <w:pPr>
        <w:ind w:left="2160" w:hanging="180"/>
      </w:pPr>
    </w:lvl>
    <w:lvl w:ilvl="3" w:tplc="BE622EC6">
      <w:start w:val="1"/>
      <w:numFmt w:val="decimal"/>
      <w:lvlText w:val="%4."/>
      <w:lvlJc w:val="left"/>
      <w:pPr>
        <w:ind w:left="2880" w:hanging="360"/>
      </w:pPr>
    </w:lvl>
    <w:lvl w:ilvl="4" w:tplc="DB803A96">
      <w:start w:val="1"/>
      <w:numFmt w:val="lowerLetter"/>
      <w:lvlText w:val="%5."/>
      <w:lvlJc w:val="left"/>
      <w:pPr>
        <w:ind w:left="3600" w:hanging="360"/>
      </w:pPr>
    </w:lvl>
    <w:lvl w:ilvl="5" w:tplc="E4C29F14">
      <w:start w:val="1"/>
      <w:numFmt w:val="lowerRoman"/>
      <w:lvlText w:val="%6."/>
      <w:lvlJc w:val="right"/>
      <w:pPr>
        <w:ind w:left="4320" w:hanging="180"/>
      </w:pPr>
    </w:lvl>
    <w:lvl w:ilvl="6" w:tplc="2A348382">
      <w:start w:val="1"/>
      <w:numFmt w:val="decimal"/>
      <w:lvlText w:val="%7."/>
      <w:lvlJc w:val="left"/>
      <w:pPr>
        <w:ind w:left="5040" w:hanging="360"/>
      </w:pPr>
    </w:lvl>
    <w:lvl w:ilvl="7" w:tplc="718EB432">
      <w:start w:val="1"/>
      <w:numFmt w:val="lowerLetter"/>
      <w:lvlText w:val="%8."/>
      <w:lvlJc w:val="left"/>
      <w:pPr>
        <w:ind w:left="5760" w:hanging="360"/>
      </w:pPr>
    </w:lvl>
    <w:lvl w:ilvl="8" w:tplc="599C2982">
      <w:start w:val="1"/>
      <w:numFmt w:val="lowerRoman"/>
      <w:lvlText w:val="%9."/>
      <w:lvlJc w:val="right"/>
      <w:pPr>
        <w:ind w:left="6480" w:hanging="180"/>
      </w:pPr>
    </w:lvl>
  </w:abstractNum>
  <w:abstractNum w:abstractNumId="35" w15:restartNumberingAfterBreak="0">
    <w:nsid w:val="7C65145E"/>
    <w:multiLevelType w:val="multilevel"/>
    <w:tmpl w:val="96360518"/>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DA5AE8"/>
    <w:multiLevelType w:val="hybridMultilevel"/>
    <w:tmpl w:val="8F34481C"/>
    <w:lvl w:ilvl="0" w:tplc="DA80F886">
      <w:start w:val="1"/>
      <w:numFmt w:val="bullet"/>
      <w:lvlText w:val=""/>
      <w:lvlJc w:val="left"/>
      <w:pPr>
        <w:ind w:left="720" w:hanging="360"/>
      </w:pPr>
      <w:rPr>
        <w:rFonts w:ascii="Symbol" w:hAnsi="Symbol" w:hint="default"/>
      </w:rPr>
    </w:lvl>
    <w:lvl w:ilvl="1" w:tplc="ADD8C7A0">
      <w:start w:val="1"/>
      <w:numFmt w:val="bullet"/>
      <w:lvlText w:val="o"/>
      <w:lvlJc w:val="left"/>
      <w:pPr>
        <w:ind w:left="1440" w:hanging="360"/>
      </w:pPr>
      <w:rPr>
        <w:rFonts w:ascii="Courier New" w:hAnsi="Courier New" w:hint="default"/>
      </w:rPr>
    </w:lvl>
    <w:lvl w:ilvl="2" w:tplc="D924DF94">
      <w:start w:val="1"/>
      <w:numFmt w:val="bullet"/>
      <w:lvlText w:val=""/>
      <w:lvlJc w:val="left"/>
      <w:pPr>
        <w:ind w:left="2160" w:hanging="360"/>
      </w:pPr>
      <w:rPr>
        <w:rFonts w:ascii="Wingdings" w:hAnsi="Wingdings" w:hint="default"/>
      </w:rPr>
    </w:lvl>
    <w:lvl w:ilvl="3" w:tplc="B6D0D3DA">
      <w:start w:val="1"/>
      <w:numFmt w:val="bullet"/>
      <w:lvlText w:val=""/>
      <w:lvlJc w:val="left"/>
      <w:pPr>
        <w:ind w:left="2880" w:hanging="360"/>
      </w:pPr>
      <w:rPr>
        <w:rFonts w:ascii="Symbol" w:hAnsi="Symbol" w:hint="default"/>
      </w:rPr>
    </w:lvl>
    <w:lvl w:ilvl="4" w:tplc="F09055D6">
      <w:start w:val="1"/>
      <w:numFmt w:val="bullet"/>
      <w:lvlText w:val="o"/>
      <w:lvlJc w:val="left"/>
      <w:pPr>
        <w:ind w:left="3600" w:hanging="360"/>
      </w:pPr>
      <w:rPr>
        <w:rFonts w:ascii="Courier New" w:hAnsi="Courier New" w:hint="default"/>
      </w:rPr>
    </w:lvl>
    <w:lvl w:ilvl="5" w:tplc="8C6696B6">
      <w:start w:val="1"/>
      <w:numFmt w:val="bullet"/>
      <w:lvlText w:val=""/>
      <w:lvlJc w:val="left"/>
      <w:pPr>
        <w:ind w:left="4320" w:hanging="360"/>
      </w:pPr>
      <w:rPr>
        <w:rFonts w:ascii="Wingdings" w:hAnsi="Wingdings" w:hint="default"/>
      </w:rPr>
    </w:lvl>
    <w:lvl w:ilvl="6" w:tplc="66C0592E">
      <w:start w:val="1"/>
      <w:numFmt w:val="bullet"/>
      <w:lvlText w:val=""/>
      <w:lvlJc w:val="left"/>
      <w:pPr>
        <w:ind w:left="5040" w:hanging="360"/>
      </w:pPr>
      <w:rPr>
        <w:rFonts w:ascii="Symbol" w:hAnsi="Symbol" w:hint="default"/>
      </w:rPr>
    </w:lvl>
    <w:lvl w:ilvl="7" w:tplc="9A1C961A">
      <w:start w:val="1"/>
      <w:numFmt w:val="bullet"/>
      <w:lvlText w:val="o"/>
      <w:lvlJc w:val="left"/>
      <w:pPr>
        <w:ind w:left="5760" w:hanging="360"/>
      </w:pPr>
      <w:rPr>
        <w:rFonts w:ascii="Courier New" w:hAnsi="Courier New" w:hint="default"/>
      </w:rPr>
    </w:lvl>
    <w:lvl w:ilvl="8" w:tplc="D16A6A06">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28"/>
  </w:num>
  <w:num w:numId="4">
    <w:abstractNumId w:val="23"/>
  </w:num>
  <w:num w:numId="5">
    <w:abstractNumId w:val="11"/>
  </w:num>
  <w:num w:numId="6">
    <w:abstractNumId w:val="25"/>
  </w:num>
  <w:num w:numId="7">
    <w:abstractNumId w:val="9"/>
  </w:num>
  <w:num w:numId="8">
    <w:abstractNumId w:val="10"/>
  </w:num>
  <w:num w:numId="9">
    <w:abstractNumId w:val="6"/>
  </w:num>
  <w:num w:numId="10">
    <w:abstractNumId w:val="35"/>
  </w:num>
  <w:num w:numId="11">
    <w:abstractNumId w:val="1"/>
  </w:num>
  <w:num w:numId="12">
    <w:abstractNumId w:val="12"/>
  </w:num>
  <w:num w:numId="13">
    <w:abstractNumId w:val="24"/>
  </w:num>
  <w:num w:numId="14">
    <w:abstractNumId w:val="21"/>
  </w:num>
  <w:num w:numId="15">
    <w:abstractNumId w:val="4"/>
  </w:num>
  <w:num w:numId="16">
    <w:abstractNumId w:val="26"/>
  </w:num>
  <w:num w:numId="17">
    <w:abstractNumId w:val="17"/>
  </w:num>
  <w:num w:numId="18">
    <w:abstractNumId w:val="5"/>
  </w:num>
  <w:num w:numId="19">
    <w:abstractNumId w:val="34"/>
  </w:num>
  <w:num w:numId="20">
    <w:abstractNumId w:val="31"/>
  </w:num>
  <w:num w:numId="21">
    <w:abstractNumId w:val="8"/>
  </w:num>
  <w:num w:numId="22">
    <w:abstractNumId w:val="29"/>
  </w:num>
  <w:num w:numId="23">
    <w:abstractNumId w:val="27"/>
  </w:num>
  <w:num w:numId="24">
    <w:abstractNumId w:val="0"/>
  </w:num>
  <w:num w:numId="25">
    <w:abstractNumId w:val="2"/>
  </w:num>
  <w:num w:numId="26">
    <w:abstractNumId w:val="22"/>
  </w:num>
  <w:num w:numId="27">
    <w:abstractNumId w:val="14"/>
  </w:num>
  <w:num w:numId="28">
    <w:abstractNumId w:val="30"/>
  </w:num>
  <w:num w:numId="29">
    <w:abstractNumId w:val="15"/>
  </w:num>
  <w:num w:numId="30">
    <w:abstractNumId w:val="13"/>
  </w:num>
  <w:num w:numId="31">
    <w:abstractNumId w:val="7"/>
  </w:num>
  <w:num w:numId="32">
    <w:abstractNumId w:val="20"/>
  </w:num>
  <w:num w:numId="33">
    <w:abstractNumId w:val="16"/>
  </w:num>
  <w:num w:numId="34">
    <w:abstractNumId w:val="33"/>
  </w:num>
  <w:num w:numId="35">
    <w:abstractNumId w:val="19"/>
  </w:num>
  <w:num w:numId="36">
    <w:abstractNumId w:val="18"/>
  </w:num>
  <w:num w:numId="3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CORRIGENDUM_x000b__x000b_This document corrects document SWD(2021) 155 final of 17.6.2021_x000b__x000b_Correction of some errors on page 2._x000b__x000b_The text should read as follows:"/>
    <w:docVar w:name="LW_COVERPAGE_EXISTS" w:val="True"/>
    <w:docVar w:name="LW_COVERPAGE_GUID" w:val="ECBD39B9-39D5-406A-8EE8-4C031FEC34B6"/>
    <w:docVar w:name="LW_COVERPAGE_TYPE" w:val="1"/>
    <w:docVar w:name="LW_CROSSREFERENCE" w:val="{COM(2021) 328 final}"/>
    <w:docVar w:name="LW_DocType" w:val="NORMAL"/>
    <w:docVar w:name="LW_EMISSION" w:val="4.8.2021"/>
    <w:docVar w:name="LW_EMISSION_ISODATE" w:val="2021-08-04"/>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the approval of the assessment of the recovery and resilience plan for Greece"/>
    <w:docVar w:name="LW_PART_NBR" w:val="1"/>
    <w:docVar w:name="LW_PART_NBR_TOTAL" w:val="1"/>
    <w:docVar w:name="LW_REF.INST.NEW" w:val="SWD"/>
    <w:docVar w:name="LW_REF.INST.NEW_ADOPTED" w:val="final/2"/>
    <w:docVar w:name="LW_REF.INST.NEW_TEXT" w:val="(2021) 1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nalysis of the recovery and resilience plan of Greece"/>
    <w:docVar w:name="LW_TYPE.DOC.CP" w:val="COMMISSION STAFF WORKING DOCUMENT"/>
    <w:docVar w:name="LW_TYPEACTEPRINCIPAL.CP" w:val="Proposal for a COUNCIL IMPLEMENTING DECISION"/>
    <w:docVar w:name="LwApiVersions" w:val="LW4CoDe 1.23.0.0; LW 8.0, Build 20210114"/>
  </w:docVars>
  <w:rsids>
    <w:rsidRoot w:val="00176373"/>
    <w:rsid w:val="00176373"/>
    <w:rsid w:val="00E474D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5:docId w15:val="{74DB6933-8D40-40AC-9583-1259CA47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1"/>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Normal"/>
    <w:link w:val="Heading2Char"/>
    <w:uiPriority w:val="1"/>
    <w:qFormat/>
    <w:pPr>
      <w:keepNext/>
      <w:tabs>
        <w:tab w:val="num" w:pos="1202"/>
      </w:tabs>
      <w:spacing w:after="240" w:line="240" w:lineRule="auto"/>
      <w:ind w:left="1202" w:hanging="720"/>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1"/>
    <w:qFormat/>
    <w:pPr>
      <w:keepNext/>
      <w:tabs>
        <w:tab w:val="num" w:pos="1922"/>
      </w:tabs>
      <w:spacing w:after="240" w:line="240" w:lineRule="auto"/>
      <w:ind w:left="720" w:hanging="720"/>
      <w:jc w:val="both"/>
      <w:outlineLvl w:val="2"/>
    </w:pPr>
    <w:rPr>
      <w:rFonts w:ascii="Times New Roman" w:eastAsia="Times New Roman" w:hAnsi="Times New Roman" w:cs="Times New Roman"/>
      <w:i/>
      <w:sz w:val="24"/>
      <w:szCs w:val="20"/>
      <w:lang w:eastAsia="en-GB"/>
    </w:rPr>
  </w:style>
  <w:style w:type="paragraph" w:styleId="Heading4">
    <w:name w:val="heading 4"/>
    <w:basedOn w:val="Normal"/>
    <w:next w:val="Normal"/>
    <w:link w:val="Heading4Char"/>
    <w:uiPriority w:val="1"/>
    <w:qFormat/>
    <w:pPr>
      <w:keepNext/>
      <w:tabs>
        <w:tab w:val="num" w:pos="1922"/>
      </w:tabs>
      <w:spacing w:after="240" w:line="240" w:lineRule="auto"/>
      <w:ind w:left="1922" w:hanging="720"/>
      <w:jc w:val="both"/>
      <w:outlineLvl w:val="3"/>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smallCaps/>
      <w:sz w:val="24"/>
      <w:szCs w:val="20"/>
      <w:lang w:val="en-GB" w:eastAsia="en-GB"/>
    </w:rPr>
  </w:style>
  <w:style w:type="character" w:customStyle="1" w:styleId="Heading2Char">
    <w:name w:val="Heading 2 Char"/>
    <w:basedOn w:val="DefaultParagraphFont"/>
    <w:link w:val="Heading2"/>
    <w:uiPriority w:val="1"/>
    <w:rPr>
      <w:rFonts w:ascii="Times New Roman" w:eastAsia="Times New Roman" w:hAnsi="Times New Roman" w:cs="Times New Roman"/>
      <w:b/>
      <w:sz w:val="24"/>
      <w:szCs w:val="20"/>
      <w:lang w:val="en-GB" w:eastAsia="en-GB"/>
    </w:rPr>
  </w:style>
  <w:style w:type="character" w:customStyle="1" w:styleId="Heading3Char">
    <w:name w:val="Heading 3 Char"/>
    <w:basedOn w:val="DefaultParagraphFont"/>
    <w:link w:val="Heading3"/>
    <w:uiPriority w:val="1"/>
    <w:rPr>
      <w:rFonts w:ascii="Times New Roman" w:eastAsia="Times New Roman" w:hAnsi="Times New Roman" w:cs="Times New Roman"/>
      <w:i/>
      <w:sz w:val="24"/>
      <w:szCs w:val="20"/>
      <w:lang w:val="en-GB" w:eastAsia="en-GB"/>
    </w:rPr>
  </w:style>
  <w:style w:type="character" w:customStyle="1" w:styleId="Heading4Char">
    <w:name w:val="Heading 4 Char"/>
    <w:basedOn w:val="DefaultParagraphFont"/>
    <w:link w:val="Heading4"/>
    <w:uiPriority w:val="1"/>
    <w:rPr>
      <w:rFonts w:ascii="Times New Roman" w:eastAsia="Times New Roman" w:hAnsi="Times New Roman" w:cs="Times New Roman"/>
      <w:sz w:val="24"/>
      <w:szCs w:val="20"/>
      <w:lang w:val="en-GB"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f,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 Char"/>
    <w:basedOn w:val="DefaultParagraphFont"/>
    <w:link w:val="FootnoteText"/>
    <w:uiPriority w:val="99"/>
    <w:qFormat/>
    <w:rPr>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1">
    <w:name w:val="Normal1"/>
    <w:basedOn w:val="Normal"/>
    <w:link w:val="Normal1Char"/>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1Char">
    <w:name w:val="Normal1 Char"/>
    <w:basedOn w:val="DefaultParagraphFont"/>
    <w:link w:val="Normal1"/>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Pr>
      <w:color w:val="0563C1" w:themeColor="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ChapterTitle">
    <w:name w:val="ChapterTitle"/>
    <w:basedOn w:val="Normal"/>
    <w:next w:val="Normal"/>
    <w:uiPriority w:val="1"/>
    <w:qFormat/>
    <w:pPr>
      <w:keepNext/>
      <w:spacing w:after="480" w:line="240" w:lineRule="auto"/>
      <w:jc w:val="center"/>
      <w:outlineLvl w:val="0"/>
    </w:pPr>
    <w:rPr>
      <w:rFonts w:ascii="Times New Roman" w:eastAsia="Times New Roman" w:hAnsi="Times New Roman" w:cs="Times New Roman"/>
      <w:b/>
      <w:sz w:val="32"/>
      <w:szCs w:val="20"/>
      <w:lang w:eastAsia="en-GB"/>
    </w:rPr>
  </w:style>
  <w:style w:type="paragraph" w:styleId="TOCHeading">
    <w:name w:val="TOC Heading"/>
    <w:basedOn w:val="Heading1"/>
    <w:next w:val="Normal"/>
    <w:uiPriority w:val="39"/>
    <w:unhideWhenUsed/>
    <w:qFormat/>
    <w:pPr>
      <w:keepLines/>
      <w:tabs>
        <w:tab w:val="clear" w:pos="482"/>
      </w:tabs>
      <w:spacing w:after="0" w:line="259" w:lineRule="auto"/>
      <w:ind w:left="0" w:firstLine="0"/>
      <w:jc w:val="left"/>
      <w:outlineLvl w:val="9"/>
    </w:pPr>
    <w:rPr>
      <w:rFonts w:asciiTheme="majorHAnsi" w:eastAsiaTheme="majorEastAsia" w:hAnsiTheme="majorHAnsi" w:cstheme="majorBidi"/>
      <w:b w:val="0"/>
      <w:smallCaps w:val="0"/>
      <w:color w:val="2F5496" w:themeColor="accent1" w:themeShade="BF"/>
      <w:sz w:val="32"/>
      <w:szCs w:val="32"/>
      <w:lang w:val="en-US" w:eastAsia="en-US"/>
    </w:rPr>
  </w:style>
  <w:style w:type="paragraph" w:styleId="TOC1">
    <w:name w:val="toc 1"/>
    <w:basedOn w:val="Normal"/>
    <w:next w:val="Normal"/>
    <w:autoRedefine/>
    <w:uiPriority w:val="39"/>
    <w:unhideWhenUsed/>
    <w:pPr>
      <w:tabs>
        <w:tab w:val="left" w:pos="440"/>
        <w:tab w:val="right" w:leader="dot" w:pos="9350"/>
      </w:tabs>
      <w:spacing w:after="100"/>
    </w:pPr>
  </w:style>
  <w:style w:type="paragraph" w:styleId="TOC2">
    <w:name w:val="toc 2"/>
    <w:basedOn w:val="Normal"/>
    <w:next w:val="Normal"/>
    <w:autoRedefine/>
    <w:uiPriority w:val="39"/>
    <w:unhideWhenUsed/>
    <w:pPr>
      <w:tabs>
        <w:tab w:val="left" w:pos="880"/>
        <w:tab w:val="right" w:leader="dot" w:pos="9350"/>
      </w:tabs>
      <w:spacing w:after="100"/>
      <w:ind w:left="220"/>
    </w:pPr>
  </w:style>
  <w:style w:type="paragraph" w:styleId="TOC3">
    <w:name w:val="toc 3"/>
    <w:basedOn w:val="Normal"/>
    <w:next w:val="Normal"/>
    <w:autoRedefine/>
    <w:uiPriority w:val="39"/>
    <w:unhideWhenUsed/>
    <w:pPr>
      <w:spacing w:after="100"/>
      <w:ind w:left="440"/>
    </w:pPr>
  </w:style>
  <w:style w:type="paragraph" w:customStyle="1" w:styleId="LegalNumPar">
    <w:name w:val="LegalNumPar"/>
    <w:basedOn w:val="Normal"/>
    <w:pPr>
      <w:numPr>
        <w:numId w:val="12"/>
      </w:numPr>
      <w:spacing w:line="360" w:lineRule="auto"/>
    </w:pPr>
    <w:rPr>
      <w:sz w:val="24"/>
    </w:rPr>
  </w:style>
  <w:style w:type="paragraph" w:customStyle="1" w:styleId="LegalNumPar2">
    <w:name w:val="LegalNumPar2"/>
    <w:basedOn w:val="Normal"/>
    <w:pPr>
      <w:spacing w:line="360" w:lineRule="auto"/>
      <w:ind w:left="953" w:hanging="477"/>
    </w:pPr>
    <w:rPr>
      <w:sz w:val="24"/>
    </w:rPr>
  </w:style>
  <w:style w:type="paragraph" w:customStyle="1" w:styleId="LegalNumPar3">
    <w:name w:val="LegalNumPar3"/>
    <w:basedOn w:val="Normal"/>
    <w:pPr>
      <w:spacing w:line="360" w:lineRule="auto"/>
      <w:ind w:left="1429" w:hanging="476"/>
    </w:pPr>
    <w:rPr>
      <w:sz w:val="24"/>
    </w:rPr>
  </w:style>
  <w:style w:type="paragraph" w:customStyle="1" w:styleId="BoxText">
    <w:name w:val="Box Text"/>
    <w:basedOn w:val="Normal"/>
    <w:link w:val="BoxTextChar"/>
    <w:pPr>
      <w:spacing w:after="220" w:line="220" w:lineRule="atLeast"/>
      <w:ind w:right="85"/>
      <w:jc w:val="both"/>
    </w:pPr>
    <w:rPr>
      <w:rFonts w:ascii="Times New Roman" w:eastAsia="Times New Roman" w:hAnsi="Times New Roman" w:cs="Times New Roman"/>
      <w:color w:val="000000"/>
      <w:sz w:val="18"/>
      <w:szCs w:val="24"/>
    </w:rPr>
  </w:style>
  <w:style w:type="character" w:customStyle="1" w:styleId="BoxTextChar">
    <w:name w:val="Box Text Char"/>
    <w:basedOn w:val="DefaultParagraphFont"/>
    <w:link w:val="BoxText"/>
    <w:rPr>
      <w:rFonts w:ascii="Times New Roman" w:eastAsia="Times New Roman" w:hAnsi="Times New Roman" w:cs="Times New Roman"/>
      <w:color w:val="000000"/>
      <w:sz w:val="18"/>
      <w:szCs w:val="24"/>
      <w:lang w:val="en-GB"/>
    </w:rPr>
  </w:style>
  <w:style w:type="paragraph" w:customStyle="1" w:styleId="BoxTitle">
    <w:name w:val="Box Title"/>
    <w:basedOn w:val="Normal"/>
    <w:pPr>
      <w:spacing w:after="220" w:line="240" w:lineRule="atLeast"/>
      <w:ind w:right="85"/>
      <w:jc w:val="center"/>
      <w:outlineLvl w:val="6"/>
    </w:pPr>
    <w:rPr>
      <w:rFonts w:ascii="Century Gothic" w:eastAsia="Times New Roman" w:hAnsi="Century Gothic" w:cs="Times New Roman"/>
      <w:color w:val="333399"/>
      <w:sz w:val="18"/>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Titreobjet"/>
    <w:pPr>
      <w:spacing w:before="360" w:after="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ManualNumPar1">
    <w:name w:val="Manual NumPar 1"/>
    <w:basedOn w:val="Normal"/>
    <w:next w:val="Normal"/>
    <w:pPr>
      <w:spacing w:before="120" w:after="120" w:line="240" w:lineRule="auto"/>
      <w:ind w:left="850" w:hanging="850"/>
      <w:jc w:val="both"/>
    </w:pPr>
    <w:rPr>
      <w:rFonts w:ascii="Times New Roman" w:hAnsi="Times New Roman" w:cs="Times New Roman"/>
      <w:sz w:val="24"/>
    </w:rPr>
  </w:style>
  <w:style w:type="paragraph" w:customStyle="1" w:styleId="Formuledadoption">
    <w:name w:val="Formule d'adoption"/>
    <w:basedOn w:val="Normal"/>
    <w:next w:val="Normal"/>
    <w:pPr>
      <w:keepNext/>
      <w:spacing w:before="120" w:after="120" w:line="240" w:lineRule="auto"/>
      <w:jc w:val="both"/>
    </w:pPr>
    <w:rPr>
      <w:rFonts w:ascii="Times New Roman" w:hAnsi="Times New Roman" w:cs="Times New Roman"/>
      <w:sz w:val="24"/>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container">
    <w:name w:val="image_container"/>
    <w:basedOn w:val="DefaultParagraphFont"/>
  </w:style>
  <w:style w:type="paragraph" w:customStyle="1" w:styleId="Heading">
    <w:name w:val="Heading"/>
    <w:basedOn w:val="Normal"/>
    <w:next w:val="Normal"/>
    <w:pPr>
      <w:keepNext/>
      <w:spacing w:before="120" w:after="120" w:line="240" w:lineRule="atLeast"/>
      <w:jc w:val="both"/>
    </w:pPr>
    <w:rPr>
      <w:rFonts w:ascii="Century Gothic" w:hAnsi="Century Gothic" w:cs="Times New Roman"/>
      <w:b/>
      <w:color w:val="333399"/>
      <w:sz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pPr>
      <w:spacing w:after="0" w:line="240" w:lineRule="auto"/>
    </w:pPr>
    <w:rPr>
      <w:rFonts w:ascii="Times New Roman" w:eastAsia="SimSun" w:hAnsi="Times New Roman" w:cs="Times New Roman"/>
      <w:sz w:val="24"/>
      <w:szCs w:val="20"/>
      <w:lang w:val="en-GB" w:eastAsia="en-GB"/>
    </w:rPr>
  </w:style>
  <w:style w:type="paragraph" w:customStyle="1" w:styleId="headingitalics">
    <w:name w:val="_heading_italics"/>
    <w:basedOn w:val="Normal"/>
    <w:next w:val="Normal"/>
    <w:pPr>
      <w:keepNext/>
      <w:jc w:val="both"/>
    </w:pPr>
    <w:rPr>
      <w:rFonts w:ascii="Times New Roman" w:hAnsi="Times New Roman"/>
      <w:i/>
      <w:iCs/>
      <w:sz w:val="24"/>
      <w:szCs w:val="24"/>
      <w:lang w:val="en-I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LTTBody1">
    <w:name w:val="LTT Body 1"/>
    <w:basedOn w:val="Normal"/>
    <w:uiPriority w:val="99"/>
    <w:pPr>
      <w:spacing w:after="0" w:line="240" w:lineRule="auto"/>
      <w:ind w:left="360" w:hanging="360"/>
    </w:pPr>
    <w:rPr>
      <w:rFonts w:ascii="Calibri" w:hAnsi="Calibri" w:cs="Calibri"/>
      <w:sz w:val="28"/>
      <w:szCs w:val="28"/>
      <w:lang w:eastAsia="en-GB"/>
    </w:rPr>
  </w:style>
  <w:style w:type="table" w:customStyle="1" w:styleId="TableGrid12">
    <w:name w:val="Table Grid1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Normal"/>
    <w:uiPriority w:val="1"/>
    <w:qFormat/>
    <w:pPr>
      <w:spacing w:after="240" w:line="240" w:lineRule="auto"/>
      <w:ind w:left="482"/>
      <w:jc w:val="both"/>
    </w:pPr>
    <w:rPr>
      <w:rFonts w:ascii="Times New Roman" w:eastAsia="Times New Roman" w:hAnsi="Times New Roman" w:cs="Times New Roman"/>
      <w:sz w:val="24"/>
      <w:szCs w:val="20"/>
      <w:lang w:eastAsia="en-GB"/>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141">
      <w:bodyDiv w:val="1"/>
      <w:marLeft w:val="0"/>
      <w:marRight w:val="0"/>
      <w:marTop w:val="0"/>
      <w:marBottom w:val="0"/>
      <w:divBdr>
        <w:top w:val="none" w:sz="0" w:space="0" w:color="auto"/>
        <w:left w:val="none" w:sz="0" w:space="0" w:color="auto"/>
        <w:bottom w:val="none" w:sz="0" w:space="0" w:color="auto"/>
        <w:right w:val="none" w:sz="0" w:space="0" w:color="auto"/>
      </w:divBdr>
      <w:divsChild>
        <w:div w:id="85156790">
          <w:marLeft w:val="0"/>
          <w:marRight w:val="0"/>
          <w:marTop w:val="0"/>
          <w:marBottom w:val="0"/>
          <w:divBdr>
            <w:top w:val="none" w:sz="0" w:space="0" w:color="auto"/>
            <w:left w:val="none" w:sz="0" w:space="0" w:color="auto"/>
            <w:bottom w:val="none" w:sz="0" w:space="0" w:color="auto"/>
            <w:right w:val="none" w:sz="0" w:space="0" w:color="auto"/>
          </w:divBdr>
        </w:div>
        <w:div w:id="1120611434">
          <w:marLeft w:val="0"/>
          <w:marRight w:val="0"/>
          <w:marTop w:val="0"/>
          <w:marBottom w:val="0"/>
          <w:divBdr>
            <w:top w:val="none" w:sz="0" w:space="0" w:color="auto"/>
            <w:left w:val="none" w:sz="0" w:space="0" w:color="auto"/>
            <w:bottom w:val="none" w:sz="0" w:space="0" w:color="auto"/>
            <w:right w:val="none" w:sz="0" w:space="0" w:color="auto"/>
          </w:divBdr>
        </w:div>
        <w:div w:id="1896889864">
          <w:marLeft w:val="0"/>
          <w:marRight w:val="0"/>
          <w:marTop w:val="0"/>
          <w:marBottom w:val="0"/>
          <w:divBdr>
            <w:top w:val="none" w:sz="0" w:space="0" w:color="auto"/>
            <w:left w:val="none" w:sz="0" w:space="0" w:color="auto"/>
            <w:bottom w:val="none" w:sz="0" w:space="0" w:color="auto"/>
            <w:right w:val="none" w:sz="0" w:space="0" w:color="auto"/>
          </w:divBdr>
        </w:div>
      </w:divsChild>
    </w:div>
    <w:div w:id="20475568">
      <w:bodyDiv w:val="1"/>
      <w:marLeft w:val="0"/>
      <w:marRight w:val="0"/>
      <w:marTop w:val="0"/>
      <w:marBottom w:val="0"/>
      <w:divBdr>
        <w:top w:val="none" w:sz="0" w:space="0" w:color="auto"/>
        <w:left w:val="none" w:sz="0" w:space="0" w:color="auto"/>
        <w:bottom w:val="none" w:sz="0" w:space="0" w:color="auto"/>
        <w:right w:val="none" w:sz="0" w:space="0" w:color="auto"/>
      </w:divBdr>
    </w:div>
    <w:div w:id="99764495">
      <w:bodyDiv w:val="1"/>
      <w:marLeft w:val="0"/>
      <w:marRight w:val="0"/>
      <w:marTop w:val="0"/>
      <w:marBottom w:val="0"/>
      <w:divBdr>
        <w:top w:val="none" w:sz="0" w:space="0" w:color="auto"/>
        <w:left w:val="none" w:sz="0" w:space="0" w:color="auto"/>
        <w:bottom w:val="none" w:sz="0" w:space="0" w:color="auto"/>
        <w:right w:val="none" w:sz="0" w:space="0" w:color="auto"/>
      </w:divBdr>
      <w:divsChild>
        <w:div w:id="612712281">
          <w:marLeft w:val="0"/>
          <w:marRight w:val="0"/>
          <w:marTop w:val="0"/>
          <w:marBottom w:val="0"/>
          <w:divBdr>
            <w:top w:val="none" w:sz="0" w:space="0" w:color="auto"/>
            <w:left w:val="none" w:sz="0" w:space="0" w:color="auto"/>
            <w:bottom w:val="none" w:sz="0" w:space="0" w:color="auto"/>
            <w:right w:val="none" w:sz="0" w:space="0" w:color="auto"/>
          </w:divBdr>
        </w:div>
        <w:div w:id="1169062323">
          <w:marLeft w:val="0"/>
          <w:marRight w:val="0"/>
          <w:marTop w:val="0"/>
          <w:marBottom w:val="0"/>
          <w:divBdr>
            <w:top w:val="none" w:sz="0" w:space="0" w:color="auto"/>
            <w:left w:val="none" w:sz="0" w:space="0" w:color="auto"/>
            <w:bottom w:val="none" w:sz="0" w:space="0" w:color="auto"/>
            <w:right w:val="none" w:sz="0" w:space="0" w:color="auto"/>
          </w:divBdr>
        </w:div>
        <w:div w:id="1404375096">
          <w:marLeft w:val="0"/>
          <w:marRight w:val="0"/>
          <w:marTop w:val="0"/>
          <w:marBottom w:val="0"/>
          <w:divBdr>
            <w:top w:val="none" w:sz="0" w:space="0" w:color="auto"/>
            <w:left w:val="none" w:sz="0" w:space="0" w:color="auto"/>
            <w:bottom w:val="none" w:sz="0" w:space="0" w:color="auto"/>
            <w:right w:val="none" w:sz="0" w:space="0" w:color="auto"/>
          </w:divBdr>
        </w:div>
      </w:divsChild>
    </w:div>
    <w:div w:id="108278055">
      <w:bodyDiv w:val="1"/>
      <w:marLeft w:val="0"/>
      <w:marRight w:val="0"/>
      <w:marTop w:val="0"/>
      <w:marBottom w:val="0"/>
      <w:divBdr>
        <w:top w:val="none" w:sz="0" w:space="0" w:color="auto"/>
        <w:left w:val="none" w:sz="0" w:space="0" w:color="auto"/>
        <w:bottom w:val="none" w:sz="0" w:space="0" w:color="auto"/>
        <w:right w:val="none" w:sz="0" w:space="0" w:color="auto"/>
      </w:divBdr>
    </w:div>
    <w:div w:id="114103659">
      <w:bodyDiv w:val="1"/>
      <w:marLeft w:val="0"/>
      <w:marRight w:val="0"/>
      <w:marTop w:val="0"/>
      <w:marBottom w:val="0"/>
      <w:divBdr>
        <w:top w:val="none" w:sz="0" w:space="0" w:color="auto"/>
        <w:left w:val="none" w:sz="0" w:space="0" w:color="auto"/>
        <w:bottom w:val="none" w:sz="0" w:space="0" w:color="auto"/>
        <w:right w:val="none" w:sz="0" w:space="0" w:color="auto"/>
      </w:divBdr>
    </w:div>
    <w:div w:id="122159495">
      <w:bodyDiv w:val="1"/>
      <w:marLeft w:val="0"/>
      <w:marRight w:val="0"/>
      <w:marTop w:val="0"/>
      <w:marBottom w:val="0"/>
      <w:divBdr>
        <w:top w:val="none" w:sz="0" w:space="0" w:color="auto"/>
        <w:left w:val="none" w:sz="0" w:space="0" w:color="auto"/>
        <w:bottom w:val="none" w:sz="0" w:space="0" w:color="auto"/>
        <w:right w:val="none" w:sz="0" w:space="0" w:color="auto"/>
      </w:divBdr>
    </w:div>
    <w:div w:id="169368520">
      <w:bodyDiv w:val="1"/>
      <w:marLeft w:val="0"/>
      <w:marRight w:val="0"/>
      <w:marTop w:val="0"/>
      <w:marBottom w:val="0"/>
      <w:divBdr>
        <w:top w:val="none" w:sz="0" w:space="0" w:color="auto"/>
        <w:left w:val="none" w:sz="0" w:space="0" w:color="auto"/>
        <w:bottom w:val="none" w:sz="0" w:space="0" w:color="auto"/>
        <w:right w:val="none" w:sz="0" w:space="0" w:color="auto"/>
      </w:divBdr>
    </w:div>
    <w:div w:id="183978026">
      <w:bodyDiv w:val="1"/>
      <w:marLeft w:val="0"/>
      <w:marRight w:val="0"/>
      <w:marTop w:val="0"/>
      <w:marBottom w:val="0"/>
      <w:divBdr>
        <w:top w:val="none" w:sz="0" w:space="0" w:color="auto"/>
        <w:left w:val="none" w:sz="0" w:space="0" w:color="auto"/>
        <w:bottom w:val="none" w:sz="0" w:space="0" w:color="auto"/>
        <w:right w:val="none" w:sz="0" w:space="0" w:color="auto"/>
      </w:divBdr>
    </w:div>
    <w:div w:id="186335072">
      <w:bodyDiv w:val="1"/>
      <w:marLeft w:val="0"/>
      <w:marRight w:val="0"/>
      <w:marTop w:val="0"/>
      <w:marBottom w:val="0"/>
      <w:divBdr>
        <w:top w:val="none" w:sz="0" w:space="0" w:color="auto"/>
        <w:left w:val="none" w:sz="0" w:space="0" w:color="auto"/>
        <w:bottom w:val="none" w:sz="0" w:space="0" w:color="auto"/>
        <w:right w:val="none" w:sz="0" w:space="0" w:color="auto"/>
      </w:divBdr>
      <w:divsChild>
        <w:div w:id="6909810">
          <w:marLeft w:val="0"/>
          <w:marRight w:val="0"/>
          <w:marTop w:val="0"/>
          <w:marBottom w:val="0"/>
          <w:divBdr>
            <w:top w:val="none" w:sz="0" w:space="0" w:color="auto"/>
            <w:left w:val="none" w:sz="0" w:space="0" w:color="auto"/>
            <w:bottom w:val="none" w:sz="0" w:space="0" w:color="auto"/>
            <w:right w:val="none" w:sz="0" w:space="0" w:color="auto"/>
          </w:divBdr>
          <w:divsChild>
            <w:div w:id="2056542378">
              <w:marLeft w:val="0"/>
              <w:marRight w:val="0"/>
              <w:marTop w:val="0"/>
              <w:marBottom w:val="0"/>
              <w:divBdr>
                <w:top w:val="none" w:sz="0" w:space="0" w:color="auto"/>
                <w:left w:val="none" w:sz="0" w:space="0" w:color="auto"/>
                <w:bottom w:val="none" w:sz="0" w:space="0" w:color="auto"/>
                <w:right w:val="none" w:sz="0" w:space="0" w:color="auto"/>
              </w:divBdr>
            </w:div>
            <w:div w:id="285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1960">
      <w:bodyDiv w:val="1"/>
      <w:marLeft w:val="0"/>
      <w:marRight w:val="0"/>
      <w:marTop w:val="0"/>
      <w:marBottom w:val="0"/>
      <w:divBdr>
        <w:top w:val="none" w:sz="0" w:space="0" w:color="auto"/>
        <w:left w:val="none" w:sz="0" w:space="0" w:color="auto"/>
        <w:bottom w:val="none" w:sz="0" w:space="0" w:color="auto"/>
        <w:right w:val="none" w:sz="0" w:space="0" w:color="auto"/>
      </w:divBdr>
    </w:div>
    <w:div w:id="254286151">
      <w:bodyDiv w:val="1"/>
      <w:marLeft w:val="0"/>
      <w:marRight w:val="0"/>
      <w:marTop w:val="0"/>
      <w:marBottom w:val="0"/>
      <w:divBdr>
        <w:top w:val="none" w:sz="0" w:space="0" w:color="auto"/>
        <w:left w:val="none" w:sz="0" w:space="0" w:color="auto"/>
        <w:bottom w:val="none" w:sz="0" w:space="0" w:color="auto"/>
        <w:right w:val="none" w:sz="0" w:space="0" w:color="auto"/>
      </w:divBdr>
    </w:div>
    <w:div w:id="255990214">
      <w:bodyDiv w:val="1"/>
      <w:marLeft w:val="0"/>
      <w:marRight w:val="0"/>
      <w:marTop w:val="0"/>
      <w:marBottom w:val="0"/>
      <w:divBdr>
        <w:top w:val="none" w:sz="0" w:space="0" w:color="auto"/>
        <w:left w:val="none" w:sz="0" w:space="0" w:color="auto"/>
        <w:bottom w:val="none" w:sz="0" w:space="0" w:color="auto"/>
        <w:right w:val="none" w:sz="0" w:space="0" w:color="auto"/>
      </w:divBdr>
    </w:div>
    <w:div w:id="256791427">
      <w:bodyDiv w:val="1"/>
      <w:marLeft w:val="0"/>
      <w:marRight w:val="0"/>
      <w:marTop w:val="0"/>
      <w:marBottom w:val="0"/>
      <w:divBdr>
        <w:top w:val="none" w:sz="0" w:space="0" w:color="auto"/>
        <w:left w:val="none" w:sz="0" w:space="0" w:color="auto"/>
        <w:bottom w:val="none" w:sz="0" w:space="0" w:color="auto"/>
        <w:right w:val="none" w:sz="0" w:space="0" w:color="auto"/>
      </w:divBdr>
    </w:div>
    <w:div w:id="319702163">
      <w:bodyDiv w:val="1"/>
      <w:marLeft w:val="0"/>
      <w:marRight w:val="0"/>
      <w:marTop w:val="0"/>
      <w:marBottom w:val="0"/>
      <w:divBdr>
        <w:top w:val="none" w:sz="0" w:space="0" w:color="auto"/>
        <w:left w:val="none" w:sz="0" w:space="0" w:color="auto"/>
        <w:bottom w:val="none" w:sz="0" w:space="0" w:color="auto"/>
        <w:right w:val="none" w:sz="0" w:space="0" w:color="auto"/>
      </w:divBdr>
    </w:div>
    <w:div w:id="339936686">
      <w:bodyDiv w:val="1"/>
      <w:marLeft w:val="0"/>
      <w:marRight w:val="0"/>
      <w:marTop w:val="0"/>
      <w:marBottom w:val="0"/>
      <w:divBdr>
        <w:top w:val="none" w:sz="0" w:space="0" w:color="auto"/>
        <w:left w:val="none" w:sz="0" w:space="0" w:color="auto"/>
        <w:bottom w:val="none" w:sz="0" w:space="0" w:color="auto"/>
        <w:right w:val="none" w:sz="0" w:space="0" w:color="auto"/>
      </w:divBdr>
      <w:divsChild>
        <w:div w:id="1686445405">
          <w:marLeft w:val="0"/>
          <w:marRight w:val="0"/>
          <w:marTop w:val="0"/>
          <w:marBottom w:val="0"/>
          <w:divBdr>
            <w:top w:val="none" w:sz="0" w:space="0" w:color="auto"/>
            <w:left w:val="none" w:sz="0" w:space="0" w:color="auto"/>
            <w:bottom w:val="none" w:sz="0" w:space="0" w:color="auto"/>
            <w:right w:val="none" w:sz="0" w:space="0" w:color="auto"/>
          </w:divBdr>
          <w:divsChild>
            <w:div w:id="618991184">
              <w:marLeft w:val="0"/>
              <w:marRight w:val="0"/>
              <w:marTop w:val="0"/>
              <w:marBottom w:val="0"/>
              <w:divBdr>
                <w:top w:val="none" w:sz="0" w:space="0" w:color="auto"/>
                <w:left w:val="none" w:sz="0" w:space="0" w:color="auto"/>
                <w:bottom w:val="none" w:sz="0" w:space="0" w:color="auto"/>
                <w:right w:val="none" w:sz="0" w:space="0" w:color="auto"/>
              </w:divBdr>
            </w:div>
            <w:div w:id="3824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7349">
      <w:bodyDiv w:val="1"/>
      <w:marLeft w:val="0"/>
      <w:marRight w:val="0"/>
      <w:marTop w:val="0"/>
      <w:marBottom w:val="0"/>
      <w:divBdr>
        <w:top w:val="none" w:sz="0" w:space="0" w:color="auto"/>
        <w:left w:val="none" w:sz="0" w:space="0" w:color="auto"/>
        <w:bottom w:val="none" w:sz="0" w:space="0" w:color="auto"/>
        <w:right w:val="none" w:sz="0" w:space="0" w:color="auto"/>
      </w:divBdr>
      <w:divsChild>
        <w:div w:id="1237132034">
          <w:marLeft w:val="0"/>
          <w:marRight w:val="0"/>
          <w:marTop w:val="0"/>
          <w:marBottom w:val="0"/>
          <w:divBdr>
            <w:top w:val="none" w:sz="0" w:space="0" w:color="auto"/>
            <w:left w:val="none" w:sz="0" w:space="0" w:color="auto"/>
            <w:bottom w:val="none" w:sz="0" w:space="0" w:color="auto"/>
            <w:right w:val="none" w:sz="0" w:space="0" w:color="auto"/>
          </w:divBdr>
        </w:div>
        <w:div w:id="2020228059">
          <w:marLeft w:val="0"/>
          <w:marRight w:val="0"/>
          <w:marTop w:val="0"/>
          <w:marBottom w:val="0"/>
          <w:divBdr>
            <w:top w:val="none" w:sz="0" w:space="0" w:color="auto"/>
            <w:left w:val="none" w:sz="0" w:space="0" w:color="auto"/>
            <w:bottom w:val="none" w:sz="0" w:space="0" w:color="auto"/>
            <w:right w:val="none" w:sz="0" w:space="0" w:color="auto"/>
          </w:divBdr>
        </w:div>
      </w:divsChild>
    </w:div>
    <w:div w:id="527792465">
      <w:bodyDiv w:val="1"/>
      <w:marLeft w:val="0"/>
      <w:marRight w:val="0"/>
      <w:marTop w:val="0"/>
      <w:marBottom w:val="0"/>
      <w:divBdr>
        <w:top w:val="none" w:sz="0" w:space="0" w:color="auto"/>
        <w:left w:val="none" w:sz="0" w:space="0" w:color="auto"/>
        <w:bottom w:val="none" w:sz="0" w:space="0" w:color="auto"/>
        <w:right w:val="none" w:sz="0" w:space="0" w:color="auto"/>
      </w:divBdr>
    </w:div>
    <w:div w:id="554774325">
      <w:bodyDiv w:val="1"/>
      <w:marLeft w:val="0"/>
      <w:marRight w:val="0"/>
      <w:marTop w:val="0"/>
      <w:marBottom w:val="0"/>
      <w:divBdr>
        <w:top w:val="none" w:sz="0" w:space="0" w:color="auto"/>
        <w:left w:val="none" w:sz="0" w:space="0" w:color="auto"/>
        <w:bottom w:val="none" w:sz="0" w:space="0" w:color="auto"/>
        <w:right w:val="none" w:sz="0" w:space="0" w:color="auto"/>
      </w:divBdr>
    </w:div>
    <w:div w:id="558325595">
      <w:bodyDiv w:val="1"/>
      <w:marLeft w:val="0"/>
      <w:marRight w:val="0"/>
      <w:marTop w:val="0"/>
      <w:marBottom w:val="0"/>
      <w:divBdr>
        <w:top w:val="none" w:sz="0" w:space="0" w:color="auto"/>
        <w:left w:val="none" w:sz="0" w:space="0" w:color="auto"/>
        <w:bottom w:val="none" w:sz="0" w:space="0" w:color="auto"/>
        <w:right w:val="none" w:sz="0" w:space="0" w:color="auto"/>
      </w:divBdr>
    </w:div>
    <w:div w:id="560023193">
      <w:bodyDiv w:val="1"/>
      <w:marLeft w:val="0"/>
      <w:marRight w:val="0"/>
      <w:marTop w:val="0"/>
      <w:marBottom w:val="0"/>
      <w:divBdr>
        <w:top w:val="none" w:sz="0" w:space="0" w:color="auto"/>
        <w:left w:val="none" w:sz="0" w:space="0" w:color="auto"/>
        <w:bottom w:val="none" w:sz="0" w:space="0" w:color="auto"/>
        <w:right w:val="none" w:sz="0" w:space="0" w:color="auto"/>
      </w:divBdr>
    </w:div>
    <w:div w:id="564295303">
      <w:bodyDiv w:val="1"/>
      <w:marLeft w:val="0"/>
      <w:marRight w:val="0"/>
      <w:marTop w:val="0"/>
      <w:marBottom w:val="0"/>
      <w:divBdr>
        <w:top w:val="none" w:sz="0" w:space="0" w:color="auto"/>
        <w:left w:val="none" w:sz="0" w:space="0" w:color="auto"/>
        <w:bottom w:val="none" w:sz="0" w:space="0" w:color="auto"/>
        <w:right w:val="none" w:sz="0" w:space="0" w:color="auto"/>
      </w:divBdr>
    </w:div>
    <w:div w:id="576523097">
      <w:bodyDiv w:val="1"/>
      <w:marLeft w:val="0"/>
      <w:marRight w:val="0"/>
      <w:marTop w:val="0"/>
      <w:marBottom w:val="0"/>
      <w:divBdr>
        <w:top w:val="none" w:sz="0" w:space="0" w:color="auto"/>
        <w:left w:val="none" w:sz="0" w:space="0" w:color="auto"/>
        <w:bottom w:val="none" w:sz="0" w:space="0" w:color="auto"/>
        <w:right w:val="none" w:sz="0" w:space="0" w:color="auto"/>
      </w:divBdr>
      <w:divsChild>
        <w:div w:id="608582279">
          <w:marLeft w:val="0"/>
          <w:marRight w:val="0"/>
          <w:marTop w:val="0"/>
          <w:marBottom w:val="0"/>
          <w:divBdr>
            <w:top w:val="none" w:sz="0" w:space="0" w:color="auto"/>
            <w:left w:val="none" w:sz="0" w:space="0" w:color="auto"/>
            <w:bottom w:val="none" w:sz="0" w:space="0" w:color="auto"/>
            <w:right w:val="none" w:sz="0" w:space="0" w:color="auto"/>
          </w:divBdr>
        </w:div>
        <w:div w:id="1952008808">
          <w:marLeft w:val="0"/>
          <w:marRight w:val="0"/>
          <w:marTop w:val="0"/>
          <w:marBottom w:val="0"/>
          <w:divBdr>
            <w:top w:val="none" w:sz="0" w:space="0" w:color="auto"/>
            <w:left w:val="none" w:sz="0" w:space="0" w:color="auto"/>
            <w:bottom w:val="none" w:sz="0" w:space="0" w:color="auto"/>
            <w:right w:val="none" w:sz="0" w:space="0" w:color="auto"/>
          </w:divBdr>
        </w:div>
      </w:divsChild>
    </w:div>
    <w:div w:id="581917272">
      <w:bodyDiv w:val="1"/>
      <w:marLeft w:val="0"/>
      <w:marRight w:val="0"/>
      <w:marTop w:val="0"/>
      <w:marBottom w:val="0"/>
      <w:divBdr>
        <w:top w:val="none" w:sz="0" w:space="0" w:color="auto"/>
        <w:left w:val="none" w:sz="0" w:space="0" w:color="auto"/>
        <w:bottom w:val="none" w:sz="0" w:space="0" w:color="auto"/>
        <w:right w:val="none" w:sz="0" w:space="0" w:color="auto"/>
      </w:divBdr>
    </w:div>
    <w:div w:id="591352054">
      <w:bodyDiv w:val="1"/>
      <w:marLeft w:val="0"/>
      <w:marRight w:val="0"/>
      <w:marTop w:val="0"/>
      <w:marBottom w:val="0"/>
      <w:divBdr>
        <w:top w:val="none" w:sz="0" w:space="0" w:color="auto"/>
        <w:left w:val="none" w:sz="0" w:space="0" w:color="auto"/>
        <w:bottom w:val="none" w:sz="0" w:space="0" w:color="auto"/>
        <w:right w:val="none" w:sz="0" w:space="0" w:color="auto"/>
      </w:divBdr>
    </w:div>
    <w:div w:id="593052842">
      <w:bodyDiv w:val="1"/>
      <w:marLeft w:val="0"/>
      <w:marRight w:val="0"/>
      <w:marTop w:val="0"/>
      <w:marBottom w:val="0"/>
      <w:divBdr>
        <w:top w:val="none" w:sz="0" w:space="0" w:color="auto"/>
        <w:left w:val="none" w:sz="0" w:space="0" w:color="auto"/>
        <w:bottom w:val="none" w:sz="0" w:space="0" w:color="auto"/>
        <w:right w:val="none" w:sz="0" w:space="0" w:color="auto"/>
      </w:divBdr>
    </w:div>
    <w:div w:id="614292782">
      <w:bodyDiv w:val="1"/>
      <w:marLeft w:val="0"/>
      <w:marRight w:val="0"/>
      <w:marTop w:val="0"/>
      <w:marBottom w:val="0"/>
      <w:divBdr>
        <w:top w:val="none" w:sz="0" w:space="0" w:color="auto"/>
        <w:left w:val="none" w:sz="0" w:space="0" w:color="auto"/>
        <w:bottom w:val="none" w:sz="0" w:space="0" w:color="auto"/>
        <w:right w:val="none" w:sz="0" w:space="0" w:color="auto"/>
      </w:divBdr>
    </w:div>
    <w:div w:id="676662246">
      <w:bodyDiv w:val="1"/>
      <w:marLeft w:val="0"/>
      <w:marRight w:val="0"/>
      <w:marTop w:val="0"/>
      <w:marBottom w:val="0"/>
      <w:divBdr>
        <w:top w:val="none" w:sz="0" w:space="0" w:color="auto"/>
        <w:left w:val="none" w:sz="0" w:space="0" w:color="auto"/>
        <w:bottom w:val="none" w:sz="0" w:space="0" w:color="auto"/>
        <w:right w:val="none" w:sz="0" w:space="0" w:color="auto"/>
      </w:divBdr>
    </w:div>
    <w:div w:id="688679218">
      <w:bodyDiv w:val="1"/>
      <w:marLeft w:val="0"/>
      <w:marRight w:val="0"/>
      <w:marTop w:val="0"/>
      <w:marBottom w:val="0"/>
      <w:divBdr>
        <w:top w:val="none" w:sz="0" w:space="0" w:color="auto"/>
        <w:left w:val="none" w:sz="0" w:space="0" w:color="auto"/>
        <w:bottom w:val="none" w:sz="0" w:space="0" w:color="auto"/>
        <w:right w:val="none" w:sz="0" w:space="0" w:color="auto"/>
      </w:divBdr>
      <w:divsChild>
        <w:div w:id="200098533">
          <w:marLeft w:val="0"/>
          <w:marRight w:val="0"/>
          <w:marTop w:val="0"/>
          <w:marBottom w:val="0"/>
          <w:divBdr>
            <w:top w:val="none" w:sz="0" w:space="0" w:color="auto"/>
            <w:left w:val="none" w:sz="0" w:space="0" w:color="auto"/>
            <w:bottom w:val="none" w:sz="0" w:space="0" w:color="auto"/>
            <w:right w:val="none" w:sz="0" w:space="0" w:color="auto"/>
          </w:divBdr>
        </w:div>
        <w:div w:id="470489440">
          <w:marLeft w:val="0"/>
          <w:marRight w:val="0"/>
          <w:marTop w:val="0"/>
          <w:marBottom w:val="0"/>
          <w:divBdr>
            <w:top w:val="none" w:sz="0" w:space="0" w:color="auto"/>
            <w:left w:val="none" w:sz="0" w:space="0" w:color="auto"/>
            <w:bottom w:val="none" w:sz="0" w:space="0" w:color="auto"/>
            <w:right w:val="none" w:sz="0" w:space="0" w:color="auto"/>
          </w:divBdr>
        </w:div>
        <w:div w:id="1517885546">
          <w:marLeft w:val="0"/>
          <w:marRight w:val="0"/>
          <w:marTop w:val="0"/>
          <w:marBottom w:val="0"/>
          <w:divBdr>
            <w:top w:val="none" w:sz="0" w:space="0" w:color="auto"/>
            <w:left w:val="none" w:sz="0" w:space="0" w:color="auto"/>
            <w:bottom w:val="none" w:sz="0" w:space="0" w:color="auto"/>
            <w:right w:val="none" w:sz="0" w:space="0" w:color="auto"/>
          </w:divBdr>
        </w:div>
      </w:divsChild>
    </w:div>
    <w:div w:id="721714491">
      <w:bodyDiv w:val="1"/>
      <w:marLeft w:val="0"/>
      <w:marRight w:val="0"/>
      <w:marTop w:val="0"/>
      <w:marBottom w:val="0"/>
      <w:divBdr>
        <w:top w:val="none" w:sz="0" w:space="0" w:color="auto"/>
        <w:left w:val="none" w:sz="0" w:space="0" w:color="auto"/>
        <w:bottom w:val="none" w:sz="0" w:space="0" w:color="auto"/>
        <w:right w:val="none" w:sz="0" w:space="0" w:color="auto"/>
      </w:divBdr>
    </w:div>
    <w:div w:id="731582260">
      <w:bodyDiv w:val="1"/>
      <w:marLeft w:val="0"/>
      <w:marRight w:val="0"/>
      <w:marTop w:val="0"/>
      <w:marBottom w:val="0"/>
      <w:divBdr>
        <w:top w:val="none" w:sz="0" w:space="0" w:color="auto"/>
        <w:left w:val="none" w:sz="0" w:space="0" w:color="auto"/>
        <w:bottom w:val="none" w:sz="0" w:space="0" w:color="auto"/>
        <w:right w:val="none" w:sz="0" w:space="0" w:color="auto"/>
      </w:divBdr>
    </w:div>
    <w:div w:id="766196440">
      <w:bodyDiv w:val="1"/>
      <w:marLeft w:val="0"/>
      <w:marRight w:val="0"/>
      <w:marTop w:val="0"/>
      <w:marBottom w:val="0"/>
      <w:divBdr>
        <w:top w:val="none" w:sz="0" w:space="0" w:color="auto"/>
        <w:left w:val="none" w:sz="0" w:space="0" w:color="auto"/>
        <w:bottom w:val="none" w:sz="0" w:space="0" w:color="auto"/>
        <w:right w:val="none" w:sz="0" w:space="0" w:color="auto"/>
      </w:divBdr>
      <w:divsChild>
        <w:div w:id="1464881672">
          <w:marLeft w:val="0"/>
          <w:marRight w:val="0"/>
          <w:marTop w:val="0"/>
          <w:marBottom w:val="0"/>
          <w:divBdr>
            <w:top w:val="none" w:sz="0" w:space="0" w:color="auto"/>
            <w:left w:val="none" w:sz="0" w:space="0" w:color="auto"/>
            <w:bottom w:val="none" w:sz="0" w:space="0" w:color="auto"/>
            <w:right w:val="none" w:sz="0" w:space="0" w:color="auto"/>
          </w:divBdr>
          <w:divsChild>
            <w:div w:id="345862889">
              <w:marLeft w:val="0"/>
              <w:marRight w:val="0"/>
              <w:marTop w:val="0"/>
              <w:marBottom w:val="0"/>
              <w:divBdr>
                <w:top w:val="none" w:sz="0" w:space="0" w:color="auto"/>
                <w:left w:val="none" w:sz="0" w:space="0" w:color="auto"/>
                <w:bottom w:val="none" w:sz="0" w:space="0" w:color="auto"/>
                <w:right w:val="none" w:sz="0" w:space="0" w:color="auto"/>
              </w:divBdr>
            </w:div>
            <w:div w:id="21121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277">
      <w:bodyDiv w:val="1"/>
      <w:marLeft w:val="0"/>
      <w:marRight w:val="0"/>
      <w:marTop w:val="0"/>
      <w:marBottom w:val="0"/>
      <w:divBdr>
        <w:top w:val="none" w:sz="0" w:space="0" w:color="auto"/>
        <w:left w:val="none" w:sz="0" w:space="0" w:color="auto"/>
        <w:bottom w:val="none" w:sz="0" w:space="0" w:color="auto"/>
        <w:right w:val="none" w:sz="0" w:space="0" w:color="auto"/>
      </w:divBdr>
      <w:divsChild>
        <w:div w:id="795413052">
          <w:marLeft w:val="0"/>
          <w:marRight w:val="0"/>
          <w:marTop w:val="0"/>
          <w:marBottom w:val="0"/>
          <w:divBdr>
            <w:top w:val="none" w:sz="0" w:space="0" w:color="auto"/>
            <w:left w:val="none" w:sz="0" w:space="0" w:color="auto"/>
            <w:bottom w:val="none" w:sz="0" w:space="0" w:color="auto"/>
            <w:right w:val="none" w:sz="0" w:space="0" w:color="auto"/>
          </w:divBdr>
          <w:divsChild>
            <w:div w:id="621497403">
              <w:marLeft w:val="0"/>
              <w:marRight w:val="0"/>
              <w:marTop w:val="0"/>
              <w:marBottom w:val="0"/>
              <w:divBdr>
                <w:top w:val="none" w:sz="0" w:space="0" w:color="auto"/>
                <w:left w:val="none" w:sz="0" w:space="0" w:color="auto"/>
                <w:bottom w:val="none" w:sz="0" w:space="0" w:color="auto"/>
                <w:right w:val="none" w:sz="0" w:space="0" w:color="auto"/>
              </w:divBdr>
            </w:div>
            <w:div w:id="21303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1852">
      <w:bodyDiv w:val="1"/>
      <w:marLeft w:val="0"/>
      <w:marRight w:val="0"/>
      <w:marTop w:val="0"/>
      <w:marBottom w:val="0"/>
      <w:divBdr>
        <w:top w:val="none" w:sz="0" w:space="0" w:color="auto"/>
        <w:left w:val="none" w:sz="0" w:space="0" w:color="auto"/>
        <w:bottom w:val="none" w:sz="0" w:space="0" w:color="auto"/>
        <w:right w:val="none" w:sz="0" w:space="0" w:color="auto"/>
      </w:divBdr>
      <w:divsChild>
        <w:div w:id="1260019147">
          <w:marLeft w:val="0"/>
          <w:marRight w:val="0"/>
          <w:marTop w:val="0"/>
          <w:marBottom w:val="0"/>
          <w:divBdr>
            <w:top w:val="none" w:sz="0" w:space="0" w:color="auto"/>
            <w:left w:val="none" w:sz="0" w:space="0" w:color="auto"/>
            <w:bottom w:val="none" w:sz="0" w:space="0" w:color="auto"/>
            <w:right w:val="none" w:sz="0" w:space="0" w:color="auto"/>
          </w:divBdr>
        </w:div>
        <w:div w:id="1426221004">
          <w:marLeft w:val="0"/>
          <w:marRight w:val="0"/>
          <w:marTop w:val="0"/>
          <w:marBottom w:val="0"/>
          <w:divBdr>
            <w:top w:val="none" w:sz="0" w:space="0" w:color="auto"/>
            <w:left w:val="none" w:sz="0" w:space="0" w:color="auto"/>
            <w:bottom w:val="none" w:sz="0" w:space="0" w:color="auto"/>
            <w:right w:val="none" w:sz="0" w:space="0" w:color="auto"/>
          </w:divBdr>
        </w:div>
      </w:divsChild>
    </w:div>
    <w:div w:id="814681537">
      <w:bodyDiv w:val="1"/>
      <w:marLeft w:val="0"/>
      <w:marRight w:val="0"/>
      <w:marTop w:val="0"/>
      <w:marBottom w:val="0"/>
      <w:divBdr>
        <w:top w:val="none" w:sz="0" w:space="0" w:color="auto"/>
        <w:left w:val="none" w:sz="0" w:space="0" w:color="auto"/>
        <w:bottom w:val="none" w:sz="0" w:space="0" w:color="auto"/>
        <w:right w:val="none" w:sz="0" w:space="0" w:color="auto"/>
      </w:divBdr>
    </w:div>
    <w:div w:id="815146930">
      <w:bodyDiv w:val="1"/>
      <w:marLeft w:val="0"/>
      <w:marRight w:val="0"/>
      <w:marTop w:val="0"/>
      <w:marBottom w:val="0"/>
      <w:divBdr>
        <w:top w:val="none" w:sz="0" w:space="0" w:color="auto"/>
        <w:left w:val="none" w:sz="0" w:space="0" w:color="auto"/>
        <w:bottom w:val="none" w:sz="0" w:space="0" w:color="auto"/>
        <w:right w:val="none" w:sz="0" w:space="0" w:color="auto"/>
      </w:divBdr>
    </w:div>
    <w:div w:id="859465164">
      <w:bodyDiv w:val="1"/>
      <w:marLeft w:val="0"/>
      <w:marRight w:val="0"/>
      <w:marTop w:val="0"/>
      <w:marBottom w:val="0"/>
      <w:divBdr>
        <w:top w:val="none" w:sz="0" w:space="0" w:color="auto"/>
        <w:left w:val="none" w:sz="0" w:space="0" w:color="auto"/>
        <w:bottom w:val="none" w:sz="0" w:space="0" w:color="auto"/>
        <w:right w:val="none" w:sz="0" w:space="0" w:color="auto"/>
      </w:divBdr>
      <w:divsChild>
        <w:div w:id="316501228">
          <w:marLeft w:val="0"/>
          <w:marRight w:val="0"/>
          <w:marTop w:val="0"/>
          <w:marBottom w:val="0"/>
          <w:divBdr>
            <w:top w:val="none" w:sz="0" w:space="0" w:color="auto"/>
            <w:left w:val="none" w:sz="0" w:space="0" w:color="auto"/>
            <w:bottom w:val="none" w:sz="0" w:space="0" w:color="auto"/>
            <w:right w:val="none" w:sz="0" w:space="0" w:color="auto"/>
          </w:divBdr>
        </w:div>
        <w:div w:id="601576428">
          <w:marLeft w:val="0"/>
          <w:marRight w:val="0"/>
          <w:marTop w:val="0"/>
          <w:marBottom w:val="0"/>
          <w:divBdr>
            <w:top w:val="none" w:sz="0" w:space="0" w:color="auto"/>
            <w:left w:val="none" w:sz="0" w:space="0" w:color="auto"/>
            <w:bottom w:val="none" w:sz="0" w:space="0" w:color="auto"/>
            <w:right w:val="none" w:sz="0" w:space="0" w:color="auto"/>
          </w:divBdr>
        </w:div>
      </w:divsChild>
    </w:div>
    <w:div w:id="864178222">
      <w:bodyDiv w:val="1"/>
      <w:marLeft w:val="0"/>
      <w:marRight w:val="0"/>
      <w:marTop w:val="0"/>
      <w:marBottom w:val="0"/>
      <w:divBdr>
        <w:top w:val="none" w:sz="0" w:space="0" w:color="auto"/>
        <w:left w:val="none" w:sz="0" w:space="0" w:color="auto"/>
        <w:bottom w:val="none" w:sz="0" w:space="0" w:color="auto"/>
        <w:right w:val="none" w:sz="0" w:space="0" w:color="auto"/>
      </w:divBdr>
    </w:div>
    <w:div w:id="867567456">
      <w:bodyDiv w:val="1"/>
      <w:marLeft w:val="0"/>
      <w:marRight w:val="0"/>
      <w:marTop w:val="0"/>
      <w:marBottom w:val="0"/>
      <w:divBdr>
        <w:top w:val="none" w:sz="0" w:space="0" w:color="auto"/>
        <w:left w:val="none" w:sz="0" w:space="0" w:color="auto"/>
        <w:bottom w:val="none" w:sz="0" w:space="0" w:color="auto"/>
        <w:right w:val="none" w:sz="0" w:space="0" w:color="auto"/>
      </w:divBdr>
      <w:divsChild>
        <w:div w:id="193665003">
          <w:marLeft w:val="0"/>
          <w:marRight w:val="0"/>
          <w:marTop w:val="0"/>
          <w:marBottom w:val="0"/>
          <w:divBdr>
            <w:top w:val="none" w:sz="0" w:space="0" w:color="auto"/>
            <w:left w:val="none" w:sz="0" w:space="0" w:color="auto"/>
            <w:bottom w:val="none" w:sz="0" w:space="0" w:color="auto"/>
            <w:right w:val="none" w:sz="0" w:space="0" w:color="auto"/>
          </w:divBdr>
        </w:div>
      </w:divsChild>
    </w:div>
    <w:div w:id="892885228">
      <w:bodyDiv w:val="1"/>
      <w:marLeft w:val="0"/>
      <w:marRight w:val="0"/>
      <w:marTop w:val="0"/>
      <w:marBottom w:val="0"/>
      <w:divBdr>
        <w:top w:val="none" w:sz="0" w:space="0" w:color="auto"/>
        <w:left w:val="none" w:sz="0" w:space="0" w:color="auto"/>
        <w:bottom w:val="none" w:sz="0" w:space="0" w:color="auto"/>
        <w:right w:val="none" w:sz="0" w:space="0" w:color="auto"/>
      </w:divBdr>
    </w:div>
    <w:div w:id="926309534">
      <w:bodyDiv w:val="1"/>
      <w:marLeft w:val="0"/>
      <w:marRight w:val="0"/>
      <w:marTop w:val="0"/>
      <w:marBottom w:val="0"/>
      <w:divBdr>
        <w:top w:val="none" w:sz="0" w:space="0" w:color="auto"/>
        <w:left w:val="none" w:sz="0" w:space="0" w:color="auto"/>
        <w:bottom w:val="none" w:sz="0" w:space="0" w:color="auto"/>
        <w:right w:val="none" w:sz="0" w:space="0" w:color="auto"/>
      </w:divBdr>
      <w:divsChild>
        <w:div w:id="1706589664">
          <w:marLeft w:val="0"/>
          <w:marRight w:val="0"/>
          <w:marTop w:val="0"/>
          <w:marBottom w:val="0"/>
          <w:divBdr>
            <w:top w:val="none" w:sz="0" w:space="0" w:color="auto"/>
            <w:left w:val="none" w:sz="0" w:space="0" w:color="auto"/>
            <w:bottom w:val="none" w:sz="0" w:space="0" w:color="auto"/>
            <w:right w:val="none" w:sz="0" w:space="0" w:color="auto"/>
          </w:divBdr>
        </w:div>
      </w:divsChild>
    </w:div>
    <w:div w:id="951132175">
      <w:bodyDiv w:val="1"/>
      <w:marLeft w:val="0"/>
      <w:marRight w:val="0"/>
      <w:marTop w:val="0"/>
      <w:marBottom w:val="0"/>
      <w:divBdr>
        <w:top w:val="none" w:sz="0" w:space="0" w:color="auto"/>
        <w:left w:val="none" w:sz="0" w:space="0" w:color="auto"/>
        <w:bottom w:val="none" w:sz="0" w:space="0" w:color="auto"/>
        <w:right w:val="none" w:sz="0" w:space="0" w:color="auto"/>
      </w:divBdr>
    </w:div>
    <w:div w:id="1093548450">
      <w:bodyDiv w:val="1"/>
      <w:marLeft w:val="0"/>
      <w:marRight w:val="0"/>
      <w:marTop w:val="0"/>
      <w:marBottom w:val="0"/>
      <w:divBdr>
        <w:top w:val="none" w:sz="0" w:space="0" w:color="auto"/>
        <w:left w:val="none" w:sz="0" w:space="0" w:color="auto"/>
        <w:bottom w:val="none" w:sz="0" w:space="0" w:color="auto"/>
        <w:right w:val="none" w:sz="0" w:space="0" w:color="auto"/>
      </w:divBdr>
    </w:div>
    <w:div w:id="1166088636">
      <w:bodyDiv w:val="1"/>
      <w:marLeft w:val="0"/>
      <w:marRight w:val="0"/>
      <w:marTop w:val="0"/>
      <w:marBottom w:val="0"/>
      <w:divBdr>
        <w:top w:val="none" w:sz="0" w:space="0" w:color="auto"/>
        <w:left w:val="none" w:sz="0" w:space="0" w:color="auto"/>
        <w:bottom w:val="none" w:sz="0" w:space="0" w:color="auto"/>
        <w:right w:val="none" w:sz="0" w:space="0" w:color="auto"/>
      </w:divBdr>
    </w:div>
    <w:div w:id="1194997656">
      <w:bodyDiv w:val="1"/>
      <w:marLeft w:val="0"/>
      <w:marRight w:val="0"/>
      <w:marTop w:val="0"/>
      <w:marBottom w:val="0"/>
      <w:divBdr>
        <w:top w:val="none" w:sz="0" w:space="0" w:color="auto"/>
        <w:left w:val="none" w:sz="0" w:space="0" w:color="auto"/>
        <w:bottom w:val="none" w:sz="0" w:space="0" w:color="auto"/>
        <w:right w:val="none" w:sz="0" w:space="0" w:color="auto"/>
      </w:divBdr>
    </w:div>
    <w:div w:id="1204949872">
      <w:bodyDiv w:val="1"/>
      <w:marLeft w:val="0"/>
      <w:marRight w:val="0"/>
      <w:marTop w:val="0"/>
      <w:marBottom w:val="0"/>
      <w:divBdr>
        <w:top w:val="none" w:sz="0" w:space="0" w:color="auto"/>
        <w:left w:val="none" w:sz="0" w:space="0" w:color="auto"/>
        <w:bottom w:val="none" w:sz="0" w:space="0" w:color="auto"/>
        <w:right w:val="none" w:sz="0" w:space="0" w:color="auto"/>
      </w:divBdr>
    </w:div>
    <w:div w:id="1215198178">
      <w:bodyDiv w:val="1"/>
      <w:marLeft w:val="0"/>
      <w:marRight w:val="0"/>
      <w:marTop w:val="0"/>
      <w:marBottom w:val="0"/>
      <w:divBdr>
        <w:top w:val="none" w:sz="0" w:space="0" w:color="auto"/>
        <w:left w:val="none" w:sz="0" w:space="0" w:color="auto"/>
        <w:bottom w:val="none" w:sz="0" w:space="0" w:color="auto"/>
        <w:right w:val="none" w:sz="0" w:space="0" w:color="auto"/>
      </w:divBdr>
    </w:div>
    <w:div w:id="1284118446">
      <w:bodyDiv w:val="1"/>
      <w:marLeft w:val="0"/>
      <w:marRight w:val="0"/>
      <w:marTop w:val="0"/>
      <w:marBottom w:val="0"/>
      <w:divBdr>
        <w:top w:val="none" w:sz="0" w:space="0" w:color="auto"/>
        <w:left w:val="none" w:sz="0" w:space="0" w:color="auto"/>
        <w:bottom w:val="none" w:sz="0" w:space="0" w:color="auto"/>
        <w:right w:val="none" w:sz="0" w:space="0" w:color="auto"/>
      </w:divBdr>
    </w:div>
    <w:div w:id="1336349158">
      <w:bodyDiv w:val="1"/>
      <w:marLeft w:val="0"/>
      <w:marRight w:val="0"/>
      <w:marTop w:val="0"/>
      <w:marBottom w:val="0"/>
      <w:divBdr>
        <w:top w:val="none" w:sz="0" w:space="0" w:color="auto"/>
        <w:left w:val="none" w:sz="0" w:space="0" w:color="auto"/>
        <w:bottom w:val="none" w:sz="0" w:space="0" w:color="auto"/>
        <w:right w:val="none" w:sz="0" w:space="0" w:color="auto"/>
      </w:divBdr>
    </w:div>
    <w:div w:id="1418557575">
      <w:bodyDiv w:val="1"/>
      <w:marLeft w:val="0"/>
      <w:marRight w:val="0"/>
      <w:marTop w:val="0"/>
      <w:marBottom w:val="0"/>
      <w:divBdr>
        <w:top w:val="none" w:sz="0" w:space="0" w:color="auto"/>
        <w:left w:val="none" w:sz="0" w:space="0" w:color="auto"/>
        <w:bottom w:val="none" w:sz="0" w:space="0" w:color="auto"/>
        <w:right w:val="none" w:sz="0" w:space="0" w:color="auto"/>
      </w:divBdr>
      <w:divsChild>
        <w:div w:id="910693590">
          <w:marLeft w:val="0"/>
          <w:marRight w:val="0"/>
          <w:marTop w:val="0"/>
          <w:marBottom w:val="0"/>
          <w:divBdr>
            <w:top w:val="none" w:sz="0" w:space="0" w:color="auto"/>
            <w:left w:val="none" w:sz="0" w:space="0" w:color="auto"/>
            <w:bottom w:val="none" w:sz="0" w:space="0" w:color="auto"/>
            <w:right w:val="none" w:sz="0" w:space="0" w:color="auto"/>
          </w:divBdr>
          <w:divsChild>
            <w:div w:id="289018103">
              <w:marLeft w:val="0"/>
              <w:marRight w:val="0"/>
              <w:marTop w:val="0"/>
              <w:marBottom w:val="0"/>
              <w:divBdr>
                <w:top w:val="none" w:sz="0" w:space="0" w:color="auto"/>
                <w:left w:val="none" w:sz="0" w:space="0" w:color="auto"/>
                <w:bottom w:val="none" w:sz="0" w:space="0" w:color="auto"/>
                <w:right w:val="none" w:sz="0" w:space="0" w:color="auto"/>
              </w:divBdr>
            </w:div>
            <w:div w:id="13107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5943">
      <w:bodyDiv w:val="1"/>
      <w:marLeft w:val="0"/>
      <w:marRight w:val="0"/>
      <w:marTop w:val="0"/>
      <w:marBottom w:val="0"/>
      <w:divBdr>
        <w:top w:val="none" w:sz="0" w:space="0" w:color="auto"/>
        <w:left w:val="none" w:sz="0" w:space="0" w:color="auto"/>
        <w:bottom w:val="none" w:sz="0" w:space="0" w:color="auto"/>
        <w:right w:val="none" w:sz="0" w:space="0" w:color="auto"/>
      </w:divBdr>
    </w:div>
    <w:div w:id="1461151517">
      <w:bodyDiv w:val="1"/>
      <w:marLeft w:val="0"/>
      <w:marRight w:val="0"/>
      <w:marTop w:val="0"/>
      <w:marBottom w:val="0"/>
      <w:divBdr>
        <w:top w:val="none" w:sz="0" w:space="0" w:color="auto"/>
        <w:left w:val="none" w:sz="0" w:space="0" w:color="auto"/>
        <w:bottom w:val="none" w:sz="0" w:space="0" w:color="auto"/>
        <w:right w:val="none" w:sz="0" w:space="0" w:color="auto"/>
      </w:divBdr>
    </w:div>
    <w:div w:id="1461873188">
      <w:bodyDiv w:val="1"/>
      <w:marLeft w:val="0"/>
      <w:marRight w:val="0"/>
      <w:marTop w:val="0"/>
      <w:marBottom w:val="0"/>
      <w:divBdr>
        <w:top w:val="none" w:sz="0" w:space="0" w:color="auto"/>
        <w:left w:val="none" w:sz="0" w:space="0" w:color="auto"/>
        <w:bottom w:val="none" w:sz="0" w:space="0" w:color="auto"/>
        <w:right w:val="none" w:sz="0" w:space="0" w:color="auto"/>
      </w:divBdr>
    </w:div>
    <w:div w:id="1464234892">
      <w:bodyDiv w:val="1"/>
      <w:marLeft w:val="0"/>
      <w:marRight w:val="0"/>
      <w:marTop w:val="0"/>
      <w:marBottom w:val="0"/>
      <w:divBdr>
        <w:top w:val="none" w:sz="0" w:space="0" w:color="auto"/>
        <w:left w:val="none" w:sz="0" w:space="0" w:color="auto"/>
        <w:bottom w:val="none" w:sz="0" w:space="0" w:color="auto"/>
        <w:right w:val="none" w:sz="0" w:space="0" w:color="auto"/>
      </w:divBdr>
    </w:div>
    <w:div w:id="1488128413">
      <w:bodyDiv w:val="1"/>
      <w:marLeft w:val="0"/>
      <w:marRight w:val="0"/>
      <w:marTop w:val="0"/>
      <w:marBottom w:val="0"/>
      <w:divBdr>
        <w:top w:val="none" w:sz="0" w:space="0" w:color="auto"/>
        <w:left w:val="none" w:sz="0" w:space="0" w:color="auto"/>
        <w:bottom w:val="none" w:sz="0" w:space="0" w:color="auto"/>
        <w:right w:val="none" w:sz="0" w:space="0" w:color="auto"/>
      </w:divBdr>
      <w:divsChild>
        <w:div w:id="1571113191">
          <w:marLeft w:val="0"/>
          <w:marRight w:val="0"/>
          <w:marTop w:val="0"/>
          <w:marBottom w:val="0"/>
          <w:divBdr>
            <w:top w:val="none" w:sz="0" w:space="0" w:color="auto"/>
            <w:left w:val="none" w:sz="0" w:space="0" w:color="auto"/>
            <w:bottom w:val="none" w:sz="0" w:space="0" w:color="auto"/>
            <w:right w:val="none" w:sz="0" w:space="0" w:color="auto"/>
          </w:divBdr>
        </w:div>
        <w:div w:id="1893301683">
          <w:marLeft w:val="0"/>
          <w:marRight w:val="0"/>
          <w:marTop w:val="0"/>
          <w:marBottom w:val="0"/>
          <w:divBdr>
            <w:top w:val="none" w:sz="0" w:space="0" w:color="auto"/>
            <w:left w:val="none" w:sz="0" w:space="0" w:color="auto"/>
            <w:bottom w:val="none" w:sz="0" w:space="0" w:color="auto"/>
            <w:right w:val="none" w:sz="0" w:space="0" w:color="auto"/>
          </w:divBdr>
        </w:div>
      </w:divsChild>
    </w:div>
    <w:div w:id="1529221544">
      <w:bodyDiv w:val="1"/>
      <w:marLeft w:val="0"/>
      <w:marRight w:val="0"/>
      <w:marTop w:val="0"/>
      <w:marBottom w:val="0"/>
      <w:divBdr>
        <w:top w:val="none" w:sz="0" w:space="0" w:color="auto"/>
        <w:left w:val="none" w:sz="0" w:space="0" w:color="auto"/>
        <w:bottom w:val="none" w:sz="0" w:space="0" w:color="auto"/>
        <w:right w:val="none" w:sz="0" w:space="0" w:color="auto"/>
      </w:divBdr>
      <w:divsChild>
        <w:div w:id="126096244">
          <w:marLeft w:val="0"/>
          <w:marRight w:val="0"/>
          <w:marTop w:val="0"/>
          <w:marBottom w:val="0"/>
          <w:divBdr>
            <w:top w:val="none" w:sz="0" w:space="0" w:color="auto"/>
            <w:left w:val="none" w:sz="0" w:space="0" w:color="auto"/>
            <w:bottom w:val="none" w:sz="0" w:space="0" w:color="auto"/>
            <w:right w:val="none" w:sz="0" w:space="0" w:color="auto"/>
          </w:divBdr>
        </w:div>
        <w:div w:id="358554039">
          <w:marLeft w:val="0"/>
          <w:marRight w:val="0"/>
          <w:marTop w:val="0"/>
          <w:marBottom w:val="0"/>
          <w:divBdr>
            <w:top w:val="none" w:sz="0" w:space="0" w:color="auto"/>
            <w:left w:val="none" w:sz="0" w:space="0" w:color="auto"/>
            <w:bottom w:val="none" w:sz="0" w:space="0" w:color="auto"/>
            <w:right w:val="none" w:sz="0" w:space="0" w:color="auto"/>
          </w:divBdr>
        </w:div>
        <w:div w:id="459567262">
          <w:marLeft w:val="0"/>
          <w:marRight w:val="0"/>
          <w:marTop w:val="0"/>
          <w:marBottom w:val="0"/>
          <w:divBdr>
            <w:top w:val="none" w:sz="0" w:space="0" w:color="auto"/>
            <w:left w:val="none" w:sz="0" w:space="0" w:color="auto"/>
            <w:bottom w:val="none" w:sz="0" w:space="0" w:color="auto"/>
            <w:right w:val="none" w:sz="0" w:space="0" w:color="auto"/>
          </w:divBdr>
        </w:div>
      </w:divsChild>
    </w:div>
    <w:div w:id="1608001847">
      <w:bodyDiv w:val="1"/>
      <w:marLeft w:val="0"/>
      <w:marRight w:val="0"/>
      <w:marTop w:val="0"/>
      <w:marBottom w:val="0"/>
      <w:divBdr>
        <w:top w:val="none" w:sz="0" w:space="0" w:color="auto"/>
        <w:left w:val="none" w:sz="0" w:space="0" w:color="auto"/>
        <w:bottom w:val="none" w:sz="0" w:space="0" w:color="auto"/>
        <w:right w:val="none" w:sz="0" w:space="0" w:color="auto"/>
      </w:divBdr>
    </w:div>
    <w:div w:id="1634481190">
      <w:bodyDiv w:val="1"/>
      <w:marLeft w:val="0"/>
      <w:marRight w:val="0"/>
      <w:marTop w:val="0"/>
      <w:marBottom w:val="0"/>
      <w:divBdr>
        <w:top w:val="none" w:sz="0" w:space="0" w:color="auto"/>
        <w:left w:val="none" w:sz="0" w:space="0" w:color="auto"/>
        <w:bottom w:val="none" w:sz="0" w:space="0" w:color="auto"/>
        <w:right w:val="none" w:sz="0" w:space="0" w:color="auto"/>
      </w:divBdr>
    </w:div>
    <w:div w:id="1653677635">
      <w:bodyDiv w:val="1"/>
      <w:marLeft w:val="0"/>
      <w:marRight w:val="0"/>
      <w:marTop w:val="0"/>
      <w:marBottom w:val="0"/>
      <w:divBdr>
        <w:top w:val="none" w:sz="0" w:space="0" w:color="auto"/>
        <w:left w:val="none" w:sz="0" w:space="0" w:color="auto"/>
        <w:bottom w:val="none" w:sz="0" w:space="0" w:color="auto"/>
        <w:right w:val="none" w:sz="0" w:space="0" w:color="auto"/>
      </w:divBdr>
    </w:div>
    <w:div w:id="1705015776">
      <w:bodyDiv w:val="1"/>
      <w:marLeft w:val="0"/>
      <w:marRight w:val="0"/>
      <w:marTop w:val="0"/>
      <w:marBottom w:val="0"/>
      <w:divBdr>
        <w:top w:val="none" w:sz="0" w:space="0" w:color="auto"/>
        <w:left w:val="none" w:sz="0" w:space="0" w:color="auto"/>
        <w:bottom w:val="none" w:sz="0" w:space="0" w:color="auto"/>
        <w:right w:val="none" w:sz="0" w:space="0" w:color="auto"/>
      </w:divBdr>
    </w:div>
    <w:div w:id="1718968008">
      <w:bodyDiv w:val="1"/>
      <w:marLeft w:val="0"/>
      <w:marRight w:val="0"/>
      <w:marTop w:val="0"/>
      <w:marBottom w:val="0"/>
      <w:divBdr>
        <w:top w:val="none" w:sz="0" w:space="0" w:color="auto"/>
        <w:left w:val="none" w:sz="0" w:space="0" w:color="auto"/>
        <w:bottom w:val="none" w:sz="0" w:space="0" w:color="auto"/>
        <w:right w:val="none" w:sz="0" w:space="0" w:color="auto"/>
      </w:divBdr>
    </w:div>
    <w:div w:id="1736472635">
      <w:bodyDiv w:val="1"/>
      <w:marLeft w:val="0"/>
      <w:marRight w:val="0"/>
      <w:marTop w:val="0"/>
      <w:marBottom w:val="0"/>
      <w:divBdr>
        <w:top w:val="none" w:sz="0" w:space="0" w:color="auto"/>
        <w:left w:val="none" w:sz="0" w:space="0" w:color="auto"/>
        <w:bottom w:val="none" w:sz="0" w:space="0" w:color="auto"/>
        <w:right w:val="none" w:sz="0" w:space="0" w:color="auto"/>
      </w:divBdr>
    </w:div>
    <w:div w:id="1753316582">
      <w:bodyDiv w:val="1"/>
      <w:marLeft w:val="0"/>
      <w:marRight w:val="0"/>
      <w:marTop w:val="0"/>
      <w:marBottom w:val="0"/>
      <w:divBdr>
        <w:top w:val="none" w:sz="0" w:space="0" w:color="auto"/>
        <w:left w:val="none" w:sz="0" w:space="0" w:color="auto"/>
        <w:bottom w:val="none" w:sz="0" w:space="0" w:color="auto"/>
        <w:right w:val="none" w:sz="0" w:space="0" w:color="auto"/>
      </w:divBdr>
    </w:div>
    <w:div w:id="1777745397">
      <w:bodyDiv w:val="1"/>
      <w:marLeft w:val="0"/>
      <w:marRight w:val="0"/>
      <w:marTop w:val="0"/>
      <w:marBottom w:val="0"/>
      <w:divBdr>
        <w:top w:val="none" w:sz="0" w:space="0" w:color="auto"/>
        <w:left w:val="none" w:sz="0" w:space="0" w:color="auto"/>
        <w:bottom w:val="none" w:sz="0" w:space="0" w:color="auto"/>
        <w:right w:val="none" w:sz="0" w:space="0" w:color="auto"/>
      </w:divBdr>
    </w:div>
    <w:div w:id="1778526519">
      <w:bodyDiv w:val="1"/>
      <w:marLeft w:val="0"/>
      <w:marRight w:val="0"/>
      <w:marTop w:val="0"/>
      <w:marBottom w:val="0"/>
      <w:divBdr>
        <w:top w:val="none" w:sz="0" w:space="0" w:color="auto"/>
        <w:left w:val="none" w:sz="0" w:space="0" w:color="auto"/>
        <w:bottom w:val="none" w:sz="0" w:space="0" w:color="auto"/>
        <w:right w:val="none" w:sz="0" w:space="0" w:color="auto"/>
      </w:divBdr>
    </w:div>
    <w:div w:id="1802848389">
      <w:bodyDiv w:val="1"/>
      <w:marLeft w:val="0"/>
      <w:marRight w:val="0"/>
      <w:marTop w:val="0"/>
      <w:marBottom w:val="0"/>
      <w:divBdr>
        <w:top w:val="none" w:sz="0" w:space="0" w:color="auto"/>
        <w:left w:val="none" w:sz="0" w:space="0" w:color="auto"/>
        <w:bottom w:val="none" w:sz="0" w:space="0" w:color="auto"/>
        <w:right w:val="none" w:sz="0" w:space="0" w:color="auto"/>
      </w:divBdr>
    </w:div>
    <w:div w:id="1805074279">
      <w:bodyDiv w:val="1"/>
      <w:marLeft w:val="0"/>
      <w:marRight w:val="0"/>
      <w:marTop w:val="0"/>
      <w:marBottom w:val="0"/>
      <w:divBdr>
        <w:top w:val="none" w:sz="0" w:space="0" w:color="auto"/>
        <w:left w:val="none" w:sz="0" w:space="0" w:color="auto"/>
        <w:bottom w:val="none" w:sz="0" w:space="0" w:color="auto"/>
        <w:right w:val="none" w:sz="0" w:space="0" w:color="auto"/>
      </w:divBdr>
    </w:div>
    <w:div w:id="1822774164">
      <w:bodyDiv w:val="1"/>
      <w:marLeft w:val="0"/>
      <w:marRight w:val="0"/>
      <w:marTop w:val="0"/>
      <w:marBottom w:val="0"/>
      <w:divBdr>
        <w:top w:val="none" w:sz="0" w:space="0" w:color="auto"/>
        <w:left w:val="none" w:sz="0" w:space="0" w:color="auto"/>
        <w:bottom w:val="none" w:sz="0" w:space="0" w:color="auto"/>
        <w:right w:val="none" w:sz="0" w:space="0" w:color="auto"/>
      </w:divBdr>
    </w:div>
    <w:div w:id="1837727037">
      <w:bodyDiv w:val="1"/>
      <w:marLeft w:val="0"/>
      <w:marRight w:val="0"/>
      <w:marTop w:val="0"/>
      <w:marBottom w:val="0"/>
      <w:divBdr>
        <w:top w:val="none" w:sz="0" w:space="0" w:color="auto"/>
        <w:left w:val="none" w:sz="0" w:space="0" w:color="auto"/>
        <w:bottom w:val="none" w:sz="0" w:space="0" w:color="auto"/>
        <w:right w:val="none" w:sz="0" w:space="0" w:color="auto"/>
      </w:divBdr>
    </w:div>
    <w:div w:id="1857649420">
      <w:bodyDiv w:val="1"/>
      <w:marLeft w:val="0"/>
      <w:marRight w:val="0"/>
      <w:marTop w:val="0"/>
      <w:marBottom w:val="0"/>
      <w:divBdr>
        <w:top w:val="none" w:sz="0" w:space="0" w:color="auto"/>
        <w:left w:val="none" w:sz="0" w:space="0" w:color="auto"/>
        <w:bottom w:val="none" w:sz="0" w:space="0" w:color="auto"/>
        <w:right w:val="none" w:sz="0" w:space="0" w:color="auto"/>
      </w:divBdr>
    </w:div>
    <w:div w:id="1869442242">
      <w:bodyDiv w:val="1"/>
      <w:marLeft w:val="0"/>
      <w:marRight w:val="0"/>
      <w:marTop w:val="0"/>
      <w:marBottom w:val="0"/>
      <w:divBdr>
        <w:top w:val="none" w:sz="0" w:space="0" w:color="auto"/>
        <w:left w:val="none" w:sz="0" w:space="0" w:color="auto"/>
        <w:bottom w:val="none" w:sz="0" w:space="0" w:color="auto"/>
        <w:right w:val="none" w:sz="0" w:space="0" w:color="auto"/>
      </w:divBdr>
    </w:div>
    <w:div w:id="1907641677">
      <w:bodyDiv w:val="1"/>
      <w:marLeft w:val="0"/>
      <w:marRight w:val="0"/>
      <w:marTop w:val="0"/>
      <w:marBottom w:val="0"/>
      <w:divBdr>
        <w:top w:val="none" w:sz="0" w:space="0" w:color="auto"/>
        <w:left w:val="none" w:sz="0" w:space="0" w:color="auto"/>
        <w:bottom w:val="none" w:sz="0" w:space="0" w:color="auto"/>
        <w:right w:val="none" w:sz="0" w:space="0" w:color="auto"/>
      </w:divBdr>
    </w:div>
    <w:div w:id="1908572066">
      <w:bodyDiv w:val="1"/>
      <w:marLeft w:val="0"/>
      <w:marRight w:val="0"/>
      <w:marTop w:val="0"/>
      <w:marBottom w:val="0"/>
      <w:divBdr>
        <w:top w:val="none" w:sz="0" w:space="0" w:color="auto"/>
        <w:left w:val="none" w:sz="0" w:space="0" w:color="auto"/>
        <w:bottom w:val="none" w:sz="0" w:space="0" w:color="auto"/>
        <w:right w:val="none" w:sz="0" w:space="0" w:color="auto"/>
      </w:divBdr>
    </w:div>
    <w:div w:id="1924677404">
      <w:bodyDiv w:val="1"/>
      <w:marLeft w:val="0"/>
      <w:marRight w:val="0"/>
      <w:marTop w:val="0"/>
      <w:marBottom w:val="0"/>
      <w:divBdr>
        <w:top w:val="none" w:sz="0" w:space="0" w:color="auto"/>
        <w:left w:val="none" w:sz="0" w:space="0" w:color="auto"/>
        <w:bottom w:val="none" w:sz="0" w:space="0" w:color="auto"/>
        <w:right w:val="none" w:sz="0" w:space="0" w:color="auto"/>
      </w:divBdr>
    </w:div>
    <w:div w:id="1926113864">
      <w:bodyDiv w:val="1"/>
      <w:marLeft w:val="0"/>
      <w:marRight w:val="0"/>
      <w:marTop w:val="0"/>
      <w:marBottom w:val="0"/>
      <w:divBdr>
        <w:top w:val="none" w:sz="0" w:space="0" w:color="auto"/>
        <w:left w:val="none" w:sz="0" w:space="0" w:color="auto"/>
        <w:bottom w:val="none" w:sz="0" w:space="0" w:color="auto"/>
        <w:right w:val="none" w:sz="0" w:space="0" w:color="auto"/>
      </w:divBdr>
    </w:div>
    <w:div w:id="1984769623">
      <w:bodyDiv w:val="1"/>
      <w:marLeft w:val="0"/>
      <w:marRight w:val="0"/>
      <w:marTop w:val="0"/>
      <w:marBottom w:val="0"/>
      <w:divBdr>
        <w:top w:val="none" w:sz="0" w:space="0" w:color="auto"/>
        <w:left w:val="none" w:sz="0" w:space="0" w:color="auto"/>
        <w:bottom w:val="none" w:sz="0" w:space="0" w:color="auto"/>
        <w:right w:val="none" w:sz="0" w:space="0" w:color="auto"/>
      </w:divBdr>
    </w:div>
    <w:div w:id="2014331185">
      <w:bodyDiv w:val="1"/>
      <w:marLeft w:val="0"/>
      <w:marRight w:val="0"/>
      <w:marTop w:val="0"/>
      <w:marBottom w:val="0"/>
      <w:divBdr>
        <w:top w:val="none" w:sz="0" w:space="0" w:color="auto"/>
        <w:left w:val="none" w:sz="0" w:space="0" w:color="auto"/>
        <w:bottom w:val="none" w:sz="0" w:space="0" w:color="auto"/>
        <w:right w:val="none" w:sz="0" w:space="0" w:color="auto"/>
      </w:divBdr>
    </w:div>
    <w:div w:id="2026979324">
      <w:bodyDiv w:val="1"/>
      <w:marLeft w:val="0"/>
      <w:marRight w:val="0"/>
      <w:marTop w:val="0"/>
      <w:marBottom w:val="0"/>
      <w:divBdr>
        <w:top w:val="none" w:sz="0" w:space="0" w:color="auto"/>
        <w:left w:val="none" w:sz="0" w:space="0" w:color="auto"/>
        <w:bottom w:val="none" w:sz="0" w:space="0" w:color="auto"/>
        <w:right w:val="none" w:sz="0" w:space="0" w:color="auto"/>
      </w:divBdr>
    </w:div>
    <w:div w:id="2047634613">
      <w:bodyDiv w:val="1"/>
      <w:marLeft w:val="0"/>
      <w:marRight w:val="0"/>
      <w:marTop w:val="0"/>
      <w:marBottom w:val="0"/>
      <w:divBdr>
        <w:top w:val="none" w:sz="0" w:space="0" w:color="auto"/>
        <w:left w:val="none" w:sz="0" w:space="0" w:color="auto"/>
        <w:bottom w:val="none" w:sz="0" w:space="0" w:color="auto"/>
        <w:right w:val="none" w:sz="0" w:space="0" w:color="auto"/>
      </w:divBdr>
    </w:div>
    <w:div w:id="2087605420">
      <w:bodyDiv w:val="1"/>
      <w:marLeft w:val="0"/>
      <w:marRight w:val="0"/>
      <w:marTop w:val="0"/>
      <w:marBottom w:val="0"/>
      <w:divBdr>
        <w:top w:val="none" w:sz="0" w:space="0" w:color="auto"/>
        <w:left w:val="none" w:sz="0" w:space="0" w:color="auto"/>
        <w:bottom w:val="none" w:sz="0" w:space="0" w:color="auto"/>
        <w:right w:val="none" w:sz="0" w:space="0" w:color="auto"/>
      </w:divBdr>
    </w:div>
    <w:div w:id="2092695574">
      <w:bodyDiv w:val="1"/>
      <w:marLeft w:val="0"/>
      <w:marRight w:val="0"/>
      <w:marTop w:val="0"/>
      <w:marBottom w:val="0"/>
      <w:divBdr>
        <w:top w:val="none" w:sz="0" w:space="0" w:color="auto"/>
        <w:left w:val="none" w:sz="0" w:space="0" w:color="auto"/>
        <w:bottom w:val="none" w:sz="0" w:space="0" w:color="auto"/>
        <w:right w:val="none" w:sz="0" w:space="0" w:color="auto"/>
      </w:divBdr>
    </w:div>
    <w:div w:id="2103332758">
      <w:bodyDiv w:val="1"/>
      <w:marLeft w:val="0"/>
      <w:marRight w:val="0"/>
      <w:marTop w:val="0"/>
      <w:marBottom w:val="0"/>
      <w:divBdr>
        <w:top w:val="none" w:sz="0" w:space="0" w:color="auto"/>
        <w:left w:val="none" w:sz="0" w:space="0" w:color="auto"/>
        <w:bottom w:val="none" w:sz="0" w:space="0" w:color="auto"/>
        <w:right w:val="none" w:sz="0" w:space="0" w:color="auto"/>
      </w:divBdr>
    </w:div>
    <w:div w:id="2110461842">
      <w:bodyDiv w:val="1"/>
      <w:marLeft w:val="0"/>
      <w:marRight w:val="0"/>
      <w:marTop w:val="0"/>
      <w:marBottom w:val="0"/>
      <w:divBdr>
        <w:top w:val="none" w:sz="0" w:space="0" w:color="auto"/>
        <w:left w:val="none" w:sz="0" w:space="0" w:color="auto"/>
        <w:bottom w:val="none" w:sz="0" w:space="0" w:color="auto"/>
        <w:right w:val="none" w:sz="0" w:space="0" w:color="auto"/>
      </w:divBdr>
    </w:div>
    <w:div w:id="21374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7.xml"/><Relationship Id="rId42"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eurostat/documents/3217494/9940483/KS-02-19-165-EN-N.pdf/1965d8f5-4532-49f9-98ca-5334b0652820" TargetMode="External"/><Relationship Id="rId33" Type="http://schemas.openxmlformats.org/officeDocument/2006/relationships/header" Target="header8.xml"/><Relationship Id="rId38" Type="http://schemas.openxmlformats.org/officeDocument/2006/relationships/image" Target="media/image8.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5.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digital-single-market/en/scoreboard/greece"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6.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www.eea.europa.eu/ds_resolveuid/DAS-186-en" TargetMode="External"/><Relationship Id="rId7" Type="http://schemas.openxmlformats.org/officeDocument/2006/relationships/hyperlink" Target="https://www.minfin.gr/web/guest/tameio-anakampses" TargetMode="External"/><Relationship Id="rId2" Type="http://schemas.openxmlformats.org/officeDocument/2006/relationships/hyperlink" Target="https://ec.europa.eu/environment/eir/pdf/report_el_en.pdf" TargetMode="External"/><Relationship Id="rId1" Type="http://schemas.openxmlformats.org/officeDocument/2006/relationships/hyperlink" Target="https://data.consilium.europa.eu/doc/document/ST-14356-2020-INIT/en/pdf" TargetMode="External"/><Relationship Id="rId6" Type="http://schemas.openxmlformats.org/officeDocument/2006/relationships/hyperlink" Target="http://ec.europa.eu/economy_finance/publications/economic_paper/2014/pdf/ecp541_en.pdf" TargetMode="External"/><Relationship Id="rId5" Type="http://schemas.openxmlformats.org/officeDocument/2006/relationships/hyperlink" Target="https://www.minfin.gr/web/guest/tameio-anakampses" TargetMode="External"/><Relationship Id="rId4" Type="http://schemas.openxmlformats.org/officeDocument/2006/relationships/hyperlink" Target="https://data.consilium.europa.eu/doc/document/ST-14356-2020-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2.xml><?xml version="1.0" encoding="utf-8"?><ct:contentTypeSchema ct:_="" ma:_="" ma:contentTypeName="EC Document" ma:contentTypeID="0x010100258AA79CEB83498886A3A08681123250006FCFE00C5D85F84383A4CB18CE3724D2" ma:contentTypeVersion="4" ma:contentTypeDescription="Create a new document in this library." ma:contentTypeScope="" ma:versionID="02f2fe0dd79f484e07daf59e140d8f27" xmlns:ct="http://schemas.microsoft.com/office/2006/metadata/contentType" xmlns:ma="http://schemas.microsoft.com/office/2006/metadata/properties/metaAttributes">
<xsd:schema targetNamespace="http://schemas.microsoft.com/office/2006/metadata/properties" ma:root="true" ma:fieldsID="ee98f2b499ef618e5489bcd5bc98fb78" ns3:_="" ns4:_="" xmlns:xsd="http://www.w3.org/2001/XMLSchema" xmlns:xs="http://www.w3.org/2001/XMLSchema" xmlns:p="http://schemas.microsoft.com/office/2006/metadata/properties" xmlns:ns3="$ListId:Shared Documents;" xmlns:ns4="37c275fd-9572-4d80-bb3f-e0295c71b8c9">
<xsd:import namespace="$ListId:Shared Documents;"/>
<xsd:import namespace="37c275fd-9572-4d80-bb3f-e0295c71b8c9"/>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A71D4A-07F4-491F-AEA1-3D0E5466BD7A}">
  <ds:schemaRefs>
    <ds:schemaRef ds:uri="37c275fd-9572-4d80-bb3f-e0295c71b8c9"/>
    <ds:schemaRef ds:uri="http://purl.org/dc/elements/1.1/"/>
    <ds:schemaRef ds:uri="http://purl.org/dc/dcmitype/"/>
    <ds:schemaRef ds:uri="http://schemas.microsoft.com/office/infopath/2007/PartnerControls"/>
    <ds:schemaRef ds:uri="http://purl.org/dc/terms/"/>
    <ds:schemaRef ds:uri="$ListId:Shared Document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D334878-5E34-4106-BDDD-9DD58ECA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C501C-C289-414C-AF7B-5BECE4BDBD7A}">
  <ds:schemaRefs>
    <ds:schemaRef ds:uri="http://schemas.microsoft.com/sharepoint/v3/contenttype/forms"/>
  </ds:schemaRefs>
</ds:datastoreItem>
</file>

<file path=customXml/itemProps4.xml><?xml version="1.0" encoding="utf-8"?>
<ds:datastoreItem xmlns:ds="http://schemas.openxmlformats.org/officeDocument/2006/customXml" ds:itemID="{5ACF1A13-A6AB-42A1-9483-C5AE61CE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107</Pages>
  <Words>42915</Words>
  <Characters>248912</Characters>
  <Application>Microsoft Office Word</Application>
  <DocSecurity>0</DocSecurity>
  <Lines>5788</Lines>
  <Paragraphs>2099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KOUTZIAVASILI Dimitra (SG)</cp:lastModifiedBy>
  <cp:revision>31</cp:revision>
  <dcterms:created xsi:type="dcterms:W3CDTF">2021-08-02T12:43:00Z</dcterms:created>
  <dcterms:modified xsi:type="dcterms:W3CDTF">2021-08-04T09:02:00Z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ContentTypeId">
    <vt:lpwstr>0x010100258AA79CEB83498886A3A0868112325000CD857AC09E1D2541A50946FA87C21AA7</vt:lpwstr>
  </property>
  <property fmtid="{D5CDD505-2E9C-101B-9397-08002B2CF9AE}" pid="10" name="_LW_INVALIDATED__LW_INVALIDATED__LW_INVALIDATED__LW_INVALIDATED__LW_INVALIDATED__LW_INVALIDATED__LW_INVALIDATED__LW_INVALIDATED__LW_INVALIDATED_ContentTypeId">
    <vt:lpwstr>0x010100BAF75065C516B24AA4ED9964D7F23498</vt:lpwstr>
  </property>
  <property fmtid="{D5CDD505-2E9C-101B-9397-08002B2CF9AE}" pid="11" name="_LW_INVALIDATED__LW_INVALIDATED__LW_INVALIDATED__LW_INVALIDATED__LW_INVALIDATED__LW_INVALIDATED__LW_INVALIDATED__LW_INVALIDATED_ContentTypeId">
    <vt:lpwstr>0x010100258AA79CEB83498886A3A08681123250006FCFE00C5D85F84383A4CB18CE3724D2</vt:lpwstr>
  </property>
  <property fmtid="{D5CDD505-2E9C-101B-9397-08002B2CF9AE}" pid="12" name="_LW_INVALIDATED__LW_INVALIDATED__LW_INVALIDATED__LW_INVALIDATED__LW_INVALIDATED__LW_INVALIDATED_ContentTypeId">
    <vt:lpwstr>0x010100258AA79CEB83498886A3A08681123250006FCFE00C5D85F84383A4CB18CE3724D2</vt:lpwstr>
  </property>
</Properties>
</file>