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1C4DB192-EFA1-4ACE-A96E-73174F1C0A54" style="width:455.25pt;height:383.25pt">
            <v:imagedata r:id="rId12" o:title=""/>
          </v:shape>
        </w:pict>
      </w:r>
    </w:p>
    <w:bookmarkEnd w:id="0"/>
    <w:p>
      <w:pPr>
        <w:rPr>
          <w:rFonts w:ascii="Times New Roman" w:hAnsi="Times New Roman" w:cs="Times New Roman"/>
          <w:noProof/>
          <w:lang w:val="en-IE"/>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keepNext/>
        <w:spacing w:before="40" w:after="0" w:line="256" w:lineRule="auto"/>
        <w:jc w:val="center"/>
        <w:rPr>
          <w:rFonts w:ascii="Times New Roman" w:eastAsiaTheme="minorEastAsia" w:hAnsi="Times New Roman" w:cs="Times New Roman"/>
          <w:b/>
          <w:bCs/>
          <w:noProof/>
          <w:sz w:val="24"/>
          <w:szCs w:val="24"/>
          <w:u w:val="single"/>
        </w:rPr>
      </w:pPr>
      <w:bookmarkStart w:id="1" w:name="_GoBack"/>
      <w:bookmarkEnd w:id="1"/>
      <w:r>
        <w:rPr>
          <w:rFonts w:ascii="Times New Roman" w:hAnsi="Times New Roman"/>
          <w:b/>
          <w:bCs/>
          <w:noProof/>
          <w:sz w:val="24"/>
          <w:szCs w:val="24"/>
          <w:u w:val="single"/>
        </w:rPr>
        <w:lastRenderedPageBreak/>
        <w:t>BILAG</w:t>
      </w:r>
    </w:p>
    <w:p>
      <w:pPr>
        <w:spacing w:before="120" w:after="120" w:line="240" w:lineRule="auto"/>
        <w:jc w:val="both"/>
        <w:rPr>
          <w:rFonts w:ascii="Times New Roman" w:hAnsi="Times New Roman"/>
          <w:b/>
          <w:bCs/>
          <w:noProof/>
          <w:sz w:val="28"/>
          <w:szCs w:val="28"/>
        </w:rPr>
      </w:pPr>
    </w:p>
    <w:p>
      <w:pPr>
        <w:spacing w:before="120" w:after="120" w:line="240" w:lineRule="auto"/>
        <w:jc w:val="both"/>
        <w:rPr>
          <w:rFonts w:ascii="Times New Roman" w:hAnsi="Times New Roman" w:cs="Times New Roman"/>
          <w:b/>
          <w:noProof/>
          <w:sz w:val="28"/>
          <w:szCs w:val="28"/>
        </w:rPr>
      </w:pPr>
      <w:r>
        <w:rPr>
          <w:rFonts w:ascii="Times New Roman" w:hAnsi="Times New Roman"/>
          <w:b/>
          <w:bCs/>
          <w:noProof/>
          <w:sz w:val="28"/>
          <w:szCs w:val="28"/>
        </w:rPr>
        <w:t>AFSNIT 1: REFORMER OG INVESTERINGER INDEN FOR RAMMERNE AF GENOPRETNINGS- OG RESILIENSPLANEN</w:t>
      </w:r>
    </w:p>
    <w:p>
      <w:pPr>
        <w:spacing w:before="120" w:after="120" w:line="240" w:lineRule="auto"/>
        <w:jc w:val="both"/>
        <w:rPr>
          <w:rFonts w:ascii="Times New Roman" w:hAnsi="Times New Roman" w:cs="Times New Roman"/>
          <w:noProof/>
          <w:sz w:val="28"/>
          <w:szCs w:val="28"/>
        </w:rPr>
      </w:pPr>
    </w:p>
    <w:p>
      <w:pPr>
        <w:numPr>
          <w:ilvl w:val="0"/>
          <w:numId w:val="147"/>
        </w:numPr>
        <w:spacing w:before="120" w:after="120" w:line="240" w:lineRule="auto"/>
        <w:jc w:val="both"/>
        <w:rPr>
          <w:rFonts w:ascii="Times New Roman" w:hAnsi="Times New Roman" w:cs="Times New Roman"/>
          <w:b/>
          <w:noProof/>
          <w:sz w:val="28"/>
          <w:szCs w:val="28"/>
        </w:rPr>
      </w:pPr>
      <w:r>
        <w:rPr>
          <w:rFonts w:ascii="Times New Roman" w:hAnsi="Times New Roman"/>
          <w:b/>
          <w:noProof/>
          <w:sz w:val="28"/>
          <w:szCs w:val="28"/>
        </w:rPr>
        <w:t xml:space="preserve">Beskrivelse af reformer og investeringer </w:t>
      </w:r>
    </w:p>
    <w:p>
      <w:pPr>
        <w:pStyle w:val="Heading1"/>
        <w:rPr>
          <w:noProof/>
        </w:rPr>
      </w:pPr>
      <w:r>
        <w:rPr>
          <w:noProof/>
        </w:rPr>
        <w:t xml:space="preserve">A. KOMPONENT 01: PLAN FOR BÆREDYGTIG, SIKKER OG SAMMENBUNDET MOBILITET I BY- OG STORBYMILJØER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Denne komponent i den spanske genopretnings- og resiliensplan tager fat på udfordringer vedrørende luftkvalitet, som hovedsagelig berører storbyområder, og har ført til mere end 20 000 for tidlige dødsfald i Spanien i 2018. Det overordnede mål med reformerne og investeringerne i denne komponent er at gå i retning af ren, sikker og intelligent mobilitet i byerne. De specifikke mål, der forfølges med denne komponent, er følgende:</w:t>
      </w:r>
    </w:p>
    <w:p>
      <w:pPr>
        <w:numPr>
          <w:ilvl w:val="0"/>
          <w:numId w:val="21"/>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fremskynde gennemførelsen af lavemissionszoner i alle kommuner med mere end 50 000 indbyggere og hovedstæder i provinsen og udbredelsen af elektrisk mobilitet</w:t>
      </w:r>
    </w:p>
    <w:p>
      <w:pPr>
        <w:numPr>
          <w:ilvl w:val="0"/>
          <w:numId w:val="21"/>
        </w:numPr>
        <w:spacing w:before="120" w:after="160" w:line="259" w:lineRule="auto"/>
        <w:contextualSpacing/>
        <w:jc w:val="both"/>
        <w:rPr>
          <w:rFonts w:ascii="Times New Roman" w:hAnsi="Times New Roman" w:cs="Times New Roman"/>
          <w:noProof/>
        </w:rPr>
      </w:pPr>
      <w:r>
        <w:rPr>
          <w:rFonts w:ascii="Times New Roman" w:hAnsi="Times New Roman"/>
          <w:noProof/>
          <w:sz w:val="24"/>
        </w:rPr>
        <w:t>fremme aktiv mobilitet samt andre foranstaltninger, der kan bidrage til at mindske brugen af privatbiler</w:t>
      </w:r>
      <w:r>
        <w:rPr>
          <w:rFonts w:ascii="Times New Roman" w:hAnsi="Times New Roman"/>
          <w:noProof/>
        </w:rPr>
        <w:t xml:space="preserve"> </w:t>
      </w:r>
    </w:p>
    <w:p>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den digitale og bæredygtige omstilling af den offentlige transportsektor som et reelt alternativ til brugen af private køretøjer</w:t>
      </w:r>
    </w:p>
    <w:p>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forbedring af kvaliteten og pålideligheden af jernbanedriften over korte afstande for at øge den effektive anvendelse heraf i storbymiljøer til skade for det private køretøj</w:t>
      </w:r>
    </w:p>
    <w:p>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optimering af trafikstyringen og lettelse af beslutningstagningen for at fremme renere mobilitet.</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Komponenten vedrører den landespecifikke henstilling om fremme af offentlige og private investeringer og fremme af den grønne omstilling (landespecifik henstilling nr. 3 fra 2020), fremme af investeringer i innovation og energieffektivitet (landespecifik henstilling nr. 3 fra 2019) samt styrkelse af samarbejdet på tværs af myndighedsniveauer (landespecifik henstilling nr. 4 fra 2019).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Det forventes, at ingen foranstaltning i denne komponent skader miljømålene væsentligt, jf. artikel 17 i forordning (EU) 2020/852, under hensyntagen til beskrivelsen af foranstaltningerne og de afhjælpende foranstaltninger, der er fastsat i genopretnings- og resiliensplanen i overensstemmelse med den tekniske vejledning om DNSH-princippet (2021/C58/01). </w:t>
      </w:r>
    </w:p>
    <w:p>
      <w:pPr>
        <w:spacing w:before="120" w:after="120" w:line="240" w:lineRule="auto"/>
        <w:ind w:left="709"/>
        <w:jc w:val="both"/>
        <w:rPr>
          <w:rFonts w:ascii="Times New Roman" w:hAnsi="Times New Roman" w:cs="Times New Roman"/>
          <w:b/>
          <w:i/>
          <w:noProof/>
          <w:color w:val="000000" w:themeColor="text1"/>
          <w:sz w:val="24"/>
        </w:rPr>
      </w:pPr>
      <w:r>
        <w:rPr>
          <w:rFonts w:ascii="Times New Roman" w:hAnsi="Times New Roman"/>
          <w:b/>
          <w:bCs/>
          <w:noProof/>
          <w:color w:val="000000" w:themeColor="text1"/>
          <w:sz w:val="24"/>
          <w:u w:val="single"/>
        </w:rPr>
        <w:t xml:space="preserve">A.1 </w:t>
      </w:r>
      <w:r>
        <w:rPr>
          <w:rFonts w:ascii="Times New Roman" w:hAnsi="Times New Roman"/>
          <w:b/>
          <w:noProof/>
          <w:color w:val="000000" w:themeColor="text1"/>
          <w:sz w:val="24"/>
          <w:u w:val="single"/>
        </w:rPr>
        <w:tab/>
      </w:r>
      <w:r>
        <w:rPr>
          <w:rFonts w:ascii="Times New Roman" w:hAnsi="Times New Roman"/>
          <w:b/>
          <w:bCs/>
          <w:noProof/>
          <w:color w:val="000000" w:themeColor="text1"/>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iCs/>
          <w:noProof/>
          <w:color w:val="000000" w:themeColor="text1"/>
          <w:sz w:val="24"/>
          <w:u w:val="single"/>
        </w:rPr>
      </w:pPr>
      <w:r>
        <w:rPr>
          <w:rFonts w:ascii="Times New Roman" w:hAnsi="Times New Roman"/>
          <w:iCs/>
          <w:noProof/>
          <w:color w:val="000000" w:themeColor="text1"/>
          <w:sz w:val="24"/>
          <w:u w:val="single"/>
        </w:rPr>
        <w:t xml:space="preserve">Reform 1 (C1.R1) — Udrulningsplan for genopladning og fremme af infrastruktur til elektriske køretøjer </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 xml:space="preserve">Formålet med denne foranstaltning er at styrke de operationelle og lovgivningsmæssige rammer, der letter udbredelsen af opladningsinfrastruktur for at fremme anvendelsen af elektriske køretøjer. </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lastRenderedPageBreak/>
        <w:t xml:space="preserve">Reformen skal bestå i vedtagelse af følgende lovgivningsmæssige rammer, der har til formål at fjerne de hindringer, der i øjeblikket hæmmer udbredelsen af ladestandere: </w:t>
      </w:r>
    </w:p>
    <w:p>
      <w:pPr>
        <w:numPr>
          <w:ilvl w:val="0"/>
          <w:numId w:val="20"/>
        </w:num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Kongeligt dekret om offentligt tilgængelige opladningstjenester og sikring af, at de installerede punkter fungerer korrekt og pålideligt</w:t>
      </w:r>
    </w:p>
    <w:p>
      <w:pPr>
        <w:numPr>
          <w:ilvl w:val="0"/>
          <w:numId w:val="20"/>
        </w:num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 xml:space="preserve">Kongeligt lovdekret nr. 23/2020 af 23. juni 2020, der bidrager til at fremskynde behandlingen af opladningsinfrastruktur ved at erklære, at ladefaciliteter med en effekt på over 250 kW er til gavn for offentligheden </w:t>
      </w:r>
    </w:p>
    <w:p>
      <w:pPr>
        <w:numPr>
          <w:ilvl w:val="0"/>
          <w:numId w:val="20"/>
        </w:numPr>
        <w:spacing w:before="120" w:after="120" w:line="240" w:lineRule="auto"/>
        <w:jc w:val="both"/>
        <w:rPr>
          <w:rFonts w:ascii="Times New Roman" w:eastAsia="Arial" w:hAnsi="Times New Roman" w:cs="Times New Roman"/>
          <w:noProof/>
          <w:color w:val="000000" w:themeColor="text1"/>
          <w:sz w:val="24"/>
          <w:szCs w:val="24"/>
        </w:rPr>
      </w:pPr>
      <w:r>
        <w:rPr>
          <w:rFonts w:ascii="Times New Roman" w:hAnsi="Times New Roman"/>
          <w:noProof/>
          <w:color w:val="000000" w:themeColor="text1"/>
          <w:sz w:val="24"/>
        </w:rPr>
        <w:t>Bekendtgørelse nr. TMA/178/2020 om pålæggelse af den administrative byrde i forbindelse med godkendelse og etablering af ladeanlæg på tankstationer</w:t>
      </w:r>
    </w:p>
    <w:p>
      <w:pPr>
        <w:numPr>
          <w:ilvl w:val="0"/>
          <w:numId w:val="20"/>
        </w:numPr>
        <w:spacing w:before="120" w:after="120" w:line="240" w:lineRule="auto"/>
        <w:jc w:val="both"/>
        <w:rPr>
          <w:rFonts w:ascii="Times New Roman" w:hAnsi="Times New Roman" w:cs="Times New Roman"/>
          <w:iCs/>
          <w:noProof/>
          <w:color w:val="000000" w:themeColor="text1"/>
          <w:sz w:val="24"/>
        </w:rPr>
      </w:pPr>
      <w:r>
        <w:rPr>
          <w:rFonts w:ascii="Times New Roman" w:hAnsi="Times New Roman"/>
          <w:noProof/>
          <w:color w:val="000000" w:themeColor="text1"/>
          <w:sz w:val="24"/>
        </w:rPr>
        <w:t>Ændret teknisk bygningslov, der øger minimumsmængden af opladningsinfrastruktur for elektriske køretøjer i både beboelses- og tertiærparkeringsanlæg, hvilket overstiger minimumskravene i direktivet om bygningers energimæssige ydeevne</w:t>
      </w:r>
      <w:r>
        <w:rPr>
          <w:rFonts w:ascii="Times New Roman" w:hAnsi="Times New Roman"/>
          <w:iCs/>
          <w:noProof/>
          <w:color w:val="000000" w:themeColor="text1"/>
          <w:sz w:val="24"/>
        </w:rPr>
        <w:t xml:space="preserve"> og</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Ændret forskrift om lavspændingselektronik, der omfatter forpligtelser vedrørende opladningsinfrastruktur i parkeringspladser, som ikke er knyttet til en bygning.</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Reformen skal være gennemført senest den 30. juni 2022.</w:t>
      </w:r>
    </w:p>
    <w:p>
      <w:pPr>
        <w:spacing w:before="120" w:after="120" w:line="240" w:lineRule="auto"/>
        <w:jc w:val="both"/>
        <w:rPr>
          <w:rFonts w:ascii="Times New Roman" w:hAnsi="Times New Roman" w:cs="Times New Roman"/>
          <w:iCs/>
          <w:noProof/>
          <w:color w:val="000000" w:themeColor="text1"/>
          <w:sz w:val="24"/>
          <w:u w:val="single"/>
        </w:rPr>
      </w:pPr>
      <w:r>
        <w:rPr>
          <w:rFonts w:ascii="Times New Roman" w:hAnsi="Times New Roman"/>
          <w:iCs/>
          <w:noProof/>
          <w:color w:val="000000" w:themeColor="text1"/>
          <w:sz w:val="24"/>
          <w:u w:val="single"/>
        </w:rPr>
        <w:t>Reform 2 (C1.R2) — Lov om mobilitet og transportfinansiering</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Formålet med denne foranstaltning, der gennemføres ved lov, er at tilvejebringe de lovgivningsmæssige rammer, der understøtter den nye mobilitetspolitik i Spanien baseret på forbedret bæredygtighed og den digitale dimension.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Loven skal som minimum indeholde bestemmelser om:</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etablering af en betalingsmekanisme for brug af statens veje, der skal indføres fra 2024 i henhold til princippet om, at forureneren betaler. </w:t>
      </w:r>
      <w:r>
        <w:rPr>
          <w:rFonts w:ascii="Times New Roman" w:hAnsi="Times New Roman"/>
          <w:noProof/>
          <w:sz w:val="24"/>
        </w:rPr>
        <w:t>Formålet med en sådan foranstaltning er at internalisere de eksterne omkostninger ved vejtransport og derved skabe incitamenter til større effektivitet i denne sektor og føre til en reduktion af drivhusgasemissionerne .</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en række forpligtelser og metodologiske vejledninger, der gælder for kommuner og virksomheder af en vis størrelse for at tilskynde til gennemførelse af henholdsvis en plan for bæredygtig bytrafik og bæredygtige arbejdsrelaterede mobilitetsordninger </w:t>
      </w:r>
    </w:p>
    <w:p>
      <w:pPr>
        <w:numPr>
          <w:ilvl w:val="0"/>
          <w:numId w:val="23"/>
        </w:num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Oprettelse af en mekanisme til at øge stringens i infrastrukturplanlægningen i overensstemmelse med henstillingerne fra den uafhængige finanspolitiske myndighed (</w:t>
      </w:r>
      <w:r>
        <w:rPr>
          <w:rFonts w:ascii="Times New Roman" w:hAnsi="Times New Roman"/>
          <w:i/>
          <w:noProof/>
          <w:sz w:val="24"/>
          <w:szCs w:val="24"/>
        </w:rPr>
        <w:t>Autoridad Independiente de Responsabilidad Fiscal,</w:t>
      </w:r>
      <w:r>
        <w:rPr>
          <w:rFonts w:ascii="Times New Roman" w:hAnsi="Times New Roman"/>
          <w:noProof/>
          <w:sz w:val="24"/>
          <w:szCs w:val="24"/>
        </w:rPr>
        <w:t xml:space="preserve"> AIReF), der omfatter overvejelser om bæredygtighed og sociale cost-benefit-analyser</w:t>
      </w:r>
      <w:r>
        <w:rPr>
          <w:rFonts w:ascii="Times New Roman" w:hAnsi="Times New Roman"/>
          <w:noProof/>
          <w:color w:val="000000" w:themeColor="text1"/>
          <w:sz w:val="24"/>
          <w:szCs w:val="24"/>
        </w:rPr>
        <w:t xml:space="preserve"> </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etablering af et forudsigeligt finansieringssystem for bytransport på tværs af landets kommuner baseret på ensartede fordelingskriterier for statslige midler </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indførelse af en reguleringsmæssig sandkasse, der fremmer innovationer i mobilitets- og transportsektoren og deres adgang til markedet</w:t>
      </w:r>
    </w:p>
    <w:p>
      <w:pPr>
        <w:numPr>
          <w:ilvl w:val="0"/>
          <w:numId w:val="23"/>
        </w:num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forbedring af forvaltningen i overensstemmelse med AIReF's anbefalinger ved at etablere: i) et nationalt mobilitetssystem til fremme af koordinering og samarbejde mellem de tre territoriale forvaltninger med ansvar for transport og mobilitet </w:t>
      </w:r>
      <w:r>
        <w:rPr>
          <w:rFonts w:ascii="Times New Roman" w:hAnsi="Times New Roman"/>
          <w:noProof/>
          <w:sz w:val="24"/>
          <w:szCs w:val="24"/>
        </w:rPr>
        <w:t>ii) et øverste råd for transport og mobilitet som et organ, der rådgiver, drøfter og inddrager produktionssektorerne, den akademiske verden og civilsamfundet i fastlæggelsen af transport- og mobilitetspolitikker, og iii) en integreret informationsplatform for transport og mobilitet med henblik på at integrere oplysninger fra forskellige forvaltninger og eksterne kilder om transport og mobilitet. Dette skal gøre det muligt for myndighederne at optimere udformningen af offentlige politikker og forbedre deres kapacitet til at reagere på kriser og nødsituationer.</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Foranstaltningen offentliggøres i </w:t>
      </w:r>
      <w:r>
        <w:rPr>
          <w:rFonts w:ascii="Times New Roman" w:hAnsi="Times New Roman"/>
          <w:i/>
          <w:noProof/>
          <w:color w:val="000000" w:themeColor="text1"/>
          <w:sz w:val="24"/>
        </w:rPr>
        <w:t>Den Europæiske Unions Tidende</w:t>
      </w:r>
      <w:r>
        <w:rPr>
          <w:rFonts w:ascii="Times New Roman" w:hAnsi="Times New Roman"/>
          <w:noProof/>
          <w:color w:val="000000" w:themeColor="text1"/>
          <w:sz w:val="24"/>
        </w:rPr>
        <w:t xml:space="preserve"> senest den 31. december 2023.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Investeringer 1 (C1.I1) — Lavemissionsområder og omlægning af by- og storbytransport</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Formålet med denne foranstaltning er at fremme en bæredygtig og digital omstilling af transporttjenester med det formål at bidrage til at reducere brugen af private køretøjer i bymiljøer med 35 % inden 2030. Foranstaltningen skal også omfatte incitamenter til omlægning af passager- og godsflåder for virksomheder, der leverer transporttjenester. Denne investering gennemføres af de lokale myndigheder, de selvstyrende regioner og ministeriet for transport, mobilitet og dagsorden for byerne (MITMA).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De investeringsprojekter, som de selvstyrende regioner skal gennemføre, kan vedrøre: </w:t>
      </w:r>
      <w:r>
        <w:rPr>
          <w:rFonts w:ascii="Times New Roman" w:hAnsi="Times New Roman"/>
          <w:noProof/>
        </w:rPr>
        <w:t>a) omlægning af flåder til offentlig transport med henblik på at nå målene i direktivet om renere køretøjer og i overensstemmelse med den tekniske vejledning om DNSH-princippet (2021/C58/01)</w:t>
      </w:r>
      <w:r>
        <w:rPr>
          <w:rFonts w:ascii="Times New Roman" w:hAnsi="Times New Roman"/>
          <w:noProof/>
          <w:color w:val="000000" w:themeColor="text1"/>
          <w:sz w:val="24"/>
          <w:szCs w:val="24"/>
        </w:rPr>
        <w:t xml:space="preserve"> b) gennemførelse og forvaltning af lavemissionszoner c) digitaliseringen af den offentlige transport, dens administrative forvaltning og forbedringen af dens tilgængelighed d) foranstaltninger til prioritering af kollektiv transport og aktiv mobilitet, herunder cykelinfrastruktur og fodgængerbaner e) fremme af udbredelsen i Spanien af nye nulemissionsteknologier inden for transport </w:t>
      </w:r>
      <w:r>
        <w:rPr>
          <w:rFonts w:ascii="Times New Roman" w:hAnsi="Times New Roman"/>
          <w:noProof/>
        </w:rPr>
        <w:t>f) afskrækkende foranstaltninger uden for disse kommuner og provinshovedstæder for at begrænse trafikken til bymidten og g) udvidelse eller opgradering af jernbanetransportsystemet (f.eks. metroer eller jernbaner)</w:t>
      </w:r>
      <w:r>
        <w:rPr>
          <w:rFonts w:ascii="Times New Roman" w:hAnsi="Times New Roman"/>
          <w:noProof/>
          <w:sz w:val="24"/>
          <w:szCs w:val="24"/>
        </w:rPr>
        <w:t xml:space="preserve"> h) digitaliseringsprojekter, der supplerer foranstaltninger til støtte for bæredygtig mobilitet, herunder realtidsinformationssystemer om offentlige transporttjenester, mobilitet som en tjenesteydelse, projekter til forbedring af intermodale billetsystemer eller interservice-billetsystemer, projekter til støtte for trafik- og mobilitetsstyring og informationsanalyse med henblik på at øge transportsystemets effektivitet og i) ethvert andet projekt, der: i. bidrager til at forbedre luftkvaliteten, navnlig i byområder, ii. tilskynder til at mindske brugen af privat transport i by- og storbyområder, iii. tilskynder til brug af offentlig transport eller iv) tilskynder til aktiv og sund mobilitet).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 lokale myndigheders projekter vil f.eks. omfatte følgende: a) omlægning af flåder til offentlig transport med henblik på at nå målene i direktivet om renere køretøjer og i overensstemmelse med den tekniske vejledning om DNSH-princippet (2021/C58/01) b) gennemførelse og forvaltning af lavemissionszoner c) digitalisering af den offentlige transport, forvaltningen af den offentlige transport og forbedring af dens tilgængelighed og d) foranstaltninger til at tilskynde til og prioritere kollektiv transport og aktiv mobilitet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støtte ydes til kommuner med over 50 000 indbyggere og hovedstæder i provinsen og kan på visse betingelser også tildeles kommuner med mellem 20 000 og 50 000 indbyggere. </w:t>
      </w:r>
    </w:p>
    <w:p>
      <w:pPr>
        <w:spacing w:after="160" w:line="259" w:lineRule="auto"/>
        <w:ind w:left="2"/>
        <w:jc w:val="both"/>
        <w:rPr>
          <w:rFonts w:ascii="Times New Roman" w:hAnsi="Times New Roman" w:cs="Times New Roman"/>
          <w:noProof/>
          <w:color w:val="000000" w:themeColor="text1"/>
        </w:rPr>
      </w:pPr>
      <w:r>
        <w:rPr>
          <w:rFonts w:ascii="Times New Roman" w:hAnsi="Times New Roman"/>
          <w:noProof/>
          <w:color w:val="000000" w:themeColor="text1"/>
          <w:sz w:val="24"/>
        </w:rPr>
        <w:t xml:space="preserve">Investeringsprojekterne MITMA vedrører humaniseringen og organiseringen af trafikken på vejene i byerne under dets ansvar. Investeringerne skal bidrage til at fremme mobiliteten for fodgængere og cyklister og andre nye former for mobilitet (scootere) eller til at reducere parkeringspladserne og reducere køretøjernes hastighed med henblik på at reducere både luft- og støjforurening. </w:t>
      </w:r>
    </w:p>
    <w:p>
      <w:pPr>
        <w:spacing w:after="160" w:line="259" w:lineRule="auto"/>
        <w:ind w:left="2"/>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Incitamenterne til at omdanne transportvirksomhedernes passager- og godsflåder består af følgende støttelinjer: a) støtte til anskaffelse af nul- og lavemissionspassager- og fragtkøretøjer b) støtte til etablering af infrastruktur til optankning af erhvervskøretøjer med alternative brændstoffer (elektricitet, LNG, CNG og biomethan) c) støtte til virksomheder, der erhverver eller tilpasser påhængsvogne og sættevogne til intermodal transport, og d) støtte til virksomheder til skrotning af gamle køretøjer. </w:t>
      </w:r>
    </w:p>
    <w:p>
      <w:pPr>
        <w:spacing w:after="160" w:line="259" w:lineRule="auto"/>
        <w:ind w:left="2"/>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Det forventes, at denne foranstaltning ikke skader miljømålene i væsentlig grad, jf. artikel 17 i forordning (EU) 2020/852, under hensyntagen til beskrivelsen af foranstaltningen og de afhjælpende foranstaltninger, der er fastsat i genopretnings- og resiliensplanen i overensstemmelse med den tekniske vejledning om DNSH-princippet (2021/C58/01). Støtte til hjælpelinje a) må navnlig kun omfatte elbusser og brintbusser med lavt gulv (M2- og M3-busser, typisk busser i byer og forstæder). "Højgulvsbusser", herunder LNG/CNG, hybridkøretøjer, elektriske køretøjer og brint (M2- og M3-kategorier, typisk interurban bustransport) i overensstemmelse med EURO VI-E (M2- og M3-kategorier, typisk interurban bustransport) Og nulemissionskøretøjer</w:t>
      </w:r>
      <w:r>
        <w:rPr>
          <w:rFonts w:ascii="Times New Roman" w:hAnsi="Times New Roman" w:cs="Times New Roman"/>
          <w:noProof/>
          <w:color w:val="000000" w:themeColor="text1"/>
          <w:sz w:val="24"/>
          <w:szCs w:val="24"/>
          <w:vertAlign w:val="superscript"/>
          <w:lang w:val="en-IE"/>
        </w:rPr>
        <w:footnoteReference w:id="2"/>
      </w:r>
      <w:r>
        <w:rPr>
          <w:rFonts w:ascii="Times New Roman" w:hAnsi="Times New Roman"/>
          <w:noProof/>
          <w:color w:val="000000" w:themeColor="text1"/>
          <w:sz w:val="24"/>
          <w:szCs w:val="24"/>
        </w:rPr>
        <w:t xml:space="preserve"> , lavemissionskøretøjer</w:t>
      </w:r>
      <w:r>
        <w:rPr>
          <w:rFonts w:ascii="Times New Roman" w:hAnsi="Times New Roman" w:cs="Times New Roman"/>
          <w:noProof/>
          <w:color w:val="000000" w:themeColor="text1"/>
          <w:sz w:val="24"/>
          <w:szCs w:val="24"/>
          <w:vertAlign w:val="superscript"/>
          <w:lang w:val="en-IE"/>
        </w:rPr>
        <w:footnoteReference w:id="3"/>
      </w:r>
      <w:r>
        <w:rPr>
          <w:rFonts w:ascii="Times New Roman" w:hAnsi="Times New Roman"/>
          <w:noProof/>
          <w:color w:val="000000" w:themeColor="text1"/>
          <w:sz w:val="24"/>
          <w:szCs w:val="24"/>
        </w:rPr>
        <w:t xml:space="preserve"> og LNG/CNG-lastbiler, der kører på biobrændstoffer, flydende biobrændsler og biomassebrændsler</w:t>
      </w:r>
      <w:r>
        <w:rPr>
          <w:rFonts w:ascii="Times New Roman" w:hAnsi="Times New Roman" w:cs="Times New Roman"/>
          <w:noProof/>
          <w:color w:val="000000" w:themeColor="text1"/>
          <w:sz w:val="24"/>
          <w:szCs w:val="24"/>
          <w:vertAlign w:val="superscript"/>
          <w:lang w:val="en-IE"/>
        </w:rPr>
        <w:footnoteReference w:id="4"/>
      </w:r>
      <w:r>
        <w:rPr>
          <w:rFonts w:ascii="Times New Roman" w:hAnsi="Times New Roman"/>
          <w:noProof/>
          <w:color w:val="000000" w:themeColor="text1"/>
          <w:sz w:val="24"/>
          <w:szCs w:val="24"/>
        </w:rPr>
        <w:t>. For så vidt angår støttelinje b) skal optankningsinfrastrukturen for erhvervskøretøjer opfylde betingelserne for biobrændstoffer, flydende biobrændsler og biomassebrændsler</w:t>
      </w:r>
      <w:r>
        <w:rPr>
          <w:rFonts w:ascii="Times New Roman" w:hAnsi="Times New Roman" w:cs="Times New Roman"/>
          <w:noProof/>
          <w:color w:val="000000" w:themeColor="text1"/>
          <w:sz w:val="24"/>
          <w:szCs w:val="24"/>
          <w:vertAlign w:val="superscript"/>
          <w:lang w:val="en-IE"/>
        </w:rPr>
        <w:footnoteReference w:id="5"/>
      </w:r>
      <w:r>
        <w:rPr>
          <w:rFonts w:ascii="Times New Roman" w:hAnsi="Times New Roman"/>
          <w:noProof/>
          <w:color w:val="000000" w:themeColor="text1"/>
          <w:sz w:val="24"/>
          <w:szCs w:val="24"/>
        </w:rPr>
        <w:t>.</w:t>
      </w:r>
    </w:p>
    <w:p>
      <w:pPr>
        <w:spacing w:after="160" w:line="259" w:lineRule="auto"/>
        <w:ind w:left="2"/>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Udvælgelseskriterierne skal sikre, at mindst 310 000 000 EUR bidrager til klimamålene med en klimakoefficient på 100 % og mindst 2 195 000 000 EUR med en klimakoefficient på 40 % i overensstemmelse med bilag VI til forordning (EU) 2021/241 om genopretnings- og resiliensfaciliteten.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Investeringerne under denne foranstaltning gennemføres senest den 31. december 2025.</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2 (C1.I2) — tilskyndelsesordning for opsætning af ladestandere, indkøb af elektriske køretøjer og brændselscellekøretøjer og innovation inden for elektromobilitet, opladning og grøn brint</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Denne foranstaltning har til formål at støtte overholdelsen af den spanske nationale ramme for alternativ energi inden for transport, fremskynde gennemførelsen af den nationale integrerede energi- og klimaplan og støtte territorial samhørighed ved at elektrificere mobiliteten i landdistrikterne. Investeringen indgår i forskellige støtteordninger, der skal tilskynde til udrulning af elkøretøjer og brændselscellekøretøjer og samtidig tilskynde til individuelle innovationsprojekter, der er knyttet til værdikæden for elektromobilitet og fornyelse af vognparken som helhed, herunder udnyttelse af grøn brintteknologi. Investeringen skal også omfatte installation af offentlige ladestationer i beboelsesområder og på det nationale vejnet. De udvælgelseskriterier, der anvendes i forslagsindkaldelserne med henblik på tildeling af støtteordningerne, skal omfatte: i) reduktion af miljøvirkningerne, ii) teknologisk og økonomisk levedygtighed, iii) teknologisk udvikling og innovation, iv) reproducerbarhed og skalerbarhed, v) jobskabelse i forbindelse med projektet, direkte og indirekte, og vi) indvirkning på værdikæden og synergien med andre sektorer, hovedsagelig industrielle sektorer.</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Denne reform gennemføres senest den 31. august 2025. </w:t>
      </w:r>
    </w:p>
    <w:p>
      <w:pPr>
        <w:keepNext/>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u w:val="single"/>
        </w:rPr>
        <w:t xml:space="preserve">Investering 3 (C1.I3) — Foranstaltninger til forbedring af jernbanetransporttjenesternes kvalitet og pålidelighed </w:t>
      </w:r>
    </w:p>
    <w:p>
      <w:pPr>
        <w:keepNext/>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Formålet med denne foranstaltning er at gøre det offentlige jernbanenet over korte afstande (såkaldte Cercanias) mere attraktivt og tilgængeligt, så det bliver rygraden i mobiliteten i byområder og erstatter brugen af private køretøjer i storbyområder. </w:t>
      </w:r>
      <w:r>
        <w:rPr>
          <w:rFonts w:ascii="Times New Roman" w:hAnsi="Times New Roman"/>
          <w:noProof/>
          <w:sz w:val="24"/>
          <w:szCs w:val="24"/>
        </w:rPr>
        <w:t>Projekterne gennemføres af ADIF (jernbaneinfrastrukturforvalter) og RENFE (operatør af jernbanetjenester med forpligtelser til offentlig tjeneste).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ADIF gennemfører infrastrukturinvesteringer i </w:t>
      </w:r>
      <w:r>
        <w:rPr>
          <w:rFonts w:ascii="Times New Roman" w:hAnsi="Times New Roman"/>
          <w:i/>
          <w:noProof/>
          <w:sz w:val="24"/>
          <w:szCs w:val="24"/>
        </w:rPr>
        <w:t>Cercanias</w:t>
      </w:r>
      <w:r>
        <w:rPr>
          <w:rFonts w:ascii="Times New Roman" w:hAnsi="Times New Roman"/>
          <w:noProof/>
          <w:sz w:val="24"/>
          <w:szCs w:val="24"/>
        </w:rPr>
        <w:t xml:space="preserve"> jernbaner, herunder sporfornyelse, opgradering af stationer, forbedring af elektrificerings- og signalsystemet.</w:t>
      </w:r>
      <w:r>
        <w:rPr>
          <w:rFonts w:ascii="Times New Roman" w:hAnsi="Times New Roman"/>
          <w:noProof/>
          <w:color w:val="000000" w:themeColor="text1"/>
          <w:sz w:val="24"/>
          <w:szCs w:val="24"/>
        </w:rPr>
        <w:t xml:space="preserve"> </w:t>
      </w:r>
      <w:r>
        <w:rPr>
          <w:rFonts w:ascii="Times New Roman" w:hAnsi="Times New Roman"/>
          <w:noProof/>
          <w:sz w:val="24"/>
          <w:szCs w:val="24"/>
        </w:rPr>
        <w:t xml:space="preserve">Endvidere er RENFE ansvarlig for investeringer i gennemførelsen af moderniseringen af forvaltningen af den offentlige jernbanetransport. Investeringerne skal hovedsagelig strække sig over fem dimensioner: a) digitalisering af sikkerhedssystemer på stationer b) passagerinformationssystemer c) forbedring af adgangskontrollen d) tilpasning af selvsalgsmaskiner til nye teknologier og e) indretning af faciliteter på </w:t>
      </w:r>
      <w:r>
        <w:rPr>
          <w:rFonts w:ascii="Times New Roman" w:hAnsi="Times New Roman"/>
          <w:i/>
          <w:noProof/>
          <w:sz w:val="24"/>
          <w:szCs w:val="24"/>
        </w:rPr>
        <w:t>Cercanías</w:t>
      </w:r>
      <w:r>
        <w:rPr>
          <w:rFonts w:ascii="Times New Roman" w:hAnsi="Times New Roman"/>
          <w:noProof/>
          <w:sz w:val="24"/>
          <w:szCs w:val="24"/>
        </w:rPr>
        <w:t xml:space="preserve">-netværkets stationer.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Investeringen skal være afsluttet senest den 30. juni 2026. </w:t>
      </w:r>
    </w:p>
    <w:p>
      <w:pPr>
        <w:spacing w:before="120" w:after="120" w:line="240" w:lineRule="auto"/>
        <w:jc w:val="both"/>
        <w:rPr>
          <w:rFonts w:ascii="Times New Roman" w:hAnsi="Times New Roman" w:cs="Times New Roman"/>
          <w:b/>
          <w:bCs/>
          <w:noProof/>
          <w:color w:val="000000" w:themeColor="text1"/>
          <w:sz w:val="24"/>
          <w:u w:val="single"/>
        </w:rPr>
      </w:pPr>
      <w:r>
        <w:rPr>
          <w:rFonts w:ascii="Times New Roman" w:hAnsi="Times New Roman"/>
          <w:b/>
          <w:bCs/>
          <w:noProof/>
          <w:color w:val="000000" w:themeColor="text1"/>
          <w:sz w:val="24"/>
          <w:u w:val="single"/>
        </w:rPr>
        <w:t xml:space="preserve">A.2 </w:t>
      </w:r>
      <w:r>
        <w:rPr>
          <w:rFonts w:ascii="Times New Roman" w:hAnsi="Times New Roman"/>
          <w:b/>
          <w:bCs/>
          <w:noProof/>
          <w:color w:val="000000" w:themeColor="text1"/>
          <w:sz w:val="24"/>
          <w:u w:val="single"/>
        </w:rPr>
        <w:tab/>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noProof/>
          <w:color w:val="000000"/>
          <w:sz w:val="24"/>
        </w:rPr>
        <w:t>Startdatoen for alle indikatorer er den 1. februar 2020, medmindre andet er angivet i beskrivelsen af foranstaltningen.</w:t>
      </w:r>
      <w:r>
        <w:rPr>
          <w:rFonts w:ascii="Times New Roman" w:hAnsi="Times New Roman"/>
          <w:i/>
          <w:iCs/>
          <w:noProof/>
          <w:color w:val="000000"/>
          <w:sz w:val="24"/>
        </w:rPr>
        <w:t xml:space="preserve"> Beløbene i tabellen omfatter ikke moms.</w:t>
      </w:r>
    </w:p>
    <w:p>
      <w:pPr>
        <w:spacing w:before="120" w:after="120" w:line="240" w:lineRule="auto"/>
        <w:jc w:val="both"/>
        <w:rPr>
          <w:rFonts w:ascii="Times New Roman" w:hAnsi="Times New Roman" w:cs="Times New Roman"/>
          <w:noProof/>
          <w:sz w:val="24"/>
          <w:lang w:val="en-IE"/>
        </w:rPr>
      </w:pPr>
    </w:p>
    <w:p>
      <w:pPr>
        <w:spacing w:before="120" w:after="120" w:line="240" w:lineRule="auto"/>
        <w:jc w:val="both"/>
        <w:rPr>
          <w:rFonts w:ascii="Times New Roman" w:hAnsi="Times New Roman" w:cs="Times New Roman"/>
          <w:noProof/>
          <w:sz w:val="24"/>
          <w:lang w:val="en-IE"/>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1"/>
          <w:cols w:space="720"/>
          <w:docGrid w:linePitch="360"/>
        </w:sectPr>
      </w:pPr>
    </w:p>
    <w:tbl>
      <w:tblPr>
        <w:tblW w:w="1516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977"/>
        <w:gridCol w:w="1134"/>
        <w:gridCol w:w="851"/>
        <w:gridCol w:w="567"/>
        <w:gridCol w:w="850"/>
        <w:gridCol w:w="425"/>
        <w:gridCol w:w="567"/>
        <w:gridCol w:w="5387"/>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977"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13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2268"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5387"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97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538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Bekendtgørelse TMA/178/2020 og kongeligt lovdekret 23/2020</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orden og romalov med angivelse af deres ikrafttræden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i) bekendtgørelse TMA/178/2020 om reduktion af den administrative byrde i forbindelse med installering af elektriske ladefaciliteter på tankstationer og fastlæggelse af den tid, der er nødvendig for at bortskaffe infrastrukturen, ii) kongeligt lovdekret 23/2020 af juni 23, der erklærer opladningsinfrastrukturen med en effekt på over 250 kW for at fremskynde ibrugtagningen af denne type anlæg.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Ændringer af den tekniske bygningslov (TBC), forskriften om lavspændingselektronik (FLE) og godkendelse af et kongeligt dekret om regulering af offentlige opladningstjenester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 forskrift og kongeligt dekret med angivelse af deres ikrafttræden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i) Ændringer af den tekniske bygningslov (TBL) med henblik på a) forpligtelsen til at stille ladestandere til rådighed for ladestandere i 100 % af de nye parkeringspladser i beboelsesejendomme og 20 % af nye parkeringspladser i erhvervsbygninger og andre bygninger, b) at installere en ladestander for hver 40 nye parkeringspladser (og én for hver 20 parkeringspladser i almindelige statsforvaltningsbygninger) og c) forpligtelsen for tidligere eksisterende parkeringspladser til andre end beboelsesvogne med mere end 20 parkeringspladser til at tilpasse sig ovennævnte krav (dvs. installation af én ladestander for hver 40 parkeringspladser) senest i 2023 ii) ændringer af forskriften om lavspændingselektronik (FLE) med henblik på at indarbejde forpligtelser vedrørende opladningsinfrastruktur i bilparker, som ikke er knyttet til en bygning, og iii) det kongelige dekret om regulering af offentlige opladningstjenester, herunder forholdet mellem de personer, der deltager i leveringen af tjenesten (operatører af ladestandere, udbydere af elektriske mobilitetstjenester) og fastsætter deres rettigheder og forpligtelser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Vedtagelse af en lov om bæredygtig mobilitet og finansiering af transport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loven, der angiver lovens ikrafttræden</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vedtagelsen af en lov om bæredygtig mobilitet og finansiering af transport, der forbedrer planlægningen, koordineringen og effektiviteten af de offentlige transportpolitikker, støtter digitaliseringen af transportsektoren og brugen af offentlig transport og etablerer et finansieringssystem til bevarelse og forsendelse af offentlige infrastrukturer, som internaliserer miljøomkostninger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Budget brugt på indkøb eller tildelt af kommuner med henblik på at fremme bæredygtig mobilitet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af tildelingen af projektet eller tilskud i EUT eller i platformen for offentlige indkøb eller afholdelse af udgifter i forbindelse med kommunernes indkøb, som skal bidrage til at fremme bæredygtig mobilitet i kommuner med mere end 50 000 indbyggere og hovedstæder i provinsen, og kan på visse betingelser også tildeles kommuner med mellem 20 000 og 50 000 indbyggere. Projekterne skal støtte følgende instanser: a) omlægning af flåder til offentlig transport med henblik på at nå målene i direktivet om renere køretøjer og i overensstemmelse med den tekniske vejledning om DNSH-princippet (2021/C58/01) b) gennemførelse og forvaltning af lavemissionszoner c) digitaliseringen af den offentlige transport, forvaltningen af den offentlige transport og forbedringen af dens tilgængelighed d) foranstaltninger til at tilskynde til og prioritere kollektiv transport og aktiv mobilitet. Udvælgelseskriterier skal på pro rata-basis sikre, at mindst 310 000 000 EUR ud af det samlede endelige budget på 1 500 000 000 EUR bidrager til klimamålene med en klimakoefficient på 100 % og mindst 1 190 000 000 EUR med en klimakoefficient på 40 %, jf. bilag VI til forordning (EU) 2021/241 om genopretnings- og resiliensfaciliteten.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Budget brugt til indkøb eller tildelt af selvstyrende regioner på mindst 900 mio. EUR med henblik på at fremme bæredygtig mobilitet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tildelingen af projekter eller tilskud i EUT eller i platformen for offentlige indkøb eller afholdelse af udgifter i forbindelse med indkøb i selvstyrende regioner. Projekter og tilskud, der ydes, og indkøb, der foretages af selvstyrende regioner, skal: 1) bidrage til at fremme bæredygtig mobilitet ved at yde støtte til private virksomheder til a) skrotning af tunge køretøjer, b) fornyelse af tunge passager- og godsflåder med renere køretøjer, c) køb eller tilpasning af deres påhængsvogne eller sættevogne til intermodal transport eller d) installering af ladestandere og tankstationer med alternative brændstoffer (elektrisk brændstof, LNG, CNG og biomethan) Tilskud bør ydes i overensstemmelse med den tekniske vejledning om DNSH-princippet (2021/C58/01); Eller 2) bidrage til at fremme bæredygtig mobilitet i kommuner med mere end 50 000 indbyggere og hovedstæder i provinsen ved at støtte tilfælde a) omlægning af flåder til offentlig transport med henblik på at nå målene i direktivet om renere køretøjer og i overensstemmelse med den tekniske vejledning om DNSH-princippet(2021/C58/01), b) gennemførelse og forvaltning af lavemissionszoner c) digitaliseringen af den offentlige transport, forvaltningen af den offentlige transport og forbedringen af dens tilgængelighed d) foranstaltninger til prioritering af kollektiv transport og aktiv mobilitet, herunder cykelinfrastruktur og fodgængerbaner e) fremme af udbredelsen i Spanien af nye nulemissionsteknologier inden for transport f) parkering med henblik på afskrækkelse uden for disse kommuner og provinshovedstæder for at begrænse trafikken til bymidten g) udvidelse eller opgradering af jernbanetransportsystemet, såsom metroer eller jernbaner, h) digitaliseringsprojekter, der supplerer foranstaltninger til støtte for bæredygtig mobilitet, herunder realtidsinformationssystemer om offentlige transporttjenester, mobilitet som en tjenesteydelse, projekter til forbedring af intermodal eller interservicebaseret billettering, projekter til støtte for trafik- og mobilitetsstyring og informationsanalyse med henblik på at øge transportsystemets effektivitet og i) andre projekter, der: i. Bidrage til at forbedre luftkvaliteten, navnlig i byområder ii. Tilskynde til at mindske brugen af privat transport i by- og storbyområder iii. Tilskynde til brug af offentlig transport eller iv. Incitamenter til aktiv og sund mobilitet. Udvælgelseskriterierne skal sikre, at mindst 900 000 000 EUR bidrager til klimamålene med en klimakoefficient på 40 % i overensstemmelse med bilag VI til forordning (EU) 2021/241 om genopretnings- og resiliensfaciliteten.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Afsluttede projekter til fremme af bæredygtig mobilitet, herunder i byområder og storbyområder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Der er gennemført mindst 25 projekter til fremme af bæredygtig mobilitet i 150 byområder og storbyområder med over 50 000 indbyggere og under visse omstændigheder til byområder på mellem 20 000 og 50 000 indbyggere. Projekter, der fremmer bæredygtig mobilitet, er følgende: i. Projekter udviklet af kommuner, som skal bidrage til at fremme bæredygtig mobilitet i kommuner med mere end 50 000 indbyggere og hovedstæder i provinsen, og som på visse betingelser også kan tildeles kommuner med mellem 20 000 og 50 000 indbyggere. Projekterne skal støtte følgende instanser: a) omlægning af flåder til offentlig transport med henblik på at nå målene i direktivet om renere køretøjer og i overensstemmelse med den tekniske vejledning om DNSH-princippet (2021/C58/01) b) gennemførelse og forvaltning af lavemissionszoner c) digitaliseringen af den offentlige transport, forvaltningen af den offentlige transport og forbedringen af dens tilgængelighed d) foranstaltninger til at tilskynde til og prioritere kollektiv transport og aktiv mobilitet. Et projekt er en række definerede, indbyrdes forbundne og koordinerede aktiviteter, der gennemføres med et fælles mål inden for visse tidsfrister og budgetgrænser, hvortil der ansøges om tilskud. En kommune kan udvikle mere end ét projekt. ii) Projekter til fremme af bæredygtig mobilitet i by- og storbyområder udviklet af selvstyrende regioner. Dette vedrører typologierne a) -i), der er specificeret i investeringen C1.I1. By- og storbyområder defineres som kommuner med over 50 000 indbyggere, hovedstæder i provinserne og på visse betingelser kommuner med over 20 000 indbyggere. Hver selvstyrende region kan udvikle mere end ét projekt. iii. Projekter, der yder tilskud til private virksomheder til a) skrotning af tunge, gamle køretøjer, b) fornyelse af tunge passager- og godsflåder med renere køretøjer, c) køb eller tilpasning af deres påhængsvogne eller sættevogne til intermodal transport eller d) installering af tankstationer med alternative brændstoffer (elektricitet, LNG, CNG og biomethan) Der skal ydes støtte til mindst 8 500 tunge køretøjer eller tankstationer, så der kan tages hensyn til, at et projekt til fremme af bæredygtig mobilitet er afsluttet. Tilskud bør ydes i overensstemmelse med den tekniske vejledning om DNSH-princippet (2021/C58/01).</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Budget brugt på indkøb eller tildelt af kommuner med henblik på at fremme bæredygtig mobilitet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400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1 500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Offentliggørelse af tildelingen af projektet eller tilskud i EUT eller i platformen for offentlige indkøb eller afholdelse af udgifter i forbindelse med kommunernes indkøb, som skal bidrage til at fremme bæredygtig mobilitet i kommuner med mere end 50 000 indbyggere og hovedstæder i provinsen, og kan på visse betingelser også tildeles kommuner med mellem 20 000 og 50 000 indbyggere. Projekterne skal støtte følgende instanser: a) omlægning af flåder til offentlig transport med henblik på at nå målene i direktivet om renere køretøjer og i overensstemmelse med den tekniske vejledning om DNSH-princippet (2021/C58/01) b) gennemførelse og forvaltning af lavemissionszoner c) digitaliseringen af den offentlige transport, forvaltningen af den offentlige transport og forbedringen af dens tilgængelighed d) foranstaltninger til at tilskynde til og prioritere kollektiv transport og aktiv mobilitet. Udvælgelseskriterierne skal sikre, at mindst 310 000 000 EUR bidrager til klimamålene med en klimakoefficient på 100 % og mindst 1 190 000 000 EUR med en klimakoefficient på 40 % i overensstemmelse med bilag VI til forordning (EU) 2021/241 om genopretnings- og resiliensfaciliteten.</w:t>
            </w:r>
          </w:p>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(referenceniveau: 31. december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Støtte til projekter til forbedring af nye former for mobilitet på offentlige veje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i EUT eller i platformen for offentlige indkøb af en pris på mindst 105 mio. EUR fra ministeriet for transport, mobilitet og dagsorden for byerne til projekter til forbedring af statslige veje i byområder. Projekterne vil bestå i anlæg af nye cykelstier, udvidelse af fodgængerområder, reduktion af parkeringsområder eller forbedring af sikkerheden ved overkørsler.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Afsluttede projekter til fremme af bæredygtig mobilitet, herunder i byområder og storbyområder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25</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280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280 projekter til fremme af bæredygtig mobilitet, herunder i byområder og storbyområder, er afsluttet for at bidrage til bæredygtig mobilitet i de 150 byområder med over 50 000 indbyggere og under visse omstændigheder til byområder på mellem 20 000 og 50 000 indbyggere. Projekter, der fremmer bæredygtig mobilitet, er følgende: i. Projekter udviklet af kommuner, som skal bidrage til at fremme bæredygtig mobilitet i kommuner med mere end 50 000 indbyggere og hovedstæder i provinsen, og som på visse betingelser også kan tildeles kommuner med mellem 20 000 og 50 000 indbyggere. Projekterne skal støtte følgende instanser: a) omlægning af flåder til offentlig transport med henblik på at nå målene i direktivet om renere køretøjer og i overensstemmelse med den tekniske vejledning om DNSH-princippet (2021/C58/01) b) gennemførelse og forvaltning af lavemissionszoner c) digitaliseringen af den offentlige transport, forvaltningen af den offentlige transport og forbedringen af dens tilgængelighed d) foranstaltninger til at tilskynde til og prioritere kollektiv transport og aktiv mobilitet. Et projekt er en række definerede, indbyrdes forbundne og koordinerede aktiviteter, der gennemføres med et fælles mål inden for visse tidsfrister og budgetgrænser, hvortil der ansøges om tilskud. En kommune kan udvikle mere end ét projekt. ii) Projekter til fremme af bæredygtig mobilitet i by- og storbyområder udviklet af selvstyrende regioner. Dette vedrører typologierne a) -i), der er specificeret i investeringen C1.I1. By- og storbyområder defineres som kommuner med mere end 50 000 indbyggere, hovedstæder i provinsen og kommuner med mere end 20 000 indbyggere på visse betingelser. Hver selvstyrende region kan udvikle mere end ét projekt. iii. Projekter, der yder tilskud til private virksomheder til a) skrotning af tunge køretøjer, b) fornyelse af tunge passager- og godsflåder med renere køretøjer, c) køb eller tilpasning af deres påhængsvogne eller sættevogne til intermodal transport eller d) installering af tankstationer med alternative brændstoffer (elektrisk brændstof, LNG, CNG og biomethan). Mindst 3 000 tunge køretøjer eller tankstationer eller ladestandere eller tankstationer skal støttes, så der kan tages hensyn til, at et projekt til fremme af bæredygtig mobilitet er afsluttet. Tilskud bør ydes i overensstemmelse med den tekniske vejledning om DNSH-princippet (2021/C58/01).</w:t>
            </w:r>
          </w:p>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(referenceniveau: 31. december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Statsveje i byområder forbedret for at fremme nye former for mobilitet</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Nummer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34</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2025</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Mindst 34 statsveje i byområder blev forbedret ved at anlægge nye cykelstier, udvide fodgængerområderne, reducere parkeringsområderne eller forbedre sikkerheden ved overkørsler. Denne investering skal foretages af ministeriet for transport, mobilitet og dagsordenen for byerne på de veje, det ejer i byområder.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Tildeling af innovative projekter til fremme af elektromobilitet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250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Offentliggørelse i EUT af prisen på mindst 250 mio. EUR i indkaldelser til støtte for innovative projekter, der fremmer elektromobilitet. De udvælgelseskriterier, der anvendes i forslagsindkaldelserne med henblik på tildeling af støtteordningerne, skal omfatte: i) reduktion af miljøvirkningerne, ii) teknologisk og økonomisk levedygtighed, iii) teknologisk udvikling og innovation, iv) reproducerbarhed og skalerbarhed, v) jobskabelse i forbindelse med projektet, direkte og indirekte, og vi) indvirkning på værdikæden og synergien med andre sektorer, hovedsagelig industrielle sektorer.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Anvendte elektriske køretøjer og ladestandere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238 000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Mindst 238 000 elkøretøjer (BEV, REEV, PHEV, FCEV) og støttede ladestandere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Afslutning af innovative projekter til fremme af elektromobilitet</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Nummer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85</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2025</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Afslutning af mindst 85 projekter under støtteprogrammet for innovationsprojekter vedrørende elektromobilitet (MOVES Singulares).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Korte strækninger (Cercanias) skinnestrækninger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Antal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Mindst 200 km jernbanelinjer over korte afstande, der er opgraderet i et af delsystemerne: perron, spor, elektrificering, sikkerheds- og kommunikations-/signalanlæg. Længden af jernbanelinjer over korte afstande, der opgraderes, bør fortolkes på grundlag af længden i by- eller storbyområder, hvor der er gennemført en betydelig intervention, som ikke er det beløb, der skal foretages eller repareres. Tiltagene kan omfatte elektrificering, fornyelse af spor, forbedring af signal- og sikkerhedssystemer og forbedringer af stationer, der går videre end vedligeholdelse og reparation, og gennemføres på det nationale område i alle befolkningscentre, der har tjenester fra Cercanías Ferroviarias.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Stationer forbedret med digitalisering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420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Mindst 420 stationer blev forbedret med alle eller nogle af de projekter, der blev udviklet af RENFE som SPO-operatør, og som er opført på listen nedenfor: • Digitalisering af sikkerhedssystemer på stationer (såsom intelligent videoanalyse, cybersikkerhed og svigkontrol)• passagerinformationssystemer• forbedring af adgangskontrollen til stationer• projekter vedrørende salgsautomater• tilpasning af faciliteterne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Forbedrede Cercanias-stationer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Mindst 20 "Cercanias" -stationer forbedret af ADIF hovedsagelig med hensyn til tilgængelighedsarbejder og nye eller renoverede jernbanespor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Kumuleret budget for investeringer i jernbanelinjer over korte afstande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1 619</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2024</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Offentliggørelse i EUT af det samlede budget for investeringer i jernbanelinjer over korte afstande: mindst: 1 619 000 000 EUR.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Korte strækninger (Cercanias), der er opgraderet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Antal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Mindst 700 km jernbanelinjer over korte afstande, der er opgraderet i et af delsystemerne: perron, spor, elektrificering, sikkerheds- og kommunikations-/signalanlæg. Længden af jernbanelinjer over korte afstande, der opgraderes, bør fortolkes på grundlag af længden i by- eller storbyområder, hvor der er gennemført en betydelig intervention, som ikke er det beløb, der skal foretages eller repareres. Tiltagene kan omfatte elektrificering, fornyelse af spor, forbedring af signal- og sikkerhedssystemer og forbedringer af stationer, der går videre end vedligeholdelse og reparation, og gennemføres på det nationale område i alle befolkningscentre, der har tjenester fra Cercanías Ferroviarias. </w:t>
            </w:r>
          </w:p>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(referenceniveau: 31. december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19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Stationer forbedret med digitalisering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420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850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Mindst 850 stationer blev forbedret med alle eller nogle af de projekter, der blev udviklet af RENFE som SPO-operatør, og som er opført på listen nedenfor: • Digitalisering af sikkerhedssystemer på stationer (såsom intelligent videoanalyse, cybersikkerhed og svigkontrol)• passagerinformationssystemer• forbedring af adgangskontrollen til stationer• projekter vedrørende salgsautomater• tilpasning af faciliteterne </w:t>
            </w:r>
          </w:p>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(referenceniveau: 31. december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Forbedrede Cercanias-stationer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70 "Cercanias" -stationer forbedret af ADIF hovedsagelig med hensyn til tilgængelighedsarbejder og nye eller renoverede jernbanespor</w:t>
            </w:r>
          </w:p>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(referenceniveau: 31. december 2023).</w:t>
            </w:r>
          </w:p>
        </w:tc>
      </w:tr>
    </w:tbl>
    <w:p>
      <w:pPr>
        <w:rPr>
          <w:rFonts w:ascii="Times New Roman" w:hAnsi="Times New Roman" w:cs="Times New Roman"/>
          <w:noProof/>
          <w:sz w:val="24"/>
        </w:rPr>
        <w:sectPr>
          <w:headerReference w:type="even" r:id="rId25"/>
          <w:headerReference w:type="default" r:id="rId26"/>
          <w:footerReference w:type="even" r:id="rId27"/>
          <w:footerReference w:type="default" r:id="rId28"/>
          <w:headerReference w:type="first" r:id="rId29"/>
          <w:footerReference w:type="first" r:id="rId30"/>
          <w:pgSz w:w="16839" w:h="11907" w:orient="landscape"/>
          <w:pgMar w:top="1417" w:right="1134" w:bottom="1417" w:left="1134" w:header="709" w:footer="709" w:gutter="0"/>
          <w:cols w:space="720"/>
          <w:docGrid w:linePitch="360"/>
        </w:sectPr>
      </w:pPr>
      <w:r>
        <w:rPr>
          <w:noProof/>
        </w:rPr>
        <w:br w:type="page"/>
      </w:r>
    </w:p>
    <w:p>
      <w:pPr>
        <w:pStyle w:val="Heading1"/>
        <w:rPr>
          <w:noProof/>
        </w:rPr>
      </w:pPr>
      <w:r>
        <w:rPr>
          <w:noProof/>
        </w:rPr>
        <w:t>B. KOMPONENT 02: Gennemførelse af den spanske dagsorden for byerne: Plan for byrenovering- og fornyelse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Denne komponent i den spanske genopretnings- og resiliensplan skal omhandle energirehabilitering af bygninger, dekarbonisering heraf og forbedring af deres kvalitet og komfort. Den skal også omhandle socialt lejeboliger, øge bestanden og sikre en mere retfærdig og inklusiv genopretning. Desuden søger komponenten at bekæmpe energifattigdom ved at støtte sociale boliger eller lejeboliger til overkommelige priser. Digitaliseringsaktiviteter er også omfattet. Komponenten i den spanske genopretnings- og resiliensplan støtter gennemførelsen af Spaniens nationale energi- og klimaplan, som indeholder bestemmelser om renovering af 1 200 000 beboelsesejendomme senest i 2030 og af opvarmnings- og kølingssystemer i gennemsnit 300 000 beboelsesejendomme om året. I den forbindelse foreslår Spanien:</w:t>
      </w:r>
    </w:p>
    <w:p>
      <w:pPr>
        <w:numPr>
          <w:ilvl w:val="0"/>
          <w:numId w:val="24"/>
        </w:numPr>
        <w:spacing w:before="120" w:after="0" w:line="240" w:lineRule="auto"/>
        <w:ind w:left="709" w:hanging="357"/>
        <w:contextualSpacing/>
        <w:jc w:val="both"/>
        <w:rPr>
          <w:rFonts w:ascii="Times New Roman" w:hAnsi="Times New Roman" w:cs="Times New Roman"/>
          <w:noProof/>
          <w:sz w:val="24"/>
        </w:rPr>
      </w:pPr>
      <w:r>
        <w:rPr>
          <w:rFonts w:ascii="Times New Roman" w:hAnsi="Times New Roman"/>
          <w:noProof/>
          <w:sz w:val="24"/>
        </w:rPr>
        <w:t>Udvikle og gennemføre reformforanstaltninger, herunder den spanske dagsorden for byerne, Spaniens langsigtede renoveringsstrategi, en boliglov, en lov til forbedring af arkitekturen og oprettelse af kvikskranker for renovering af bygninger</w:t>
      </w:r>
    </w:p>
    <w:p>
      <w:pPr>
        <w:numPr>
          <w:ilvl w:val="0"/>
          <w:numId w:val="24"/>
        </w:numPr>
        <w:spacing w:before="120" w:after="0" w:line="240" w:lineRule="auto"/>
        <w:ind w:left="709" w:hanging="357"/>
        <w:contextualSpacing/>
        <w:jc w:val="both"/>
        <w:rPr>
          <w:rFonts w:ascii="Times New Roman" w:hAnsi="Times New Roman" w:cs="Times New Roman"/>
          <w:noProof/>
          <w:sz w:val="24"/>
          <w:szCs w:val="24"/>
        </w:rPr>
      </w:pPr>
      <w:r>
        <w:rPr>
          <w:rFonts w:ascii="Times New Roman" w:hAnsi="Times New Roman"/>
          <w:noProof/>
          <w:sz w:val="24"/>
          <w:szCs w:val="24"/>
        </w:rPr>
        <w:t>renovere mindst 355 000 unikke boliger som led i mindst 510 000 renoveringstiltag, mindst 600 hektar byområder, svarende til mindst 40 000 beboelsesejendomme og 690 000 m² erhvervsbygninger, mindst 26 000 beboelsesejendomme i kommuner og byområder med færre end 5 000 indbyggere og mindst 1 230 000 m² offentlige bygninger senest i 2026 med henblik på i gennemsnit at opnå primærenergibesparelser på over 30 %, herunder ved at renovere og opgradere opvarmnings- og kølingssystemer</w:t>
      </w:r>
    </w:p>
    <w:p>
      <w:pPr>
        <w:numPr>
          <w:ilvl w:val="0"/>
          <w:numId w:val="24"/>
        </w:numPr>
        <w:spacing w:before="120" w:after="0" w:line="240" w:lineRule="auto"/>
        <w:ind w:left="709" w:hanging="357"/>
        <w:contextualSpacing/>
        <w:jc w:val="both"/>
        <w:rPr>
          <w:rFonts w:ascii="Times New Roman" w:hAnsi="Times New Roman" w:cs="Times New Roman"/>
          <w:noProof/>
          <w:sz w:val="24"/>
          <w:szCs w:val="24"/>
        </w:rPr>
      </w:pPr>
      <w:r>
        <w:rPr>
          <w:rFonts w:ascii="Times New Roman" w:hAnsi="Times New Roman"/>
          <w:noProof/>
          <w:sz w:val="24"/>
          <w:szCs w:val="24"/>
        </w:rPr>
        <w:t>opføre mindst 20 000 nye boliger til social leje eller til overkommelige priser med en efterspørgsel efter primærenergi på mindst 20 % under kravene til næsten energineutrale bygninger og</w:t>
      </w:r>
    </w:p>
    <w:p>
      <w:pPr>
        <w:numPr>
          <w:ilvl w:val="0"/>
          <w:numId w:val="24"/>
        </w:numPr>
        <w:spacing w:before="120" w:after="0" w:line="240" w:lineRule="auto"/>
        <w:ind w:left="709" w:hanging="357"/>
        <w:contextualSpacing/>
        <w:jc w:val="both"/>
        <w:rPr>
          <w:rFonts w:ascii="Times New Roman" w:hAnsi="Times New Roman" w:cs="Times New Roman"/>
          <w:noProof/>
          <w:sz w:val="24"/>
        </w:rPr>
      </w:pPr>
      <w:r>
        <w:rPr>
          <w:rFonts w:ascii="Times New Roman" w:hAnsi="Times New Roman"/>
          <w:noProof/>
          <w:sz w:val="24"/>
        </w:rPr>
        <w:t>gennemføre mindst 100 pilotprojekter på lokalt plan, der støtter energieffektivitet og gennemførelsen af den spanske dagsorden for byerne.</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komponent i den spanske genopretnings- og resiliensplan støtter den grønne omstilling (landespecifik henstilling nr. 3 fra 2019) og forbedringer af energieffektiviteten i særdeleshed (landespecifik henstilling nr. 3 fra 2020). Det forbedrer også støtten til familier (landespecifik henstilling nr. 2 fra 2019, Landespecifik henstilling nr. 2 fra 2020) og hjælper med at fremskynde modne offentlige investeringsprojekter og fremme private investeringer for at fremme den økonomiske genopretning (landespecifik henstilling nr. 3 fra 2020).</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 </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B.1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1 (C2.R1) — Gennemførelse af den spanske dagsorden for byerne (og den tilhørende handlingsplan)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Formålet med denne foranstaltning er at udarbejde og godkende den spanske dagsorden for byerne, som skal være et strategisk og ikke-lovgivningsmæssigt dokument, der integrerer bæredygtighed i byudviklingspolitikken. Det skal også være en arbejdsmetode, der vejleder alle offentlige og private interessenter med henblik på at opnå en retfærdig, rimelig og bæredygtig udvikling inden for deres særlige områder og tjene den lokale forvaltning, byer og landsbyer, uanset deres befolkningsstørrelse, som et værktøj med et strategisk, integreret og omfattende perspektiv som krævet i EU's dagsorden for byerne og det nye Leipzigcharter.</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Den spanske dagsorden for byerne er en proces, der skal diagnosticere de svagheder og udfordringer, som Spaniens byer og landsbyer står over for, med henblik på at opnå en bæredygtig, socialt sammenhængende og økonomisk gennemførlig byudvikling. Den skal omfatte en strategisk ramme, der er struktureret omkring følgende ti strategiske udfordringer: demografisk miljø, økonomisk og social den aktuelle bygningsmasse sårbarhed over for de skadelige virkninger af klimaændringerne (stor) afhængighed af turisme og forureningsrelaterede risici.</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Dagsordenen for byerne skal også indeholde en specifik handlingsplan for den nationale forvaltning og omfatte vejledning til at støtte lokale enheder i udarbejdelsen af deres egne lokale handlingsplaner i overensstemmelse med den metode, som den statslige forvaltning har foreslået, hvilket indebærer forpligtelse til at forbedre den offentlige og offentlig-private forvaltning. Investering nr. 6 supplerer denne reform ved at støtte udarbejdelsen af mindst 100 lokale handlingsplaner.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Som led i den spanske dagsorden for byerne og behovet for at opfylde direktiv (EU) 2018/844 om bygningers energimæssige ydeevne og energieffektivitet har Spanien fastlagt en langsigtet renoveringsstrategi for at støtte renoveringen af den nationale masse af beboelsesejendomme og erhvervsbygninger. Dette omfatter både offentlige og private bygninger og skal opnå en yderst energieffektiv og dekarboniseret bygningsmasse senest i 2050, hvilket letter en omkostningseffektiv omdannelse af eksisterende bygninger til næsten energineutrale bygninger.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30. juni 2020.</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2 (C2.R2) — 2020-ajourføring af den spanske langsigtede renoveringsstrategi og den tilhørende handlingsplan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gennemføre strategien for langsigtet renovering (ERESEE). Dette omfatter foranstaltninger til forberedelse, drøftelse i særlige arbejdsgrupper, godkendelse og formidling af strategidokumentet fra handlingsplanen for langsigtet renoveringsstrategi.</w:t>
      </w:r>
      <w:r>
        <w:rPr>
          <w:rFonts w:ascii="Times New Roman" w:hAnsi="Times New Roman"/>
          <w:bCs/>
          <w:noProof/>
          <w:sz w:val="24"/>
          <w:szCs w:val="24"/>
        </w:rPr>
        <w:t xml:space="preserve"> </w:t>
      </w:r>
      <w:r>
        <w:rPr>
          <w:rFonts w:ascii="Times New Roman" w:hAnsi="Times New Roman"/>
          <w:noProof/>
          <w:sz w:val="24"/>
          <w:szCs w:val="24"/>
        </w:rPr>
        <w:t xml:space="preserve">Handlingsplanen skal være i overensstemmelse med de foranstaltninger, der indgår i ERESEE. </w:t>
      </w:r>
      <w:r>
        <w:rPr>
          <w:rFonts w:ascii="Times New Roman" w:hAnsi="Times New Roman"/>
          <w:bCs/>
          <w:noProof/>
          <w:sz w:val="24"/>
          <w:szCs w:val="24"/>
        </w:rPr>
        <w:t xml:space="preserve">Med henblik på at gennemføre ERESEE nedsættes der flere arbejdsgrupper med henblik på at udarbejde klare anbefalinger til gennemførelsen af handlingsplanen for byrenovering- og fornyelse. </w:t>
      </w:r>
      <w:r>
        <w:rPr>
          <w:rFonts w:ascii="Times New Roman" w:hAnsi="Times New Roman"/>
          <w:noProof/>
          <w:sz w:val="24"/>
          <w:szCs w:val="24"/>
        </w:rPr>
        <w:t>Rapporter med arbejdsgruppernes anbefalinger offentliggøres.</w:t>
      </w:r>
    </w:p>
    <w:p>
      <w:pPr>
        <w:pStyle w:val="xmsonormal"/>
        <w:jc w:val="both"/>
        <w:rPr>
          <w:rFonts w:ascii="Times New Roman" w:hAnsi="Times New Roman" w:cs="Times New Roman"/>
          <w:noProof/>
          <w:sz w:val="24"/>
          <w:szCs w:val="24"/>
        </w:rPr>
      </w:pPr>
      <w:r>
        <w:rPr>
          <w:rFonts w:ascii="Times New Roman" w:hAnsi="Times New Roman"/>
          <w:noProof/>
          <w:sz w:val="24"/>
          <w:szCs w:val="24"/>
        </w:rPr>
        <w:t xml:space="preserve">I del III i ERESEE, "Gennemførelse", skal ERESEE omfatte en række tiltag, herunder en række reformer som led i en køreplan til fremme af byrenovering og -fornyelse og fremme af den grønne og den digitale omstilling. Køreplanen skal struktureres omkring 11. akser og aktioner, der har til formål at forbedre forvaltning, regulering og finansiering. </w:t>
      </w:r>
      <w:r>
        <w:rPr>
          <w:rFonts w:ascii="Times New Roman" w:hAnsi="Times New Roman"/>
          <w:bCs/>
          <w:noProof/>
          <w:sz w:val="24"/>
          <w:szCs w:val="24"/>
        </w:rPr>
        <w:t>Denne køreplan skal indgå i det strategiske dokument som det vigtigste skridt hen imod gennemførelsen af ERESEE. De mest relevante foranstaltninger omfatter:</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Renovere offentlige administrationsbygninger (i overensstemmelse med komponent 11 i den spanske genopretnings- og resiliensplan)</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Finansiere områder, der kan forbedres, herunder ny beskatning, der er gunstig for renovering, både i boligsektoren og den tertiære sektor.</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Fremme og mobilisere privat finansiering</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Bekæmpelse af energifattigdom</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Indføre en ny energimodel i byggesektoren for at fremme forbruget af vedvarende energi i bygninger.</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Aktivering og samlet efterspørgsel efter rehabilitering.</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forbedre vilkårene på udbudssiden ved at fremme moderniseringen af rehabiliteringssektoren gennem forskning, udvikling og innovation, digitalisering og overvågning, styrkelse af færdigheder og uddannelse</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Formidle oplysninger til borgere og virksomheder og udveksle god praksis mellem myndighederne. og</w:t>
      </w:r>
    </w:p>
    <w:p>
      <w:pPr>
        <w:numPr>
          <w:ilvl w:val="0"/>
          <w:numId w:val="27"/>
        </w:numPr>
        <w:spacing w:before="120" w:after="120" w:line="259" w:lineRule="auto"/>
        <w:ind w:left="714" w:hanging="357"/>
        <w:jc w:val="both"/>
        <w:rPr>
          <w:rFonts w:ascii="Times New Roman" w:eastAsia="Arial" w:hAnsi="Times New Roman" w:cs="Times New Roman"/>
          <w:noProof/>
          <w:sz w:val="24"/>
          <w:szCs w:val="24"/>
        </w:rPr>
      </w:pPr>
      <w:r>
        <w:rPr>
          <w:rFonts w:ascii="Times New Roman" w:hAnsi="Times New Roman"/>
          <w:noProof/>
          <w:sz w:val="24"/>
          <w:szCs w:val="24"/>
        </w:rPr>
        <w:t>Udvikle statistikker og indikatorer til overvågning af offentligt finansierede foranstaltninger, således at offentlige politikker kan vurderes korrekt.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Dette strategiske dokument skal gøre det muligt at gennemføre ERESEE inden for rammerne af den spanske dagsorden for byerne og integrere de forskellige forvaltninger (centrale, regionale og lokale).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30. juni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2 (C2.R3) — boliglovgivning</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foranstaltning er ved hjælp af boligloven at gennemføre en første forordning af en slags i Spanien for at tage fat på de forskellige offentlige planlægnings-, programmerings- og samarbejdsinstrumenter, der allerede er indført for at støtte retten til en anstændig og passende bolig. Den omhandler rehabilitering og forbedring af den eksisterende boligmasse, både offentlig og privat, og genopretning og fornyelse af de boligmiljøer, hvor de er beliggende, med henblik på at forbedre livskvaliteten. Loven omhandler opnåelsen af et tilstrækkeligt niveau af boligmasse til lejeboliger, der er til rådighed til overkommelige priser.</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Lovgivningen skal omhandle forskellige planlægnings-, programmerings- og samarbejdsinstrumenter for at sikre opfyldelse af retten til en anstændig og passende bolig, herunder som en af sine prioriteter rehabilitering og forbedring af den eksisterende boligmasse samt sanering og renovering af de boligmiljøer, hvor de er beliggende.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Desuden skal loven tilskynde til en stigning i udbuddet af økonomisk overkommelige og sociale boliger ved at sikre overholdelse af de krav, der i øjeblikket er fastsat for næsten energineutrale bygninger i henhold til det grundlæggende energibesparelsesdokument (DB-HE) i den tekniske bygningslov (TBL), og skal undgå foranstaltninger, der kan hindre boligudbuddet på mellemlang sigt.</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Denne gennemførelse af reformen skal være afsluttet senest den 30. september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3 (C2.R4) — Loven om kvaliteten af arkitektur- og bygningsmiljøet og den nye nationale strategi for arkitektur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lov er at erklære kvaliteten af arkitektur og bygninger for et offentligt gode med henblik på at forbedre livskvaliteten, fremme arkitekturens sociale rødder, fremme bæredygtig udvikling af byområder og knudepunkter, bidrage til økonomisk og social udvikling og beskytte og sikre kultur- og naturarv.</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Med henblik herpå skal loven behandle forskellige initiativer og tiltag, der er tæt forbundet med rehabiliterings- og genopretningsprogrammerne i denne del af den spanske genopretnings- og resiliensplan. Loven regulerer navnlig: i) interadministrative samarbejdsforanstaltninger inden for indkøb af arkitekt-, ingeniør- og byplanlægningsprojekter og -arbejder ii) værktøjer til udbredelse af god praksis og støtte, uddannelse og offentlig-private partnerskaber og iii) fremme af rehabilitering ud fra et omfattende perspektiv som den, der er beskrevet ovenfor. </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Denne gennemførelse af reformen skal være afsluttet senest den 30. september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4 (C2.R5) — Rengøringskontorer ("one-stop-shop")</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foranstaltning er at tilskynde til og udvide de lokale renoveringskontorer, der er oprettet i nogle kommuner, til at ledsage husholdninger og ejerfællesskaber i forbindelse med de meget komplekse opgaver, der består i at rehabilitere en beboelsesejendom.</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Med henblik herpå skal denne foranstaltning yderligere fremme og udvide denne tilgang ved at etablere en proces, der sikrer et effektivt samarbejde og et effektivt samarbejde mellem centrale, regionale og/eller lokale myndigheder. Dette omfatter en styrkelse af koordineringen mellem al offentlig støtte (på centralt, regionalt eller lokalt plan). Alle myndighedsniveauer inddrages i disse kvikskranker for at maksimere renoveringsaktiviteternes effektivitet.</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Reformen skal være gennemført senest den 30. september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5 (C2.R6) — Forbedret finansiering af renoveringstiltag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afhjælpe en af de vigtigste hindringer for iværksættelse af renoveringsaktiviteter, nemlig adgang til finansiering på gunstige vilkår. For at få et renoveringslån godkendt er det til tider nødvendigt at yde et individuelt personligt lån til hver enkelt ejer i en bygning. Dette har været en hindring for en gennemgribende og integreret renovering af bygninger.</w:t>
      </w:r>
    </w:p>
    <w:p>
      <w:pPr>
        <w:spacing w:before="120" w:after="120" w:line="240" w:lineRule="auto"/>
        <w:jc w:val="both"/>
        <w:rPr>
          <w:rFonts w:ascii="Times New Roman" w:hAnsi="Times New Roman" w:cs="Times New Roman"/>
          <w:noProof/>
          <w:sz w:val="24"/>
        </w:rPr>
      </w:pPr>
      <w:r>
        <w:rPr>
          <w:rFonts w:ascii="Times New Roman" w:hAnsi="Times New Roman"/>
          <w:noProof/>
          <w:sz w:val="24"/>
        </w:rPr>
        <w:t>For at løse dette problem:</w:t>
      </w:r>
    </w:p>
    <w:p>
      <w:pPr>
        <w:numPr>
          <w:ilvl w:val="0"/>
          <w:numId w:val="28"/>
        </w:numPr>
        <w:autoSpaceDE w:val="0"/>
        <w:autoSpaceDN w:val="0"/>
        <w:adjustRightInd w:val="0"/>
        <w:spacing w:before="120" w:after="120" w:line="240" w:lineRule="auto"/>
        <w:ind w:left="714" w:hanging="357"/>
        <w:contextualSpacing/>
        <w:jc w:val="both"/>
        <w:rPr>
          <w:rFonts w:ascii="Times New Roman" w:eastAsia="Arial" w:hAnsi="Times New Roman" w:cs="Times New Roman"/>
          <w:noProof/>
          <w:sz w:val="24"/>
          <w:szCs w:val="24"/>
        </w:rPr>
      </w:pPr>
      <w:r>
        <w:rPr>
          <w:rFonts w:ascii="Times New Roman" w:hAnsi="Times New Roman"/>
          <w:noProof/>
          <w:sz w:val="24"/>
          <w:szCs w:val="24"/>
        </w:rPr>
        <w:t xml:space="preserve">Opretter en ny garantipost for </w:t>
      </w:r>
      <w:r>
        <w:rPr>
          <w:rFonts w:ascii="Times New Roman" w:hAnsi="Times New Roman"/>
          <w:i/>
          <w:noProof/>
          <w:sz w:val="24"/>
          <w:szCs w:val="24"/>
        </w:rPr>
        <w:t>Instituto de Crédito Oficial</w:t>
      </w:r>
      <w:r>
        <w:rPr>
          <w:rFonts w:ascii="Times New Roman" w:hAnsi="Times New Roman"/>
          <w:noProof/>
          <w:sz w:val="24"/>
          <w:szCs w:val="24"/>
        </w:rPr>
        <w:t xml:space="preserve"> (ICO) til delvis dækning af risikoen for lån ydet af private finansielle institutioner til renovering af beboelsesejendomme;</w:t>
      </w:r>
    </w:p>
    <w:p>
      <w:pPr>
        <w:numPr>
          <w:ilvl w:val="0"/>
          <w:numId w:val="28"/>
        </w:numPr>
        <w:autoSpaceDE w:val="0"/>
        <w:autoSpaceDN w:val="0"/>
        <w:adjustRightInd w:val="0"/>
        <w:spacing w:before="120" w:after="120" w:line="240" w:lineRule="auto"/>
        <w:ind w:left="714" w:hanging="357"/>
        <w:contextualSpacing/>
        <w:jc w:val="both"/>
        <w:rPr>
          <w:rFonts w:ascii="Times New Roman" w:eastAsia="Arial" w:hAnsi="Times New Roman" w:cs="Times New Roman"/>
          <w:noProof/>
          <w:sz w:val="24"/>
          <w:szCs w:val="24"/>
        </w:rPr>
      </w:pPr>
      <w:r>
        <w:rPr>
          <w:rFonts w:ascii="Times New Roman" w:hAnsi="Times New Roman"/>
          <w:noProof/>
          <w:sz w:val="24"/>
          <w:szCs w:val="24"/>
        </w:rPr>
        <w:t>Fremmer vedtagelsen af specifikke lovgivningsmæssige bestemmelser, herunder reformen af den horisontale ejendomslov, for at forbedre adgangen til finansiering for ejerfællesskaber. og</w:t>
      </w:r>
    </w:p>
    <w:p>
      <w:pPr>
        <w:numPr>
          <w:ilvl w:val="0"/>
          <w:numId w:val="28"/>
        </w:numPr>
        <w:autoSpaceDE w:val="0"/>
        <w:autoSpaceDN w:val="0"/>
        <w:adjustRightInd w:val="0"/>
        <w:spacing w:before="120" w:after="120" w:line="240" w:lineRule="auto"/>
        <w:jc w:val="both"/>
        <w:rPr>
          <w:rFonts w:ascii="Times New Roman" w:eastAsia="Arial" w:hAnsi="Times New Roman" w:cs="Times New Roman"/>
          <w:noProof/>
          <w:sz w:val="24"/>
          <w:szCs w:val="24"/>
        </w:rPr>
      </w:pPr>
      <w:r>
        <w:rPr>
          <w:rFonts w:ascii="Times New Roman" w:hAnsi="Times New Roman"/>
          <w:noProof/>
          <w:color w:val="000000"/>
          <w:sz w:val="24"/>
          <w:szCs w:val="24"/>
        </w:rPr>
        <w:t>Tilskynder til, at finansielle institutioner anvender grøn finansiering.</w:t>
      </w:r>
    </w:p>
    <w:p>
      <w:pPr>
        <w:autoSpaceDE w:val="0"/>
        <w:autoSpaceDN w:val="0"/>
        <w:adjustRightInd w:val="0"/>
        <w:spacing w:before="120" w:after="120" w:line="240" w:lineRule="auto"/>
        <w:jc w:val="both"/>
        <w:rPr>
          <w:rFonts w:ascii="Times New Roman" w:eastAsia="Arial" w:hAnsi="Times New Roman" w:cs="Times New Roman"/>
          <w:noProof/>
          <w:sz w:val="24"/>
          <w:szCs w:val="24"/>
        </w:rPr>
      </w:pPr>
      <w:r>
        <w:rPr>
          <w:rFonts w:ascii="Times New Roman" w:hAnsi="Times New Roman"/>
          <w:noProof/>
          <w:sz w:val="24"/>
          <w:szCs w:val="24"/>
        </w:rPr>
        <w:t>Reformen skal være gennemført senest den 30. september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1 (C2.I1) — Rehabiliteringsprogram for økonomisk og social genopretning i boligmiljøer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støtte energieffektivitetsrenoveringer i beboelsesejendomme og kvarterer. Aktionerne under denne foranstaltning skal gennemføre mindst 510 000 renoveringstiltag i mindst 355 000 unikke boliger med en gennemsnitlig reduktion af primærenergiefterspørgslen på mindst 30 % verificeret med energiattester. Der ydes støtte til følgende aktioner:</w:t>
      </w:r>
    </w:p>
    <w:p>
      <w:pPr>
        <w:numPr>
          <w:ilvl w:val="0"/>
          <w:numId w:val="25"/>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Et program til støtte for energirenovering på naboskabsniveau ved at yde tilskud og anden støtte med et gennemsnit på 20 000 EUR pr. bolig. Programmet skal renovere mindst 600 hektar byområder og opnå en gennemsnitlig reduktion af primærenergiefterspørgslen på mindst 30 % verificeret ved energiattester. Tiltagene omfatter forbedring af energieffektiviteten, etablering af infrastruktur til elektrisk mobilitet, forbedring af bygningers tilgængelighed og fjernelse af farlige stoffer. Højst 15 % af foranstaltningen afsættes til forbedringer på byområdeniveau, såsom forbedring af udendørs belysning, cykelstier, grøn infrastruktur og dræningssystemer, idet der tages hensyn til byområdernes socioøkonomiske karakteristika. </w:t>
      </w:r>
    </w:p>
    <w:p>
      <w:pPr>
        <w:numPr>
          <w:ilvl w:val="0"/>
          <w:numId w:val="25"/>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Et program til støtte for energirenovering af beboelsesejendomme ved at yde tilskud på gennemsnitligt 15 000 EUR pr. bolig. Støtteniveauet er højere for de foranstaltninger, hvor reduktionen af efterspørgslen efter primærenergi er højere, og for lavindkomsthusholdninger. Tiltagene omfatter forbedring af energieffektiviteten, etablering af infrastruktur til elektrisk mobilitet, forbedring af bygningers tilgængelighed og fjernelse af farlige stoffer.</w:t>
      </w:r>
    </w:p>
    <w:p>
      <w:pPr>
        <w:numPr>
          <w:ilvl w:val="0"/>
          <w:numId w:val="25"/>
        </w:num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En række aktiviteter skal omhandle incitamenterne til energirenovering. Dette omfatter bl.a. i) muligheden for at fratrække renoveringer fra den personlige indkomstskat, hvis der opnås en reduktion af primærenergiefterspørgslen på mindst 30 %, og ii) forbedring af finansieringsrammen ved at tilskynde til offentlig-private partnerskaber.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Ved kongelig anordning fastsættes de tekniske krav, der skal sikre, at den gennemsnitlige reduktion af primærenergiforbruget på 30 % overholdes. Ændringer af den personlige indkomstskat skal godkendes ved kongeligt lovdekret, og deres formål er at definere de skattemæssige incitamenter til bygningsrenoveringsforanstaltninger for at opnå en forbedring af energieffektiviteten.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2 (C2.I2) — Program for opførelse af socialt boligbyggeri i energieffektive bygninger</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foranstaltning er at opføre mindst 20 000 nye boliger til sociale lejeformål til overkommelige priser i overensstemmelse med energieffektive kriterier. Disse skal navnlig opføres i områder, hvor socialt boligbyggeri i øjeblikket er utilstrækkeligt, og på offentligt ejet jord.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Det sociale boligs primære energibehov skal være mindst 20 % lavere end kravene til næsten energineutrale bygninger. Med henblik herpå skal der ved kongeligt dekret fastsættes tekniske krav med henblik på at begrænse værdien af primærenergiforbruget til 80 % af den grænse, der er fastsat i afsnit HE 0 i det grundlæggende energibesparelsesdokument (DB-HE) i den tekniske bygningslov (TBL).</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30. juni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3 (C2.I3) — Program for energirehabilitering af bygninger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støtte energirenovering af mindst 40 000 beboelsesejendomme og 690 000 m² erhvervsbygninger og ved at forbedre energieffektiviteten og integrere vedvarende energi. Programmet støtter kun vedvarende energi, eksklusive fossile brændstoffer, giver en højere støtteintensitet for energifællesskaber og giver mulighed for forfinansiering af renoveringsaktiviteterne. De specifikke foranstaltninger omfatter forbedring af energieffektiviteten gennem varmeisolering, anvendelse af vedvarende energi i opvarmnings- og kølingssystemer og forbedring af belysningssystemet. Et støtteberettigelseskriterium forventes, at en gennemsnitlig reduktion af efterspørgslen efter primærenergi på mindst 30 % opnås ved hjælp af energiattester.</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30. juni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4 (C2.I4) — Regenereringsprogram og demografiske udfordringer</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foranstaltning er at støtte renovering af bygninger i kommuner og byområder med under 5 000 indbyggere. Foranstaltningerne omfatter forbedring af energieffektiviteten i bygninger, offentligt udstyr og offentlig infrastruktur, produktion og forbrug af vedvarende energi, egetforbrug og lokale energifællesskaber samt bæredygtig mobilitet (f.eks. ladestationer). Der skal gennemføres to typer foranstaltninger:</w:t>
      </w:r>
    </w:p>
    <w:p>
      <w:pPr>
        <w:numPr>
          <w:ilvl w:val="0"/>
          <w:numId w:val="26"/>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Med hensyn til energieffektivitet skal mindst 26 000 energirenoveringer finde sted i beboelsesejendomme, således at der i gennemsnit opnås en reduktion af primærenergiefterspørgslen på mindst 30 %, der verificeres ved energiattester. </w:t>
      </w:r>
    </w:p>
    <w:p>
      <w:pPr>
        <w:numPr>
          <w:ilvl w:val="0"/>
          <w:numId w:val="2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Mindst 250 unikke projekter inden for ren energi skal gennemføres gennem konkurrencebaserede udbud eller investeringer foretaget af lokale myndigheder inden for følgende områder: i) installation af elektricitet, opvarmning og køling, der kan fornys, til offentlige bygninger eller infrastrukturer (herunder mindst 80 % egetforbrug) ii) energirenovering af offentlige bygninger eller infrastruktur (opnåelse af primærenergibesparelser på mindst 30 %, verificeret ved energiattester) iii) bæredygtig mobilitet (projekter for trafikoverflytning eller elektrisk mobilitet) iv) reduktion af lysforurening gennem forbedret offentlig belysning og v) lokale energifællesskaber eller andre samfundsstyrede projekter i disse kommuner.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Med henblik herpå offentliggøres retsgrundlaget og indkaldelsen af investeringsstøtte til lokale myndigheder i Den Europæiske Unions Tidende. </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30. juni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5 (C2.I5) — Rehabiliteringsprogram for offentlige bygninger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denne foranstaltning er at støtte energirenovering i offentlige bygninger, herunder inden for offentlig forvaltning, uddannelse, social omsorg, sport, sundhed, kulturelle eller offentlige tjenesteydelser. Mindst 1 230 000 m² offentlige bygninger skal renoveres, således at der opnås en gennemsnitlig reduktion af primærenergiefterspørgslen på mindst 30 % verificeret ved energiattester. Foranstaltningen støtter: i) forbedring af anvendelsen af vand, materialer, affaldshåndtering og tilpasning til klimaændringer ii) forbedring af bygningernes tilgængelighed iii) fjernelse af farlige stoffer og forbedring af indendørs luftkvalitet og iv) bevarelse af bygninger. </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30. juni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6 (C2.I6) — Støtteprogram til udvikling af pilotprojekter for lokale handlingsplaner under den spanske dagsorden for byerne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støtte lokale myndigheder i gennemførelsen af de ti strategiske mål i den spanske dagsorden for byerne ved at godkende mindst 100 lokale handlingsplaner. De ti strategiske mål for den spanske dagsorden for byerne er: i) planlægge og anvende arealanvendelsen mere rationelt, bevare og beskytte den ii) undgå byspredning og puste nyt liv i eksisterende byer iii) forebygge og mindske virkningerne af klimaændringer og modstandsdygtighed iv) anvendelse af ressourcer på en bæredygtig måde og fremme af den cirkulære økonomi v) fremme af nærhed og bæredygtig mobilitet vi) at fremme social samhørighed og stræbe efter ligestilling vii) fremme og tilskyndelse af byøkonomien viii) sikring af adgang til bolig ix) at lede og fremme digital innovation og x) forbedring af instrumenter til deltagelse og styring.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Foranstaltningen skal i) tjene som rollemodel og vejledning for andre lokale myndigheder i forbindelse med udarbejdelsen af deres egne handlingsplaner; ii) gennemføre den spanske dagsorden for byerne med handlingsplaner på lokalt plan og iii) at gennemføre konkrete projekter som led i de lokale handlingsplaner for at fremhæve potentialet i den spanske dagsorden for byerne. Støtten tildeles gennem konkurrencebaserede udbud og omfatter navnlig tværgående og integrerede projekter med en strategisk vision og gennem en forvaltningsmodel, der sikrer den bredest mulige deltagelse.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Investeringerne under denne foranstaltning skal være afsluttet senest den 31. december 2022.</w:t>
      </w:r>
    </w:p>
    <w:p>
      <w:pPr>
        <w:spacing w:before="120" w:after="120" w:line="240" w:lineRule="auto"/>
        <w:ind w:left="709"/>
        <w:jc w:val="both"/>
        <w:rPr>
          <w:rFonts w:ascii="Times New Roman" w:hAnsi="Times New Roman" w:cs="Times New Roman"/>
          <w:b/>
          <w:noProof/>
          <w:sz w:val="24"/>
          <w:u w:val="single"/>
        </w:rPr>
      </w:pPr>
      <w:r>
        <w:rPr>
          <w:rFonts w:ascii="Times New Roman" w:hAnsi="Times New Roman"/>
          <w:b/>
          <w:bCs/>
          <w:noProof/>
          <w:sz w:val="24"/>
          <w:u w:val="single"/>
        </w:rPr>
        <w:t xml:space="preserve">B.2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sz w:val="24"/>
          <w:szCs w:val="24"/>
        </w:rPr>
        <w:sectPr>
          <w:headerReference w:type="even" r:id="rId31"/>
          <w:headerReference w:type="default" r:id="rId32"/>
          <w:footerReference w:type="even" r:id="rId33"/>
          <w:footerReference w:type="default" r:id="rId34"/>
          <w:headerReference w:type="first" r:id="rId35"/>
          <w:footerReference w:type="first" r:id="rId36"/>
          <w:pgSz w:w="11907" w:h="16839"/>
          <w:pgMar w:top="1134" w:right="1417" w:bottom="1134" w:left="1417" w:header="709" w:footer="709" w:gutter="0"/>
          <w:cols w:space="720"/>
          <w:docGrid w:linePitch="360"/>
        </w:sect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den 1. februar 2020 , medmindre andet er angivet i beskrivelsen af foranstaltningen. Beløbene i tabellen omfatter ikke moms.</w:t>
      </w: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985"/>
        <w:gridCol w:w="1134"/>
        <w:gridCol w:w="850"/>
        <w:gridCol w:w="709"/>
        <w:gridCol w:w="851"/>
        <w:gridCol w:w="425"/>
        <w:gridCol w:w="567"/>
        <w:gridCol w:w="6379"/>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198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2410"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637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985"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637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den spanske dagsorden for byerne og den langsigtede renoveringsstrategi for energirehabilitering i byggesektoren i Spanien.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37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den spanske dagsorden for byerne som en national bypolitik, der skal sikre en integreret og omfattende strategisk planlægning af byer, og ajourføringen i 2020 af den langsigtede renoveringsstrategi (LTRS) for energirehabilitering i byggesektoren i Spanien (ERESEE). Formålet med ERESEE-strategien er at stille en diagnose over bygningsmassen i Spanien og fjerne hindringer og skabe nye tilgange til at opskalere bygningsrenovering, fremme investeringer i sektoren, øge energibesparelserne og reducere kulstofemissionerne i overensstemmelse med klimamålene.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21bis</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C2.R2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color w:val="000000"/>
                <w:sz w:val="18"/>
                <w:szCs w:val="18"/>
                <w:highlight w:val="yellow"/>
              </w:rPr>
            </w:pPr>
            <w:r>
              <w:rPr>
                <w:rFonts w:ascii="Times New Roman" w:hAnsi="Times New Roman"/>
                <w:noProof/>
                <w:color w:val="000000"/>
                <w:sz w:val="18"/>
                <w:szCs w:val="18"/>
              </w:rPr>
              <w:t>Offentliggørelse af arbejdsgruppernes henstillinger om at gennemføre strategien for langsigtet renovering i Spanien</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highlight w:val="yellow"/>
              </w:rPr>
            </w:pPr>
            <w:r>
              <w:rPr>
                <w:rFonts w:ascii="Times New Roman" w:hAnsi="Times New Roman"/>
                <w:noProof/>
                <w:color w:val="000000"/>
                <w:sz w:val="18"/>
                <w:szCs w:val="18"/>
              </w:rPr>
              <w:t>Offentliggørelse af arbejdsgruppernes anbefalinger</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37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Offentliggørelse af detaljerede anbefalinger fra arbejdsgrupperne om at gennemføre ajourføringen i 2020 af den langsigtede renoveringsstrategi (LTRS) for energirehabilitering i byggesektoren i Spanien (ERESEE). Formålet med ERESEE-strategien er at stille en diagnose over bygningsmassen i Spanien og fjerne hindringer og skabe nye tilgange til at opskalere bygningsrenovering, fremme investeringer i sektoren, øge energibesparelserne og reducere kulstofemissionerne i overensstemmelse med klimamålene. Med henblik på at gennemføre ERESEE nedsættes der flere arbejdsgrupper med henblik på at udarbejde klare anbefalinger til gennemførelsen af handlingsplanen for byrenovering- og fornyelse. De detaljerede anbefalinger skal omfatte en køreplan og metodevejledninger for hver foranstaltning, der skal træffes og rettes til alle involverede aktører (offentlig forvaltning, interessenter osv.).</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Boliglovens ikrafttræden, herunder foranstaltninger til støtte for en forøgelse af boligudbuddet i overensstemmelse med næsten energineutrale bygninger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boligloven om ikrafttræden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37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Boligloven skal omhandle forskellige planlægnings-, programmerings- og samarbejdsinstrumenter med henblik på at sikre korrekt opfyldelse af retten til en anstændig og passende bolig, herunder, som en af prioriteterne, rehabilitering og forbedring af den eksisterende boligmasse samt sanering og renovering af de boligmiljøer, hvor de er beliggende. Loven skal tilskynde til en forøgelse af udbuddet af socialt boligbyggeri til overkommelige priser ved at sikre overholdelse af de krav, der i øjeblikket er fastsat for næsten energineutrale bygninger i henhold til det grundlæggende energibesparelsesdokument (DB-HE) i den tekniske bygningslov (TBL).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Ikrafttræden af lov om arkitekturens og bygningsmiljøets kvalitet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lov om arkitekturens og bygningsmiljøets kvalitet ved ikrafttrædelsen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37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Vedtagelse af loven om arkitekturkvalitet og bygningsmiljø, herunder en integreret tilgang til rehabilitering, som skal fremme væksten af næsten energineutrale bygninger, ikke kun blandt nye bygninger, men også mellem eksisterende bygninger. Loven skal fastsætte princippet om kvalitet i arkitektur og bebyggede omgivelser, fastsætte miljømæssig bæredygtighed og bidrage til opfyldelsen af energieffektivitetsmålene som et af de vigtigste vurderingskriterier og lede den nødvendige rehabilitering af parken i retning af en integreret tilgang til rehabilitering.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C2.R5</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Ikrafttrædelsen af kongelig anordning om renoveringskontorer ("one-stop shops")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Bestemmelse i den kongelige anordning om genopbygningskontorer ved ikrafttrædelsen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2021</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Vedtagelse af kongeligt dekret, der fastsætter anvendelsesområdet for renoveringskontorer ("one-stop shops") og finansieringen heraf. Sektorboligkonferencen er blevet afholdt, og den offentlige informationsfase og andre retlige procedurer skal være afsluttet inden færdiggørelsen af det kongelige dekret.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C2.R6</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Ikrafttrædelsen af ændringerne af den horisontale ejendomslov for at lette finansieringen af rehabilitering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Bestemmelse i den horisontale lov om ejendomsret ved ikrafttrædelsen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2022</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Ændringer af lov 49/1960 (horisontal lov om fast ejendom) af 21. juli om medejerskab for at fremme ejerfællesskabets gennemførelse af renovering og forbedringer af bygninger og adgang til finansiering. Formålet med ændringsforslaget er at gøre det lettere for ejerfællesskaber at gennemføre bygningsrenoveringsarbejder, der bidrager til at forbedre energieffektiviteten, og at lette adgangen til bankfinansiering.</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Ikrafttrædelsen af det kongelige dekret om de lovgivningsmæssige rammer for gennemførelsen af fornyelsesprogrammet og kongeligt lovdekret om indkomstskatteincitamenter til støtte for programmet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Bestemmelse i den kongelige anordning og de kongelige love om ikrafttræden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2021</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Vedtagelse af et kongeligt dekret, der fastlægger de lovgivningsmæssige rammer for gennemførelsen af fornyelsesprogrammet og et kongeligt lovdekret om indkomstskatteincitamenter til støtte for programmet. Det kongelige dekret, der definerer regelsættet, fastsætter de tekniske krav, der skal sikre overholdelse af den gennemsnitlige reduktion på 30 % i forbruget af ikke-vedvarende primærenergi. Sektorkonferencen om boliger afholdes, og den offentlige informationsfase og andre retlige procedurer afsluttes inden færdiggørelsen af det kongelige dekret.</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Færdiggørelse af renoveringsforanstaltninger for boliger med en gennemsnitlig reduktion af primærenergiefterspørgslen på mindst 30 % (231 000 aktioner i mindst 160 000 unikke boliger)</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231 000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Mindst 231 000 renoveringstiltag for boliger i mindst 160 000 enkeltinstallationer afsluttet med en gennemsnitlig reduktion af primærenergiefterspørgslen på mindst 30 % (kumulativt). I forbindelse med indikatoren skal begrebet boliger være i overensstemmelse med Eurostats definition "En bolig er et lokale eller en række af rum — herunder tilbehør, lobbyer og gange — i en permanent bygning eller en strukturelt adskilt del af en bygning, som på den måde, den er blevet opført, genopført eller ombygget, er beregnet til beboelse af en privat husstand hele året rundt, og kan, hvor det er relevant, omfatte sociale eller offentlige boliger. De anvendte indikatorer til forbedring af energimæssig ydeevne skal være akkrediteret ved hjælp af den relevante energiattest inden for rammerne af Europa-Parlamentets og Rådets direktiv 2010/31/EU af 19. maj 2010 om bygningers energimæssige ydeevne. Antallet af boligrehabiliteringsaktioner fastsættes som summen af alle forbedrings- og rehabiliteringstiltag (inden for de afgrænsede kvarterer, på bygnings- eller boligplan), der gennemføres ved gennemførelse af en af støttelinjerne (fuld rehabilitering eller bygningsdel) eller skatteincitamenter. Den gennemsnitlige besparelsesprocent for ikkevedvarende primærenergiforbrug med henblik på at overholde minimumsværdien på 30 % beregnes ved at vægte sættet af rehabiliteringsaktioner med det støttebeløb eller den finansiering, der anvendes i henhold til genopretnings- og resiliensplanen. Denne indikator omfatter forbedrings- og rehabiliteringstiltag i alle kommuner, uanset deres størrelse. For at dokumentere, at de opnåede energibesparelser overholdes, kræves der energiattester for færdiggjorte arbejder, som aggregeres for at bekræfte de gennemsnitlige opnåede energibesparelser.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Hektar jord i områder eller kvarterer, der skal fornyes, med en gennemsnitlig reduktion af primærenergiefterspørgslen på mindst 30 %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Antal (hektar)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Mindst 600 hektar jord i områder eller bydele, der skal fornyes (kumulativt tal). Dette tal omfatter arealet af de distrikter eller byområder, der har været genstand for aktioner på grundlag af aftaler under programmet. Foranstaltningerne gennemføres ved at sikre de tekniske krav for at sikre overholdelse af den gennemsnitlige reduktion på 30 % i forbruget af ikkevedvarende primærenergi ved renovering af bygninger. For at dokumentere, at de opnåede energibesparelser overholdes, kræves der energiattester for færdiggjorte arbejder, som aggregeres for at bekræfte de gennemsnitlige opnåede energibesparelser.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Færdiggørelse af renoveringsforanstaltninger for boliger med en gennemsnitlig reduktion af primærenergiefterspørgslen på mindst 30 % (510 000 aktioner i mindst 355 000 unikke boliger)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231 000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510 000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Mindst 510 000 renoveringstiltag for boliger i mindst 355 000 enkeltinstallationer afsluttet med en gennemsnitlig reduktion af primærenergiefterspørgslen på mindst 30 % (kumulativt). I forbindelse med indikatoren skal begrebet boliger være i overensstemmelse med Eurostats definition "En bolig er et lokale eller en række af rum — herunder tilbehør, lobbyer og gange — i en permanent bygning eller en strukturelt adskilt del af en bygning, som på den måde, den er blevet opført, genopført eller ombygget, er beregnet til beboelse af en privat husstand hele året rundt, og kan, hvor det er relevant, omfatte sociale eller offentlige boliger. De anvendte indikatorer til forbedring af energimæssig ydeevne skal være akkrediteret ved hjælp af den relevante energiattest inden for rammerne af Europa-Parlamentets og Rådets direktiv 2010/31/EU af 19. maj 2010 om bygningers energimæssige ydeevne. Antallet af boligrenoveringer fastsættes som summen af alle forbedrings- og rehabiliteringstiltag (inden for de afgrænsede kvarterer, på bygnings- eller boligplan), der gennemføres ved gennemførelse af en af støttelinjerne (fuld rehabilitering eller bygningsdel) eller skatteincitamenter. Den gennemsnitlige besparelsesprocent for ikkevedvarende primærenergiforbrug med henblik på at overholde minimumsværdien på 30 % beregnes ved at vægte sættet af rehabiliteringsaktioner med det støttebeløb eller den finansiering, der anvendes i henhold til genopretnings- og resiliensplanen. Denne indikator omfatter forbedrings- og rehabiliteringstiltag i alle kommuner, uanset deres størrelse. For at dokumentere, at de opnåede energibesparelser overholdes, kræves der energiattester for færdiggjorte arbejder, som aggregeres for at bekræfte de gennemsnitlige opnåede energibesparelser. (referenceniveau: 31. december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30</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Ikrafttræden af det kongelige dekret om fastlæggelse af de lovgivningsmæssige rammer for gennemførelsen af programmet for energieffektive sociale lejeboliger, der opfylder energieffektive kriterier </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den kongelige anordning om ikrafttræden</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637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Vedtagelse af det kongelige dekret om fastlæggelse af de lovgivningsmæssige rammer for gennemførelsen af programmet for energieffektive sociale lejeboliger, der opfylder energieffektive kriterier. I den kongelige anordning fastsættes de tekniske krav, der skal sikre, at målsætningen om at opfylde et behov for primærenergi (PED) ved opførelsen af bygninger er mindst 20 % lavere end kravet om næsten energineutrale bygninger i henhold til de nationale retningslinjer. Med henblik herpå skal der stilles krav om, at værdien af ikkevedvarende primærenergiforbrug begrænses til 80 % af den grænse, der er fastsat i afsnit HE 0 i det grundlæggende energibesparelsesdokument (DB-HE) i den tekniske bygningslov (TBL). Sektorkonferencen om boliger afholdes, og den offentlige informationsfase og andre retlige procedurer afsluttes inden færdiggørelsen af det kongelige dekret.</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Nye boliger, der er bygget til social leje eller til overkommelige priser i overensstemmelse med energieffektive kriterier</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Mindst 20 000 boliger bygget til social leje eller til overkommelige priser i overensstemmelse med energieffektive kriterier. Dette tal svarer til antallet af boliger, for hvilke byggeriet skal færdiggøres, og skal omhandle social leje til overkommelige priser, dokumenteret ved en attest eller dokumentation for, at boligerne er færdiggjort og anvendt af den kompetente myndighed. Desuden skal overholdelsen af kravet om at begrænse værdien af ikkevedvarende primærenergiforbrug til 80 % af den grænse, der er fastsat i afsnit HE 0 i Basic Energy Saving Document (DB-HE) i koden for teknisk bygning (den tekniske bygningslov — TBL), sikres ved hjælp af en energiattest.</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Tildeling af renoveringer for boliger og erhvervsbygninger med en gennemsnitlig reduktion af primærenergiefterspørgslen på mindst 30 %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Samlede koncessionsbeslutninger truffet af selvstyrende regioner</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2023</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Svarende til mindst 40 000 renoveringer af boliger og 690 000 m² tildelte erhvervsbygninger med en gennemsnitlig reduktion af primærenergiefterspørgslen på mindst 30 %. Ækvivalens defineres i forhold til de respektive gennemsnitlige energibesparelser pr. m 2 for hver interventionstype. I forbindelse med indikatoren skal begrebet boliger være i overensstemmelse med Eurostats definition "En bolig er et lokale eller en række af rum — herunder tilbehør, lobbyer og gange — i en permanent bygning eller en strukturelt adskilt del af en bygning, som på den måde, den er blevet opført, genopført eller ombygget, er beregnet til beboelse af en privat husstand hele året rundt, og kan, hvor det er relevant, omfatte sociale eller offentlige boliger. De anvendte indikatorer til forbedring af energimæssig ydeevne skal være akkrediteret ved hjælp af den relevante energiattest inden for rammerne af Europa-Parlamentets og Rådets direktiv 2010/31/EU af 19. maj 2010 om bygningers energimæssige ydeevne.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Færdiggørelse af renoveringer af boliger og erhvervsbygninger med en gennemsnitlig reduktion af primærenergiefterspørgslen på mindst 30 %.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Aggregerede energiattester for færdiggjorte arbejder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Svarende til mindst 40 000 boliger og 690 000 m² renoverede erhvervsbygninger med en gennemsnitlig reduktion af primærenergiefterspørgslen på mindst 30 %. Ækvivalens defineres i forhold til de respektive gennemsnitlige energibesparelser pr. m 2 for hver interventionstype. I forbindelse med indikatoren skal begrebet boliger være i overensstemmelse med Eurostats definition "En bolig er et lokale eller en række af rum — herunder tilbehør, lobbyer og gange — i en permanent bygning eller en strukturelt adskilt del af en bygning, som på den måde, den er blevet opført, genopført eller ombygget, er beregnet til beboelse af en privat husstand hele året rundt, og kan, hvor det er relevant, omfatte sociale eller offentlige boliger. De anvendte indikatorer til forbedring af energimæssig ydeevne skal være akkrediteret ved hjælp af den relevante energiattest inden for rammerne af Europa-Parlamentets og Rådets direktiv 2010/31/EU af 19. maj 2010 om bygningers energimæssige ydeevne. For at dokumentere, at de opnåede energibesparelser overholdes, kræves der energiattester for færdiggjorte arbejder, som aggregeres for at bekræfte de gennemsnitlige opnåede energibesparelser.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C2.I4</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Renovering af boliger i kommuner med mindre end 5 000 indbyggere afsluttet med en gennemsnitlig reduktion af primærenergiefterspørgslen på mindst 30 %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26 000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Mindst 26 000 boliger renoverede i kommuner med under 5 000 indbyggere, hvilket i gennemsnit resulterede i en reduktion af primærenergiefterspørgslen på mindst 30 %. For at dokumentere, at de opnåede energibesparelser overholdes, kræves der energiattester for færdiggjorte arbejder, som aggregeres for at bekræfte de gennemsnitlige opnåede energibesparelser.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C2.I4</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Projekter vedrørende ren energi i kommuner med under 5 000 indbyggere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250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Mindst 250 unikke projekter om ren energi, der er afsluttet på lokalt plan i kommuner med under 5 000 indbyggere. Egenskaber: Projekter, herunder projekter, der tildeles efter udbud eller investeringer foretaget af lokale myndigheder, i en udvælgelse eller kombination af følgende: - installation af elektricitet, opvarmning og køling, der kan fornys, til offentlige bygninger eller infrastrukturer (herunder mindst 80 % egetforbrug) Kan omfatte fjernvarme/fjernkøling. — Energifornyelse af offentlige bygninger eller infrastrukturer (med en primærenergibesparelse på mindst 30 %) — Bæredygtig mobilitet (projekter for trafikoverflytning eller elektrisk mobilitet) — reduktion af lysforurening gennem forbedret offentlig belysning — Lokale energifællesskaber eller andre samfundsstyrede projekter i disse kommuner.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C2.I5</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Afslutning af renoveringer af offentlige bygninger med en gennemsnitlig reduktion af primærenergiefterspørgslen på mindst 30 % (290 000 m 2 )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Antal (m</w:t>
            </w:r>
            <w:r>
              <w:rPr>
                <w:rFonts w:ascii="Times New Roman" w:hAnsi="Times New Roman"/>
                <w:noProof/>
                <w:color w:val="000000"/>
                <w:sz w:val="18"/>
                <w:szCs w:val="18"/>
                <w:vertAlign w:val="superscript"/>
              </w:rPr>
              <w:t>2</w:t>
            </w:r>
            <w:r>
              <w:rPr>
                <w:rFonts w:ascii="Times New Roman" w:hAnsi="Times New Roman"/>
                <w:noProof/>
                <w:color w:val="000000"/>
                <w:sz w:val="18"/>
                <w:szCs w:val="18"/>
              </w:rPr>
              <w:t>)</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290 000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2024</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Mindst 290 000 m 2 ( kumulativt) af renoverede offentlige bygninger med en gennemsnitlig reduktion på mindst 30 % i efterspørgslen efter primærenergi. Kontrol af attester for afslutning af arbejdet eller godkendelse af arbejderne (selvstyrende regioner) eller dokumentation fra hver af de kommuner, der modtager dem, jf. artikel 30 i loven om tilskud (38/2003), kontrolleres efter projektets afslutning (EELL). For at retfærdiggøre, at de opnåede energibesparelser overholdes, kræves energiattestering af færdiggjorte arbejder og aggregeres for at bekræfte de gennemsnitlige opnåede energibesparelser.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C2.I5</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Afslutning af renoveringer af offentlige bygninger med en gennemsnitlig reduktion af primærenergiefterspørgslen på mindst 30 % (1 230 000 m 2)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Antal (m</w:t>
            </w:r>
            <w:r>
              <w:rPr>
                <w:rFonts w:ascii="Times New Roman" w:hAnsi="Times New Roman"/>
                <w:noProof/>
                <w:color w:val="000000"/>
                <w:sz w:val="18"/>
                <w:szCs w:val="18"/>
                <w:vertAlign w:val="superscript"/>
              </w:rPr>
              <w:t>2</w:t>
            </w:r>
            <w:r>
              <w:rPr>
                <w:rFonts w:ascii="Times New Roman" w:hAnsi="Times New Roman"/>
                <w:noProof/>
                <w:color w:val="000000"/>
                <w:sz w:val="18"/>
                <w:szCs w:val="18"/>
              </w:rPr>
              <w:t>)</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290 000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1 230 000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Mindst 1 230 000 m 2 (kumulativt) af renoverede offentlige bygninger med en gennemsnitlig reduktion på mindst 30 % i efterspørgslen efter primærenergi. Kontrol af attester for afslutning af arbejdet eller godkendelse af arbejderne (selvstyrende regioner) eller dokumentation fra hver af de kommuner, der modtager dem, jf. artikel 30 i loven om tilskud (38/2003), kontrolleres efter projektets afslutning (EELL). For at retfærdiggøre, at de opnåede energibesparelser overholdes, kræves energiattestering af færdiggjorte arbejder og aggregeres for at bekræfte de gennemsnitlige opnåede energibesparelser. (referenceniveau: 31. december 2024.)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38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C2.I6</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Handlingsplaner under den spanske dagsorden for byerne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szCs w:val="18"/>
              </w:rPr>
              <w:t>2022</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szCs w:val="18"/>
              </w:rPr>
              <w:t xml:space="preserve">Mindst 100 kommuner skal have deres lokale handlingsplan (bystrategi) godkendt og udstyret med de kriterier, der er fastsat i den spanske dagsorden for byerne, herunder en vurdering og indsatsområder i overensstemmelse med dens ti strategiske mål </w:t>
            </w:r>
          </w:p>
        </w:tc>
      </w:tr>
    </w:tbl>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sectPr>
          <w:headerReference w:type="even" r:id="rId37"/>
          <w:headerReference w:type="default" r:id="rId38"/>
          <w:footerReference w:type="even" r:id="rId39"/>
          <w:footerReference w:type="default" r:id="rId40"/>
          <w:headerReference w:type="first" r:id="rId41"/>
          <w:footerReference w:type="first" r:id="rId42"/>
          <w:pgSz w:w="16839" w:h="11907" w:orient="landscape"/>
          <w:pgMar w:top="1417" w:right="1134" w:bottom="1417" w:left="1134" w:header="709" w:footer="709" w:gutter="0"/>
          <w:cols w:space="720"/>
          <w:docGrid w:linePitch="360"/>
        </w:sectPr>
      </w:pPr>
    </w:p>
    <w:p>
      <w:pPr>
        <w:pStyle w:val="Heading1"/>
        <w:rPr>
          <w:noProof/>
        </w:rPr>
      </w:pPr>
      <w:r>
        <w:rPr>
          <w:noProof/>
        </w:rPr>
        <w:t>C. KOMPONENT 03: Miljømæssig og digital omstilling af landbrugs- og Fiskerisystemet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Denne komponent i den spanske genopretnings- og resiliensplan har til formål at forbedre bæredygtigheden, konkurrenceevnen og modstandsdygtigheden i landbrugs- og fiskerisektoren økonomisk, miljømæssigt og socialt. For at nå dette mål fokuserer de investeringer og reformer, der indgår i denne komponent i den spanske genopretnings- og resiliensplan, på følgende elementer:</w:t>
      </w:r>
    </w:p>
    <w:p>
      <w:pPr>
        <w:numPr>
          <w:ilvl w:val="0"/>
          <w:numId w:val="29"/>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forbedring af kunstvandingers effektivitet og bæredygtighed</w:t>
      </w:r>
    </w:p>
    <w:p>
      <w:pPr>
        <w:numPr>
          <w:ilvl w:val="0"/>
          <w:numId w:val="29"/>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fremme af landbrugets og husdyrbrugets bæredygtighed og konkurrenceevne</w:t>
      </w:r>
    </w:p>
    <w:p>
      <w:pPr>
        <w:numPr>
          <w:ilvl w:val="0"/>
          <w:numId w:val="29"/>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vedtagelse af en strategi til fremme af digitaliseringen i landbrugsfødevaresektoren og i landdistrikterne som helhed og</w:t>
      </w:r>
    </w:p>
    <w:p>
      <w:pPr>
        <w:numPr>
          <w:ilvl w:val="0"/>
          <w:numId w:val="2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fremme af bæredygtighed, forskning, innovation og digitalisering af fiskerisektoren.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Komponenten vedrører de landespecifikke henstillinger om fremme af investeringer i innovation og energieffektivitet (landespecifik henstilling nr. 3 fra 2019), forbedring af adgangen til digital læring (landespecifik henstilling nr. 2 fra 2020) og om fremme af offentlige og private investeringer og fremme af den grønne omstilling (landespecifik henstilling nr. 3 fra 2020).</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 </w:t>
      </w:r>
    </w:p>
    <w:p>
      <w:pPr>
        <w:spacing w:before="120" w:after="120" w:line="240" w:lineRule="auto"/>
        <w:ind w:left="720"/>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C.1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1 (C3.R1) — Ændring af reglerne for handelsforbindelser i fødevarekæden, herunder ændring af lov nr. 12/2013 af 2. august 2007 om foranstaltninger til forbedring af fødevarekædens funktion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forbedre fødevarekædens funktion ved at ændre den nationale lovgivning om handelsforbindelser i fødevarekæden (lov nr. 12/2013), herunder, men gå videre end gennemførelsen af direktiv (EU) 2019/633. Foranstaltningen skal mindst omfatte:</w:t>
      </w:r>
    </w:p>
    <w:p>
      <w:pPr>
        <w:numPr>
          <w:ilvl w:val="0"/>
          <w:numId w:val="30"/>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Udvidelse af lovens anvendelsesområde ved at medtage i) handelsforbindelser til både medlemsstater og tredjelande, når en erhvervsdrivende er etableret i Spanien, og ii) råvarer og andre produkter, der er omfattet af bilag I til traktaten om Den Europæiske Unions funktionsmåde</w:t>
      </w:r>
    </w:p>
    <w:p>
      <w:pPr>
        <w:numPr>
          <w:ilvl w:val="0"/>
          <w:numId w:val="30"/>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udvide minimumsindholdet af fødevarekontrakter ved at medtage i) kontraktmæssige sanktioner, ii) undtagelser som følge af force majeure og iii) en henvisning til de involverede parters anmodning om mægling for at behandle tilfælde af manglende enighed</w:t>
      </w:r>
    </w:p>
    <w:p>
      <w:pPr>
        <w:numPr>
          <w:ilvl w:val="0"/>
          <w:numId w:val="30"/>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udvidelse af listen over urimelig handelspraksis såsom ensidig ændring af kontrakter med hensyn til volumen eller tilbagelevering af usolgte produkter og</w:t>
      </w:r>
    </w:p>
    <w:p>
      <w:pPr>
        <w:numPr>
          <w:ilvl w:val="0"/>
          <w:numId w:val="30"/>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som ANERKENDER fødevareinformations- og -kontrolagenturet som det organ, der er ansvarligt for at etablere og udvikle det kontrolsystem, der er nødvendigt for at kontrollere overholdelsen af lovgivningen på nationalt plan, og som et kontaktpunkt for samarbejde mellem håndhævelsesmyndigheder samt med Europa-Kommissionen og de selvstyrende regioner inden for deres respektive territoriale områder.</w:t>
      </w:r>
      <w:r>
        <w:rPr>
          <w:rFonts w:ascii="Times New Roman" w:hAnsi="Times New Roman"/>
          <w:noProof/>
          <w:sz w:val="24"/>
        </w:rPr>
        <w:tab/>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Foranstaltningen supplerer i) kongeligt lovdekret 5/2020 af 25. februar 2020, som vedtog hasteforanstaltninger vedrørende landbrug og fødevarer, og ii) lov nr. 8/2020 om ændring af lov nr. 12/2013 om hasteforanstaltninger til forbedring af fødevarekædens funktion.</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2 (C3.R2) — Udvikling og revision af lovrammerne for husdyrbrugets miljømæssige bæredygtighed</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foranstaltning skal forbedre husdyrbrugets miljømæssige bæredygtighed ved at udvikle og revidere de lovgivningsmæssige rammer som følger:</w:t>
      </w:r>
    </w:p>
    <w:p>
      <w:pPr>
        <w:numPr>
          <w:ilvl w:val="0"/>
          <w:numId w:val="31"/>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udvikling af et generelt register over bedste tilgængelige teknik (BAT) for at lette beregninger af forurenende emissioner og drivhusgasemissioner på svine- og fjerkræbedrifter samt dækning af andre miljødata. Den skal give en bedre vurdering af husdyravlernes overholdelse af forpligtelserne vedrørende drivhusgasemissioner og forurenende gasemissioner</w:t>
      </w:r>
    </w:p>
    <w:p>
      <w:pPr>
        <w:numPr>
          <w:ilvl w:val="0"/>
          <w:numId w:val="31"/>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gradvis revision af planlovgivningen i husdyrsektoren, som fastsætter krav til beliggenhed, afstand, størrelse, sundhedsforhold, biosikkerhed og miljø- og dyrevelfærdsinfrastruktur på bedrifter i sektorer, der allerede har den (svineavl), samt etablering af nye lovgivningsmæssige rammer for sektorer (fjerkræavl), som endnu ikke var blevet reguleret. Den fastlægger individuelle sektorbestemte emissionsreduktionstilsagn, der fastsætter krav i overensstemmelse med deres bidrag til produktion af forurenende gasser, under anvendelse af proportionalitetsprincippet.</w:t>
      </w:r>
    </w:p>
    <w:p>
      <w:pPr>
        <w:spacing w:before="120" w:after="120" w:line="240" w:lineRule="auto"/>
        <w:jc w:val="both"/>
        <w:rPr>
          <w:rFonts w:ascii="Times New Roman" w:hAnsi="Times New Roman" w:cs="Times New Roman"/>
          <w:noProof/>
          <w:sz w:val="24"/>
        </w:rPr>
      </w:pPr>
      <w:r>
        <w:rPr>
          <w:rFonts w:ascii="Times New Roman" w:hAnsi="Times New Roman"/>
          <w:noProof/>
          <w:sz w:val="24"/>
        </w:rPr>
        <w:t>Foranstaltningen omfatter begge lovbestemmelser, der skal offentliggøres inden udgangen af 2022. Den forventer også, at gennemførelsen af det generelle register over BATO'er vil være operationel for svine- og fjerkræbedrifter senest den 31. december 2023. Anvendelsen af den reviderede planlægningslovgivning skal ske gradvis inden for ca. to år efter offentliggørelsen.</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3 (C3.R3) — Lovgivningsmæssige rammer for bæredygtig ernæring i landbrugsjord og lovgivning om forurening af landbrugsoprindelse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regulere landbrugsgødskning for at tackle de forskellige kilder til næringsstoftilførsel til landbrugsjord på en konsekvent måde. Den skal desuden yde teknisk rådgivning til landbrugere for at hjælpe dem med at overholde lovkravene og rationalisere gødskning. Dette skal: i) tage fat på klimaændringernes negative virkninger ii) mindske vandforureningen med nitrater og fosfater af landbrugsoprindelse og iii) forbedre luftkvaliteten.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 foreslåede lovgivningsmæssige ramme er knyttet til et andet retsinstrument: udkastet til kongelig anordning om beskyttelse af vand mod diffus forurening forårsaget af nitrater, der stammer fra landbruget (som erstatter kongeligt dekret 261/1996 af 16. februar). Den knytter sig også til udarbejdelsen af en handlingsplan for forebyggelse, korrektion og reduktion af diffus forurening forårsaget af nitrater, navnlig fra landbruget. Denne foranstaltning skal indføre et kongeligt dekret til gennemførelse af direktiv 91/676/EØF af 12. december 1991 om beskyttelse af vand mod forurening forårsaget af nitrater, der stammer fra landbruget, og som pålægger mere ambitiøse mål end nitratdirektivet og øger konvergensen med vandplanlægningsmålene i vandrammedirektivet.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Gennemførelsen af reformerne skal være afsluttet senest den 31. marts 2023.</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4 (C3.R4) — Fremme af forvaltningen og en bæredygtig forvaltning af den spanske kunstvanding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etablere en forvaltningsmekanisme på nationalt plan, der gør det muligt for alle berørte sektorer og niveauer af offentlige myndigheder at samarbejde om kunstvanding. Dette omfatter miljømæssig bæredygtighed, gennemførelseskriterier og aspekter vedrørende gældende lovgivning. Med foranstaltningen oprettes der et observatorium for kunstvandingers bæredygtighed i Spanien, som skal levere data om de økonomiske, sociale og miljømæssige virkninger af kunstvanding i området.</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Reformen skal være gennemført senest den 31. december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5 (C3.R5) — Gennemførelse af handlingsplan II i strategien for digitalisering af landbrugsfødevarer og landdistrikter.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foranstaltning har til formål at fortsætte gennemførelsen af den spanske strategi for digitalisering af landbrugsfødevarer og landdistrikter, som den spanske regering vedtog i marts 2019. Foranstaltningen skal indeholde en anden handlingsplan, der opfylder strategiens tre grundlæggende mål: i) mindskelse af den digitale kløft ii) fremme af anvendelsen af data og iii) fremme af virksomhedsudvikling og nye forretningsmodeller.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Foranstaltningen skal fortsat støtte indførelse og inkorporering af digitale processer og færdigheder i den økonomiske aktivitet, der er knyttet til landdistrikterne og deres sociale struktur. Foranstaltningen skal udforme, udarbejde og gennemføre den anden handlingsplan for digitaliseringsstrategien for landbrugsfødevaresektoren og landdistrikterne.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Gennemførelsen af reformerne skal være afsluttet senest den 31. december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6 (C3.R6) — Revision af de nationale rammebestemmelser for regulering af bæredygtigt fiskeri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dobbelt. i) tilskynde til integration af økonomisk og social bæredygtighed i fiskeriforvaltningen ii) skabe større retssikkerhed for alle aktører i fiskerisektoren og iii) skabe større gennemsigtighed, modernisering og digitalisering i fiskeriforvaltningen. Foranstaltningen skal tage hensyn til målene for EU's politikker og udfordringer, herunder reformen af den fælles fiskeripolitik, biodiversitetsstrategien for 2030, havstrategierne og målene for bæredygtig udvikling.</w:t>
      </w:r>
    </w:p>
    <w:p>
      <w:pPr>
        <w:spacing w:before="120" w:after="120" w:line="240" w:lineRule="auto"/>
        <w:jc w:val="both"/>
        <w:rPr>
          <w:rFonts w:ascii="Times New Roman" w:hAnsi="Times New Roman" w:cs="Times New Roman"/>
          <w:noProof/>
          <w:sz w:val="24"/>
        </w:rPr>
      </w:pPr>
      <w:r>
        <w:rPr>
          <w:rFonts w:ascii="Times New Roman" w:hAnsi="Times New Roman"/>
          <w:noProof/>
          <w:sz w:val="24"/>
        </w:rPr>
        <w:t>For at nå disse mål skal foranstaltningen opfylde følgende mål:</w:t>
      </w:r>
    </w:p>
    <w:p>
      <w:pPr>
        <w:numPr>
          <w:ilvl w:val="0"/>
          <w:numId w:val="32"/>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 xml:space="preserve">revision af den nuværende fiskerilov for at tilpasse den til de nye bæredygtighedskriterier og forskningsbehov inden for fiskeriet </w:t>
      </w:r>
    </w:p>
    <w:p>
      <w:pPr>
        <w:numPr>
          <w:ilvl w:val="0"/>
          <w:numId w:val="32"/>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ajourføring af forvaltningen af de forskellige redskaber, metoder og optællinger af de nationale fiskepladser ved hjælp af en kongelig anordning og</w:t>
      </w:r>
    </w:p>
    <w:p>
      <w:pPr>
        <w:numPr>
          <w:ilvl w:val="0"/>
          <w:numId w:val="32"/>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gennemførelse af en lov om modernisering af kontrol-, inspektions- og sanktionssystemerne på fiskeriområdet.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Offentliggørelsen af et kongeligt dekret om opgradering af forvaltningen af de forskellige redskaber, metoder og klager over de nationale fiskepladser er planlagt til den 30. juni 2022.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Gennemførelsen af reformerne skal være afsluttet senest den 31. december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 1 (C3.I1) — plan for forbedring af kunstvandingers effektivitet og bæredygtighed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forbedre kunstvandingernes effektivitet og bæredygtighed gennem en række udvalgte foranstaltninger. Den skal fremme vandbesparelser og energieffektivitet i forbindelse med kunstvandingsaktiviteter. Disse tiltag omfatter bl.a. følgende:</w:t>
      </w:r>
    </w:p>
    <w:p>
      <w:pPr>
        <w:numPr>
          <w:ilvl w:val="0"/>
          <w:numId w:val="37"/>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modernisering af aktioner, herunder som minimum: i) aktioner i områder, der erstatter overfladevand eller grundvand med ukonventionel anvendelse af vandressourcer (såsom genvundet vand i overensstemmelse med forordning (EU) 2020/741 og afsaltet vand i overensstemmelse med teknisk vejledning 2021/C58/01) som led i en moderniseringsproces og ii) foranstaltninger, der øger vandbesparelserne eller opnår et yderligere fald i efterspørgslen efter vand eller højere energibesparelser</w:t>
      </w:r>
    </w:p>
    <w:p>
      <w:pPr>
        <w:numPr>
          <w:ilvl w:val="0"/>
          <w:numId w:val="37"/>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modernisering af vandingssystemer med en energipåvirkning, herunder i) en fortrinsbehandling af aktioner, der ikke kræver elektrisk energi til deres drift, frem for dem, der har brug for eller skal installeres med vedvarende energi og ii) moderniseringsforanstaltninger til fremme af selvforsyning på energiområdet, herunder anvendelse af vedvarende energi; og</w:t>
      </w:r>
    </w:p>
    <w:p>
      <w:pPr>
        <w:numPr>
          <w:ilvl w:val="0"/>
          <w:numId w:val="37"/>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fremme af nye teknologier såsom: i) aktioner, der muliggør en højere grad af gennemførelse af nye teknologier og innovation med henblik på at opnå en mere effektiv kunstvanding og ii) aktioner, der foreslår en højere grad af intensitet i moderniseringen af kunstvanding.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Gennemførelsen af foranstaltningen varetages af </w:t>
      </w:r>
      <w:r>
        <w:rPr>
          <w:rFonts w:ascii="Times New Roman" w:hAnsi="Times New Roman"/>
          <w:i/>
          <w:noProof/>
          <w:sz w:val="24"/>
          <w:szCs w:val="24"/>
        </w:rPr>
        <w:t>Sociedad Estatal de Infraestructuras Agrarias</w:t>
      </w:r>
      <w:r>
        <w:rPr>
          <w:rFonts w:ascii="Times New Roman" w:hAnsi="Times New Roman"/>
          <w:noProof/>
          <w:sz w:val="24"/>
          <w:szCs w:val="24"/>
        </w:rPr>
        <w:t xml:space="preserve"> (SEIASA). Med henblik herpå skal en aftale mellem ministeriet for landbrug, fiskeri og fødevarer og SEIASA regulere den offentlige/private finansieringsordning for investeringer i modernisering af kunstvanding, udvælgelseskriterier for projekter, procedurer for planens gennemførelse samt listen over aktioner, der skal gennemføres. Denne liste over foranstaltninger skal mindst omfatte:</w:t>
      </w:r>
    </w:p>
    <w:p>
      <w:pPr>
        <w:numPr>
          <w:ilvl w:val="0"/>
          <w:numId w:val="39"/>
        </w:numPr>
        <w:spacing w:before="120" w:after="120" w:line="240" w:lineRule="auto"/>
        <w:ind w:left="357"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Erstatning af anvendelsen af grundvand eller overfladevand med anvendelse af ikke-konventionelle vandressourcer (genvundet vand eller afsaltet vand i overensstemmelse med den tekniske vejledning om DNSH-princippet (2021/C58/01)) </w:t>
      </w:r>
    </w:p>
    <w:p>
      <w:pPr>
        <w:numPr>
          <w:ilvl w:val="0"/>
          <w:numId w:val="39"/>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gennemførelse af vandreguleringssystemer (reservoirer), der gør det muligt at vande ved brug af tyngdekraften</w:t>
      </w:r>
    </w:p>
    <w:p>
      <w:pPr>
        <w:numPr>
          <w:ilvl w:val="0"/>
          <w:numId w:val="39"/>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udskiftning af udendørs grøfter med underjordiske rør</w:t>
      </w:r>
    </w:p>
    <w:p>
      <w:pPr>
        <w:numPr>
          <w:ilvl w:val="0"/>
          <w:numId w:val="39"/>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konstruktion af filtrerings- og pumpesystemer og</w:t>
      </w:r>
    </w:p>
    <w:p>
      <w:pPr>
        <w:numPr>
          <w:ilvl w:val="0"/>
          <w:numId w:val="39"/>
        </w:numPr>
        <w:spacing w:before="120" w:after="120" w:line="240" w:lineRule="auto"/>
        <w:jc w:val="both"/>
        <w:rPr>
          <w:rFonts w:ascii="Times New Roman" w:hAnsi="Times New Roman" w:cs="Times New Roman"/>
          <w:noProof/>
          <w:sz w:val="24"/>
        </w:rPr>
      </w:pPr>
      <w:r>
        <w:rPr>
          <w:rFonts w:ascii="Times New Roman" w:hAnsi="Times New Roman"/>
          <w:noProof/>
          <w:sz w:val="24"/>
        </w:rPr>
        <w:t>installation af målere og fjernstyringssystemer.</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Det forventes, at denne foranstaltning ikke skader miljømålene i væsentlig grad, jf. artikel 17 i forordning (EU) 2020/852, under hensyntagen til beskrivelsen af foranstaltningen og de afhjælpende foranstaltninger, der er fastsat i genopretnings- og resiliensplanen i overensstemmelse med den tekniske vejledning om DNSH-princippet (2021/C58/01). Afsaltet vand skal navnlig fremstilles ved hjælp af den bedste tilgængelige teknologi med de laveste miljøvirkninger i sektoren. Alle kunstvandingsaktiviteter skal udføres i overensstemmelse med vandrammedirektivet, de nødvendige miljøkonsekvensvurderinger skal udføres i overensstemmelse med direktiv 2009/147/EF og 92/43/EØF, og de nødvendige afbødningsforanstaltninger til beskyttelse af miljøet skal gennemføres.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 2 (C3.I2) — plan for fremme af landbrugets og husdyrbrugets bæredygtighed og konkurrenceevne (I): Modernisering af dyre- og plantesundhedslaboratorier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Denne foranstaltning skal forbedre fødevaresikkerheden i landbrugs- og husdyrsektoren ved at sikre hurtige foranstaltninger som reaktion på udbrud af dyresygdomme, herunder sygdomme, der rammer mennesker, samt planteskadegørere ved at bygge anlæg med et biosikkerhedsniveau på 3. Foranstaltningen skal navnlig sikre, at følgende faciliteter tages i brug:</w:t>
      </w:r>
    </w:p>
    <w:p>
      <w:pPr>
        <w:numPr>
          <w:ilvl w:val="0"/>
          <w:numId w:val="40"/>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niveau 3-laboratoriet for biologisk sikkerhed (LSCA-Santa Fe)</w:t>
      </w:r>
    </w:p>
    <w:p>
      <w:pPr>
        <w:numPr>
          <w:ilvl w:val="0"/>
          <w:numId w:val="40"/>
        </w:numPr>
        <w:spacing w:before="120" w:after="120" w:line="240" w:lineRule="auto"/>
        <w:ind w:left="357" w:hanging="357"/>
        <w:contextualSpacing/>
        <w:jc w:val="both"/>
        <w:rPr>
          <w:rFonts w:ascii="Times New Roman" w:hAnsi="Times New Roman" w:cs="Times New Roman"/>
          <w:noProof/>
          <w:sz w:val="24"/>
          <w:szCs w:val="24"/>
        </w:rPr>
      </w:pPr>
      <w:r>
        <w:rPr>
          <w:rFonts w:ascii="Times New Roman" w:hAnsi="Times New Roman"/>
          <w:noProof/>
          <w:sz w:val="24"/>
          <w:szCs w:val="24"/>
        </w:rPr>
        <w:t>niveau 3-faciliteten for biologisk sikkerhed (LCV-Algete) og</w:t>
      </w:r>
    </w:p>
    <w:p>
      <w:pPr>
        <w:numPr>
          <w:ilvl w:val="0"/>
          <w:numId w:val="40"/>
        </w:numPr>
        <w:spacing w:before="120" w:after="120" w:line="240" w:lineRule="auto"/>
        <w:jc w:val="both"/>
        <w:rPr>
          <w:rFonts w:ascii="Times New Roman" w:hAnsi="Times New Roman" w:cs="Times New Roman"/>
          <w:noProof/>
          <w:sz w:val="24"/>
        </w:rPr>
      </w:pPr>
      <w:r>
        <w:rPr>
          <w:rFonts w:ascii="Times New Roman" w:hAnsi="Times New Roman"/>
          <w:noProof/>
          <w:sz w:val="24"/>
        </w:rPr>
        <w:t>det nationale plantesundhedslaboratorium i Lugo.</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Gennemførelsen af investeringen skal være afsluttet senest den 31. december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Investering 3 (C3.I3) — plan for fremme af landbrugets og husdyrbrugets bæredygtighed og konkurrenceevne (II): Styrkelse af kapacitetsopbygning og biosikkerhedssystemer i planteskoler og rengørings- og desinfektionscentre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foranstaltning skal styrke forebyggelsen og beskyttelsen mod dyresygdomme og planteskadegørere, hvis forekomst er steget som følge af klimaændringer, ved at forbedre kapacitetsopbygningen og biosikkerhedssystemerne i planteskoler og rengørings- og desinfektionscentre. Den skal styrke biosikringssystemerne i anlæg, der producerer planteformeringsmateriale, som spiller en vigtig rolle med hensyn til at skaffe skadegørerfrit materiale med en reduktion i anvendelsen af plantebeskyttelsesmidler.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Støtten ydes i form af investeringsstøtte til landbrugsbedrifter med planteformeringsmateriale og centre for rengøring og desinficering af transportmidler til levende dyr. Der ydes navnlig tilskud til teknologisk forbedring af disse faciliteter gennem automatisering, robotisering og installering af nye rengørings- og desinfektionssystemer såsom termisk desinfektion.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Foranstaltningen omfatter styrkelse af mindst 465 rengørings- og desinfektionscentre og centre, der producerer planteformeringsmateriale med øget uddannelse og biosikkerhedssystemer.</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31. december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 4 (C3.I4) — plan for fremme af landbrugets og husdyrbrugets bæredygtighed og konkurrenceevne (III): Investeringer i præcisionslandbrug, energieffektivitet og cirkulær økonomi i landbrugs- og husdyrsektoren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foranstaltning skal fremme landbrugets og husdyrbrugets bæredygtighed og konkurrenceevne gennem investeringer i: i) præcisionslandbrug ii) energieffektivitet iii) den cirkulære økonomi og iv) anvendelsen af vedvarende energi.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Mere specifikt vedrører investeringer følgende: </w:t>
      </w:r>
    </w:p>
    <w:p>
      <w:pPr>
        <w:numPr>
          <w:ilvl w:val="0"/>
          <w:numId w:val="41"/>
        </w:numPr>
        <w:spacing w:before="120" w:after="120" w:line="240" w:lineRule="auto"/>
        <w:ind w:left="357"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gennemførelse af nye systemer til håndtering af landbrugsaffald og husdyrgødning og biprodukter heraf, herunder strukturreformer </w:t>
      </w:r>
    </w:p>
    <w:p>
      <w:pPr>
        <w:numPr>
          <w:ilvl w:val="0"/>
          <w:numId w:val="41"/>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 xml:space="preserve">modernisering af væksthuse, både deres installationer og udstyr </w:t>
      </w:r>
    </w:p>
    <w:p>
      <w:pPr>
        <w:numPr>
          <w:ilvl w:val="0"/>
          <w:numId w:val="41"/>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fremme anvendelsen af biogas og vedvarende energi og</w:t>
      </w:r>
    </w:p>
    <w:p>
      <w:pPr>
        <w:numPr>
          <w:ilvl w:val="0"/>
          <w:numId w:val="41"/>
        </w:numPr>
        <w:spacing w:before="120" w:after="120" w:line="240" w:lineRule="auto"/>
        <w:jc w:val="both"/>
        <w:rPr>
          <w:rFonts w:ascii="Times New Roman" w:hAnsi="Times New Roman" w:cs="Times New Roman"/>
          <w:noProof/>
          <w:sz w:val="24"/>
        </w:rPr>
      </w:pPr>
      <w:r>
        <w:rPr>
          <w:rFonts w:ascii="Times New Roman" w:hAnsi="Times New Roman"/>
          <w:noProof/>
          <w:sz w:val="24"/>
        </w:rPr>
        <w:t>indsamling af realtidsdata ved hjælp af sensorer, der gør det muligt at anvende præcisionslandbrug og -teknologi på bedrifter, hvilket omfatter implementering af satellitnavigationssystemer (GNSS) og geolokalisering i husdyrbrug.</w:t>
      </w:r>
    </w:p>
    <w:p>
      <w:pPr>
        <w:spacing w:before="120" w:after="120" w:line="240" w:lineRule="auto"/>
        <w:jc w:val="both"/>
        <w:rPr>
          <w:rFonts w:ascii="Times New Roman" w:hAnsi="Times New Roman" w:cs="Times New Roman"/>
          <w:noProof/>
          <w:sz w:val="24"/>
        </w:rPr>
      </w:pPr>
      <w:r>
        <w:rPr>
          <w:rFonts w:ascii="Times New Roman" w:hAnsi="Times New Roman"/>
          <w:noProof/>
          <w:sz w:val="24"/>
        </w:rPr>
        <w:t>Foranstaltningen gennemføres i form af individuelle eller kollektive investeringer i landbrugsbedrifter eller landbrugsservicevirksomheder. Mindst 5 000 bedrifter skal have fuldført projekter for præcisionslandbrug, energieffektivitet, cirkulær økonomi og anvendelse af vedvarende energi.</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Gennemførelsen af investeringen skal være afsluttet senest den 30. juni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 5 (C3.I5) — Strategi for digitalisering af landbrugs- og skovbrugssektoren og landdistrikterne: udvikling af aktioner til støtte for digitalisering og iværksætteri i landbrugs- og skovbrugssektoren og i miljøet i landdistrikterne </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foranstaltning skal omfatte foranstaltninger i strategien for digitalisering af landbrugs-, skovbrugs- og landbrugssektorerne, der blev vedtaget af den spanske regering i marts 2019, og i dens anden handlingsplan for 2021-2023. Aktionerne omfatter:</w:t>
      </w:r>
    </w:p>
    <w:p>
      <w:pPr>
        <w:numPr>
          <w:ilvl w:val="0"/>
          <w:numId w:val="33"/>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en særlig budgetpost for finansiel støtte til SMV'er i landbrugsfødevaresektoren for at tilskynde til innovative og digitale forretningsprojekter, der skal gennemføres ved hjælp af deltagelsesbaserede lån</w:t>
      </w:r>
    </w:p>
    <w:p>
      <w:pPr>
        <w:numPr>
          <w:ilvl w:val="0"/>
          <w:numId w:val="33"/>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et digitalt innovationsknudepunkt for virksomheder i landbrugsfødevaresektoren, der skal gennemføres ved hjælp af en intern kontrakt og offentlige indkøb gennem konkurrencebaserede udbud</w:t>
      </w:r>
    </w:p>
    <w:p>
      <w:pPr>
        <w:numPr>
          <w:ilvl w:val="0"/>
          <w:numId w:val="33"/>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et observatorium for digitalisering i landbrugsfødevaresektoren via en partnerskabsaftale mellem MAPA og samarbejdsorganet og</w:t>
      </w:r>
    </w:p>
    <w:p>
      <w:pPr>
        <w:numPr>
          <w:ilvl w:val="0"/>
          <w:numId w:val="33"/>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en platform bestående af rådgivere i landbrugsfaglige viden- og informationssystemer (AKIS), der skal fungere som et redskab til at fremme overførsel af viden og information mellem AKIS-aktører, og som skal gennemføres ved hjælp af en intern kontrakt og offentlige indkøb gennem konkurrencebaserede udbud.</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Som led i foranstaltningen skal mindst 60 SMV'er i landbrugsfødevaresektoren gennemføre innovative og digitale forretningsprojekter, som skal være i overensstemmelse med den tekniske vejledning om DNSH-princippet (2021/C58/01) og finansieres gennem deltagerbaserede lån inden udgangen af 2023. </w:t>
      </w:r>
    </w:p>
    <w:p>
      <w:pPr>
        <w:pStyle w:val="Text1"/>
        <w:ind w:left="0"/>
        <w:rPr>
          <w:noProof/>
        </w:rPr>
      </w:pPr>
      <w:r>
        <w:rPr>
          <w:noProof/>
        </w:rPr>
        <w:t xml:space="preserve">For at sikre, at foranstaltningen er i overensstemmelse med den tekniske vejledning "ingen væsentlig skade" (2021/C58/01), skal den retlige aftale mellem ministeriet for landbrug, fiskeri og fødevarer og </w:t>
      </w:r>
      <w:r>
        <w:rPr>
          <w:i/>
          <w:noProof/>
        </w:rPr>
        <w:t>Empresa Nacional de Innovación</w:t>
      </w:r>
      <w:r>
        <w:rPr>
          <w:noProof/>
        </w:rPr>
        <w:t xml:space="preserve"> (ENISA) og det finansielle instruments efterfølgende investeringspolitik </w:t>
      </w:r>
    </w:p>
    <w:p>
      <w:pPr>
        <w:pStyle w:val="Text1"/>
        <w:numPr>
          <w:ilvl w:val="0"/>
          <w:numId w:val="151"/>
        </w:numPr>
        <w:ind w:left="714" w:hanging="357"/>
        <w:contextualSpacing/>
        <w:rPr>
          <w:noProof/>
        </w:rPr>
      </w:pPr>
      <w:r>
        <w:rPr>
          <w:noProof/>
        </w:rPr>
        <w:t>kræve anvendelse af Kommissionens tekniske vejledning om bæredygtighedskontrol for InvestEU-fonden og</w:t>
      </w:r>
    </w:p>
    <w:p>
      <w:pPr>
        <w:pStyle w:val="Text1"/>
        <w:numPr>
          <w:ilvl w:val="0"/>
          <w:numId w:val="151"/>
        </w:numPr>
        <w:ind w:left="714" w:hanging="357"/>
        <w:contextualSpacing/>
        <w:rPr>
          <w:noProof/>
        </w:rPr>
      </w:pPr>
      <w:r>
        <w:rPr>
          <w:noProof/>
        </w:rPr>
        <w:t>udelukke følgende liste over aktiviteter og aktiver fra støtteberettigelse:</w:t>
      </w:r>
      <w:r>
        <w:rPr>
          <w:noProof/>
          <w:color w:val="FF0000"/>
        </w:rPr>
        <w:t xml:space="preserve"> </w:t>
      </w:r>
      <w:r>
        <w:rPr>
          <w:noProof/>
        </w:rPr>
        <w:t>i) aktiviteter og aktiver i forbindelse med fossile brændstoffer, herunder downstream-anvendelse</w:t>
      </w:r>
      <w:r>
        <w:rPr>
          <w:rStyle w:val="FootnoteReference"/>
          <w:noProof/>
          <w:lang w:val="en-IE"/>
        </w:rPr>
        <w:footnoteReference w:id="6"/>
      </w:r>
      <w:r>
        <w:rPr>
          <w:noProof/>
        </w:rPr>
        <w:t xml:space="preserve"> ii) aktiviteter og aktiver under EU's emissionshandelssystem (ETS) med henblik på at opnå forventede drivhusgasemissioner, der ikke er lavere end de relevante benchmarks</w:t>
      </w:r>
      <w:r>
        <w:rPr>
          <w:rStyle w:val="FootnoteReference"/>
          <w:noProof/>
          <w:lang w:val="en-IE"/>
        </w:rPr>
        <w:footnoteReference w:id="7"/>
      </w:r>
      <w:r>
        <w:rPr>
          <w:noProof/>
        </w:rPr>
        <w:t xml:space="preserve"> iii) Aktiviteter og aktiver i forbindelse med affaldsdeponeringsanlæg, forbrændingsanlæg</w:t>
      </w:r>
      <w:r>
        <w:rPr>
          <w:rStyle w:val="FootnoteReference"/>
          <w:noProof/>
          <w:lang w:val="en-IE"/>
        </w:rPr>
        <w:footnoteReference w:id="8"/>
      </w:r>
      <w:r>
        <w:rPr>
          <w:noProof/>
        </w:rPr>
        <w:t xml:space="preserve"> og anlæg til mekanisk-biologisk behandling</w:t>
      </w:r>
      <w:r>
        <w:rPr>
          <w:rStyle w:val="FootnoteReference"/>
          <w:noProof/>
          <w:lang w:val="en-IE"/>
        </w:rPr>
        <w:footnoteReference w:id="9"/>
      </w:r>
      <w:r>
        <w:rPr>
          <w:noProof/>
        </w:rPr>
        <w:t xml:space="preserve"> og iv) aktiviteter og aktiver, hvor langsigtet bortskaffelse af affald kan skade miljøet </w:t>
      </w:r>
    </w:p>
    <w:p>
      <w:pPr>
        <w:pStyle w:val="Text1"/>
        <w:numPr>
          <w:ilvl w:val="0"/>
          <w:numId w:val="151"/>
        </w:numPr>
        <w:rPr>
          <w:noProof/>
        </w:rPr>
      </w:pPr>
      <w:r>
        <w:rPr>
          <w:noProof/>
        </w:rPr>
        <w:t>kræve, at ENISA kontrollerer, at alle transaktioner, herunder dem, der er undtaget fra bæredygtighedskontrol, er i overensstemmelse med den relevante EU- og nationale miljølovgivning for projekterne.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Der ydes ikke støtte til aktiviteter vedrørende kulstofopsamling og -lagring.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Investering 6 (C3.I6) — plan for fremme af bæredygtighed, forskning, innovation og digitalisering i fiskerisektoren (IV). Modernisering af netværket af havreservater af interesse for fiskeriet </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foranstaltning er at modernisere nettet af havreservater af interesse for fiskeriet ved hjælp af følgende foranstaltninger:</w:t>
      </w:r>
    </w:p>
    <w:p>
      <w:pPr>
        <w:numPr>
          <w:ilvl w:val="0"/>
          <w:numId w:val="34"/>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erhvervelse af to særlige hjælpefartøjer for at sikre kontrol og overvågning af de aktiviteter, der udføres i reserverne</w:t>
      </w:r>
    </w:p>
    <w:p>
      <w:pPr>
        <w:numPr>
          <w:ilvl w:val="0"/>
          <w:numId w:val="34"/>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indførelse af informations- og kommunikationsteknologi, der gør det muligt at kontrollere og overvåge reserverne ved at erhverve i) mindst fire stykker natudstyr til sporing af forbudte aktiviteter og ii) droner med tilstrækkelige beføjelser til at muliggøre kontrol- og overvågningsaktiviteter og optimere de eksisterende midler</w:t>
      </w:r>
    </w:p>
    <w:p>
      <w:pPr>
        <w:numPr>
          <w:ilvl w:val="0"/>
          <w:numId w:val="34"/>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udvidelse af nettet af reserver gennem oprettelse af en ny havreserve og</w:t>
      </w:r>
    </w:p>
    <w:p>
      <w:pPr>
        <w:numPr>
          <w:ilvl w:val="0"/>
          <w:numId w:val="34"/>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 xml:space="preserve">ajourføring af en eksisterende havreserve, </w:t>
      </w:r>
      <w:r>
        <w:rPr>
          <w:rFonts w:ascii="Times New Roman" w:hAnsi="Times New Roman"/>
          <w:i/>
          <w:noProof/>
          <w:sz w:val="24"/>
          <w:szCs w:val="24"/>
        </w:rPr>
        <w:t>Faro de Alborán</w:t>
      </w:r>
      <w:r>
        <w:rPr>
          <w:rFonts w:ascii="Times New Roman" w:hAnsi="Times New Roman"/>
          <w:noProof/>
          <w:sz w:val="24"/>
          <w:szCs w:val="24"/>
        </w:rPr>
        <w:t xml:space="preserve">, og dens omgivelser for at lette adgangen, forbedre dens energieffektivitet og udstyre den med passende faciliteter (dvs. en radarradioforbindelse til halvøen) til overvågning og kontrol af reserven.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Anskaffelse af de to særlige hjælpefartøjer og indførelse af informations- og kommunikationsteknologi for at muliggøre kontrol og overvågning gennemføres via offentlige udbudsprocedurer.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Det forventes, at denne foranstaltning ikke skader miljømålene i væsentlig grad, jf. artikel 17 i forordning (EU) 2020/852, under hensyntagen til beskrivelsen af foranstaltningen og de afhjælpende foranstaltninger, der er fastsat i genopretnings- og resiliensplanen i overensstemmelse med den tekniske vejledning om DNSH-princippet (2021/C58/01). De to særlige hjælpefartøjer skal navnlig være af den bedste tilgængelige teknologi med de laveste miljøvirkninger i sektoren. Investeringen i udvidelsen af nettet af havreservater består af en undersøgelse med henblik på oprettelse af en ny havreserve, som efter planen skal gennemføres via en intern kontrakt. Det samme gælder for de arbejder, der er planlagt med henblik på at ajourføre Faro de Alborán-reservatet og dens omgivelser, og som skal omfatte en nødvendig forundersøgelse af opførelsen og optimeringen af energien.</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31. december 2024.</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7 (C3.I7) — plan for fremme af bæredygtighed, forskning, innovation og digitalisering i fiskerisektoren (II). Fremme af forskning i fiskeri og akvakultur og støtte til uddannelse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Denne foranstaltning skal forbedre mængden og kvaliteten af den videnskabelige viden, der ligger til grund for beslutningstagningen vedrørende fiskeriforvaltning. Foranstaltningen omfatter: i) indkøb af mindst to akustiske sonder til at udstyre to eksisterende fiskerfartøjer og oceanografiske forskningsfartøjer for at sikre kvaliteten af de data, der indsamles med henblik på den videnskabelige vurdering af de forskellige bestande af pelagiske arter og ii) fremme af fiskeri- og akvakulturforskning for at sikre en økosystembaseret tilgang til beslutningstagning inden for fiskeriforvaltning.</w:t>
      </w:r>
    </w:p>
    <w:p>
      <w:pPr>
        <w:spacing w:before="120" w:after="120" w:line="240" w:lineRule="auto"/>
        <w:jc w:val="both"/>
        <w:rPr>
          <w:rFonts w:ascii="Times New Roman" w:hAnsi="Times New Roman" w:cs="Times New Roman"/>
          <w:noProof/>
          <w:sz w:val="24"/>
        </w:rPr>
      </w:pPr>
      <w:r>
        <w:rPr>
          <w:rFonts w:ascii="Times New Roman" w:hAnsi="Times New Roman"/>
          <w:noProof/>
          <w:sz w:val="24"/>
        </w:rPr>
        <w:t>Erhvervelsen af de to akustiske sonder gennemføres på grundlag af en offentlig udbudsprocedure, hvor tilbuddet skal ske med eneret. Forskning i fiskeri og akvakultur skal fremmes gennem indgåelse af aftaler med offentlige forskningsorganer og, hvor det er relevant, gennem tildeling af egne ressourcer til ansættelse af observatører om bord eller gennem udbud.</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30. juni 2022.</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Investering 8 (C3.I8) — plan for fremme af bæredygtighed, forskning, innovation og digitalisering i fiskerisektoren (III). Teknologisk udvikling og innovation inden for fiskeri og akvakultur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etablere en mere miljømæssigt, økonomisk og socialt bæredygtig fiskeri- og akvakultursektor ved hjælp af to aktionslinjer:</w:t>
      </w:r>
    </w:p>
    <w:p>
      <w:pPr>
        <w:numPr>
          <w:ilvl w:val="0"/>
          <w:numId w:val="35"/>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oprettelse af offentlig-private partnerskaber til fremme af blå vækst i sektoren med henblik på at gennemføre projekter, der fungerer som katalysatorer for processer i den blå økonomi og</w:t>
      </w:r>
    </w:p>
    <w:p>
      <w:pPr>
        <w:numPr>
          <w:ilvl w:val="0"/>
          <w:numId w:val="35"/>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 xml:space="preserve">støtte til teknologisk udvikling og innovation i sektoren.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Foranstaltningen omfatter afslutningen af mindst 20 forsknings-, udviklings- og innovationsprojekter med henblik på indførelse af nye teknologier, der fremmer fiskeri- og akvakultursektorens modstandsdygtighed og bæredygtighed.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31. december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Investering 9 (C3.I9) — plan for fremme af bæredygtighed, forskning, innovation og digitalisering i fiskerisektoren (IV). Digitalisering og anvendelse af IKT i fiskerisektoren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Denne foranstaltning har til formål at forbedre overvågningen af fiskeriet for at sikre miljømæssig bæredygtighed samt fiskerisektorens levedygtighed på mellemlang og lang sigt. Foranstaltningen omfatter to aktionslinjer:</w:t>
      </w:r>
    </w:p>
    <w:p>
      <w:pPr>
        <w:numPr>
          <w:ilvl w:val="0"/>
          <w:numId w:val="36"/>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en støtteordning for digitalisering af fiskeri- og akvakultursektoren, herunder i) støtte til anordninger til elektronisk indsendelse af fangster samt geolokalisering heraf for fartøjer med en længde på under 12 m og ii) støtte til installation af et overvågningssystem med kameraer til fjernovervågning af fiskeriet og bekæmpelse af udsmid for fartøjer på over 24 meter og</w:t>
      </w:r>
    </w:p>
    <w:p>
      <w:pPr>
        <w:numPr>
          <w:ilvl w:val="0"/>
          <w:numId w:val="36"/>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szCs w:val="24"/>
        </w:rPr>
        <w:t xml:space="preserve">moderne IKT-løsninger til fiskeriovervågning, herunder i) et fangstregistreringssystem med mulighed for sporing af fartøjer med en længde på under 12 meter ii) etablering af en droneflyvetjeneste til fiskerikontrol og -overvågning og et system til fjernovervågning af fangster af fiskerfartøjer på over 24 meter og iii) udstyr og software (dvs. installation af endnu en firewall) til styrkelse af sikkerheden i det spanske fiskeriinformationssystem. </w:t>
      </w:r>
    </w:p>
    <w:p>
      <w:pPr>
        <w:spacing w:before="120" w:after="120" w:line="240" w:lineRule="auto"/>
        <w:jc w:val="both"/>
        <w:rPr>
          <w:rFonts w:ascii="Times New Roman" w:hAnsi="Times New Roman" w:cs="Times New Roman"/>
          <w:noProof/>
          <w:sz w:val="24"/>
        </w:rPr>
      </w:pPr>
      <w:r>
        <w:rPr>
          <w:rFonts w:ascii="Times New Roman" w:hAnsi="Times New Roman"/>
          <w:noProof/>
          <w:sz w:val="24"/>
        </w:rPr>
        <w:t>Digitaliseringen af den spanske fiskeri- og akvakultursektor skal gennemføres i form af tilskud til konkurrencebaserede udbud, mens gennemførelsen af moderne IKT-løsninger til fiskeriovervågning skal foregå gennem åbne og centraliserede indkøb.</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31. december 2024.</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10 (C3.I10) — plan for fremme af bæredygtighed, forskning, innovation og digitalisering i fiskerisektoren (V). Støtte til bekæmpelse af ulovligt, urapporteret og ureguleret fiskeri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Denne foranstaltning skal støtte bekæmpelsen af ulovligt, urapporteret og ureguleret fiskeri, som fortsat udgør en trussel mod de marine økosystemer. Med henblik herpå støtter foranstaltningen følgende investeringer:</w:t>
      </w:r>
    </w:p>
    <w:p>
      <w:pPr>
        <w:numPr>
          <w:ilvl w:val="0"/>
          <w:numId w:val="38"/>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szCs w:val="24"/>
        </w:rPr>
        <w:t>erhvervelse af fire patruljefartøjer og</w:t>
      </w:r>
    </w:p>
    <w:p>
      <w:pPr>
        <w:numPr>
          <w:ilvl w:val="0"/>
          <w:numId w:val="38"/>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modernisering af tre patruljefartøjer på åbent hav, der skal anvendes til at bekæmpe ulovligt, rapporteret og ureguleret fiskeri.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Foranstaltningen gennemføres gennem en offentlig udbudsprocedure for bygning af patruljefartøjer og ved ændring af en aftale med den spanske flåde for så vidt angår offshorepatruljefartøjer, som skal give retlig dækning for den overførsel, der skal foretages til flåden, som skal forvalte ovennævnte moderniseringsarbejder.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Det forventes, at denne foranstaltning ikke skader miljømålene i væsentlig grad, jf. artikel 17 i forordning (EU) 2020/852, under hensyntagen til beskrivelsen af foranstaltningen og de afhjælpende foranstaltninger, der er fastsat i genopretnings- og resiliensplanen i overensstemmelse med den tekniske vejledning om DNSH-princippet (2021/C58/01). Navnlig må anskaffelser og moderniseringer af fartøjer kun være af den bedste tilgængelige teknologi med de laveste miljøvirkninger i sektoren.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Gennemførelsen af investeringen skal være afsluttet senest den 31. december 2022.</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 xml:space="preserve">Investering 11 (C3.I11) — plan for fremme af bæredygtighed, forskning, innovation og digitalisering i fiskerisektoren (VI). Støtte til finansiering af fiskerisektoren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foranstaltning finansierer investeringsprojekter i fiskerisektoren gennem et lån til </w:t>
      </w:r>
      <w:r>
        <w:rPr>
          <w:rFonts w:ascii="Times New Roman" w:hAnsi="Times New Roman"/>
          <w:i/>
          <w:noProof/>
          <w:sz w:val="24"/>
          <w:szCs w:val="24"/>
        </w:rPr>
        <w:t>Sociedad Anónima Estatal de Caución Agraria</w:t>
      </w:r>
      <w:r>
        <w:rPr>
          <w:rFonts w:ascii="Times New Roman" w:hAnsi="Times New Roman"/>
          <w:noProof/>
          <w:sz w:val="24"/>
          <w:szCs w:val="24"/>
        </w:rPr>
        <w:t xml:space="preserve"> (SAECA). Formålet med foranstaltningen er at oprette en finansiel budgetpost til projekter vedrørende bæredygtigt fiskeri, herunder: i) forbedring af arbejds- og sikkerhedsforholdene ii) digitalisering af processer og systemer iii) forbedring af produkternes værdi og sporbarhed iv) søgning efter nye produkter og præsentationer, herunder emballage og v) fremme af innovation, energiforbedring og -effektivitet og overgangen til energi med en mindre indvirkning på klimaændringerne.</w:t>
      </w:r>
    </w:p>
    <w:p>
      <w:pPr>
        <w:spacing w:before="120" w:after="120" w:line="240" w:lineRule="auto"/>
        <w:jc w:val="both"/>
        <w:rPr>
          <w:rFonts w:ascii="Times New Roman" w:hAnsi="Times New Roman" w:cs="Times New Roman"/>
          <w:noProof/>
          <w:sz w:val="24"/>
        </w:rPr>
      </w:pPr>
      <w:r>
        <w:rPr>
          <w:rFonts w:ascii="Times New Roman" w:hAnsi="Times New Roman"/>
          <w:noProof/>
          <w:sz w:val="24"/>
        </w:rPr>
        <w:t>Foranstaltningen gennemføres ved en aftale mellem ministeriet for landbrug, fiskeri og fødevarer og SAECA om støtte til finansiering af investeringsprojekter i fiskerisektoren. Mekanismen er baseret på et lån til SAECA til oprettelse af en finansieringslinje, der har til formål at gengarantere projekter med foranstaltninger vedrørende bæredygtigt fiskeri. Aftalen skal indeholde en betingelse om, at de investeringer, der foretages i forbindelse med denne finansiering, er i overensstemmelse med den tekniske vejledning om DNSH-princippet (2021/C58/01).</w:t>
      </w:r>
    </w:p>
    <w:p>
      <w:pPr>
        <w:pStyle w:val="Text1"/>
        <w:ind w:left="0"/>
        <w:rPr>
          <w:noProof/>
        </w:rPr>
      </w:pPr>
      <w:r>
        <w:rPr>
          <w:noProof/>
        </w:rPr>
        <w:t xml:space="preserve">For at sikre, at foranstaltningen er i overensstemmelse med den tekniske vejledning om DNSH-princippet (2021/C58/01), skal den retlige aftale mellem ministeriet for landbrug, fiskeri og fødevarer og SAECA og den efterfølgende investeringspolitik for det finansielle instrument </w:t>
      </w:r>
    </w:p>
    <w:p>
      <w:pPr>
        <w:pStyle w:val="Text1"/>
        <w:numPr>
          <w:ilvl w:val="0"/>
          <w:numId w:val="152"/>
        </w:numPr>
        <w:ind w:left="714" w:hanging="357"/>
        <w:contextualSpacing/>
        <w:rPr>
          <w:noProof/>
        </w:rPr>
      </w:pPr>
      <w:r>
        <w:rPr>
          <w:noProof/>
        </w:rPr>
        <w:t>kræve anvendelse af Kommissionens tekniske vejledning om bæredygtighedskontrol for InvestEU-fonden og</w:t>
      </w:r>
    </w:p>
    <w:p>
      <w:pPr>
        <w:pStyle w:val="Text1"/>
        <w:numPr>
          <w:ilvl w:val="0"/>
          <w:numId w:val="152"/>
        </w:numPr>
        <w:ind w:left="714" w:hanging="357"/>
        <w:contextualSpacing/>
        <w:rPr>
          <w:noProof/>
        </w:rPr>
      </w:pPr>
      <w:r>
        <w:rPr>
          <w:noProof/>
        </w:rPr>
        <w:t>udelukke følgende liste over aktiviteter og aktiver fra støtteberettigelse:</w:t>
      </w:r>
      <w:r>
        <w:rPr>
          <w:noProof/>
          <w:color w:val="FF0000"/>
        </w:rPr>
        <w:t xml:space="preserve"> </w:t>
      </w:r>
      <w:r>
        <w:rPr>
          <w:noProof/>
        </w:rPr>
        <w:t>i) aktiviteter og aktiver i forbindelse med fossile brændstoffer, herunder downstream-anvendelse</w:t>
      </w:r>
      <w:r>
        <w:rPr>
          <w:rStyle w:val="FootnoteReference"/>
          <w:noProof/>
          <w:lang w:val="en-IE"/>
        </w:rPr>
        <w:footnoteReference w:id="10"/>
      </w:r>
      <w:r>
        <w:rPr>
          <w:noProof/>
        </w:rPr>
        <w:t xml:space="preserve"> ii) aktiviteter og aktiver under EU's emissionshandelssystem (ETS) med henblik på at opnå forventede drivhusgasemissioner, der ikke er lavere end de relevante benchmarks</w:t>
      </w:r>
      <w:r>
        <w:rPr>
          <w:rStyle w:val="FootnoteReference"/>
          <w:noProof/>
          <w:lang w:val="en-IE"/>
        </w:rPr>
        <w:footnoteReference w:id="11"/>
      </w:r>
      <w:r>
        <w:rPr>
          <w:noProof/>
        </w:rPr>
        <w:t xml:space="preserve"> iii) Aktiviteter og aktiver i forbindelse med affaldsdeponeringsanlæg, forbrændingsanlæg</w:t>
      </w:r>
      <w:r>
        <w:rPr>
          <w:rStyle w:val="FootnoteReference"/>
          <w:noProof/>
          <w:lang w:val="en-IE"/>
        </w:rPr>
        <w:footnoteReference w:id="12"/>
      </w:r>
      <w:r>
        <w:rPr>
          <w:noProof/>
        </w:rPr>
        <w:t xml:space="preserve"> og anlæg til mekanisk-biologisk behandling</w:t>
      </w:r>
      <w:r>
        <w:rPr>
          <w:rStyle w:val="FootnoteReference"/>
          <w:noProof/>
          <w:lang w:val="en-IE"/>
        </w:rPr>
        <w:footnoteReference w:id="13"/>
      </w:r>
      <w:r>
        <w:rPr>
          <w:noProof/>
        </w:rPr>
        <w:t xml:space="preserve"> og iv) aktiviteter og aktiver, hvor langsigtet bortskaffelse af affald kan skade miljøet og</w:t>
      </w:r>
    </w:p>
    <w:p>
      <w:pPr>
        <w:pStyle w:val="Text1"/>
        <w:numPr>
          <w:ilvl w:val="0"/>
          <w:numId w:val="152"/>
        </w:numPr>
        <w:rPr>
          <w:noProof/>
        </w:rPr>
      </w:pPr>
      <w:r>
        <w:rPr>
          <w:noProof/>
        </w:rPr>
        <w:t>kræve, at SAECA kontrollerer, at projekterne er i overensstemmelse med den relevante EU-lovgivning og nationale miljølovgivning for alle transaktioner, herunder dem, der er undtaget fra bæredygtighedskontrol.</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30. juni 2022.</w:t>
      </w:r>
    </w:p>
    <w:p>
      <w:pPr>
        <w:keepNext/>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C.2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b/>
          <w:noProof/>
          <w:sz w:val="24"/>
          <w:u w:val="single"/>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 medmindre andet er angivet i beskrivelsen af foranstaltningen. Beløbene i tabellen omfatter ikke moms.</w:t>
      </w:r>
    </w:p>
    <w:p>
      <w:pPr>
        <w:spacing w:before="120" w:after="120" w:line="240" w:lineRule="auto"/>
        <w:ind w:left="709"/>
        <w:jc w:val="both"/>
        <w:rPr>
          <w:rFonts w:ascii="Times New Roman" w:hAnsi="Times New Roman" w:cs="Times New Roman"/>
          <w:noProof/>
          <w:sz w:val="24"/>
        </w:rPr>
        <w:sectPr>
          <w:headerReference w:type="even" r:id="rId43"/>
          <w:headerReference w:type="default" r:id="rId44"/>
          <w:footerReference w:type="even" r:id="rId45"/>
          <w:footerReference w:type="default" r:id="rId46"/>
          <w:headerReference w:type="first" r:id="rId47"/>
          <w:footerReference w:type="first" r:id="rId4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3119"/>
        <w:gridCol w:w="1276"/>
        <w:gridCol w:w="850"/>
        <w:gridCol w:w="567"/>
        <w:gridCol w:w="709"/>
        <w:gridCol w:w="425"/>
        <w:gridCol w:w="567"/>
        <w:gridCol w:w="538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311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2126"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538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11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538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kongeligt lovdekret 5/2020 om hasteforanstaltninger vedrørende landbrug og fødevarer og lov nr. 8/2020 om ændring af lov nr. 12/2013 om foranstaltninger til forbedring af fødevarekædens funktion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Bestemmelserne i kongeligt lovdekret nr. 5/2020, lov nr. 8/2020, lov nr. 12/2013 om ikrafttræden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Ikrafttrædelsen af kongeligt lovdekret 5/2020 (2020. februar 25) med hasteforanstaltninger vedrørende landbrug og fødevarer med henblik på at forbedre fødevarekædens funktion ved at ændre den nationale lovgivning om handelsforbindelser i fødevarekæden. De vigtigste mål er at opfylde, at priserne på fødevarer dækker produktionsomkostningerne, at undgå tab af værdi i fødevarekæden og at forbyde salgsfremstød, der har til formål at vildlede forbrugerne om produkternes pris og image. Ikrafttrædelsen af lov nr. 8/2020 om ændring af lov nr. 12/2013 om hasteforanstaltninger til forbedring af fødevarekædens funktion med henblik på at validere ovennævnte kongelige lovdekret ved at vedtage en lov.</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den anden ændring af lov nr. 12/2013 om foranstaltninger til forbedring af fødevarekædens funktion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lov nr. 12/2013 om ikrafttræden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anden ændring af lov nr. 12/2013 om foranstaltninger til forbedring af fødevarekædens funktion ud over mindstekravene i direktiv (EU) 2019/633. Denne lovændring fremmer forskellige tiltag i retning af en mere gennemsigtig og afbalanceret fødevareværdikæde, som indebærer ændringer af i) lovens udvidede anvendelsesområde til handelsforbindelser, ii) fødevareaftalers minimumsindhold udvides til at omfatte praktisk taget alle transaktioner.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de lovgivningsmæssige rammer for udvikling af et generelt register over bedste tilgængelige teknik på bedrifter til oplysning om forurenende stoffer og drivhusgasemissioner og reform af planlægningslovgivningen med kriterier for bedrifter på tværs af sektorer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om regelsættet ved ikrafttrædelsen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 lovgivningsmæssige rammer for udviklingen af det generelle register over bedste tilgængelige teknik skal gøre det lettere at beregne forurenende emissioner og drivhusgasemissioner på svine- og fjerkræbedrifter samt at registrere andre miljødata. Den gradvise revision af planlovgivningen i husdyrsektoren skal regulere kravene til beliggenhed, størrelse, sanitære forhold og infrastrukturer på bedrifterne, ændre kravene til svinebedrifter og skabe et nyt regelsæt for fjerkræsektoren.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de normative rammer for bæredygtig ernæring i landbrugsjord.</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om de normative rammer for ikrafttrædelsen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Denne normative ramme har til formål at regulere gødskningsarbejde og fremme teknisk rådgivning til landbrugere for at rationalisere gødskning og opfylde lovkrav.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det kongelige dekret om en forvaltningsmekanisme til forbedring af det spanske kunstvandingssystem.</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den kongelige anordning om ikrafttræden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Det kongelige dekret etablerer en forvaltningsmekanisme på nationalt plan, således at de berørte sektorer kan samarbejde om aspekter vedrørende spansk kunstvanding, såsom bæredygtighed, udførelseskriterier, forskrifter osv. Det har også til formål at oprette et observatorium for bæredygtig kunstvanding i Spanien.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den anden handlingsplan for digitaliseringsstrategien for landbrugsfødevaresektoren og landdistrikterne.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landbrugsministeriets websted</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Foranstaltningen skal sikre kontinuitet i landbrugsfødevaresektorens og landdistrikternes digitaliseringsstrategi med en anden plan med det formål at mindske den digitale kløft, fremme anvendelsen af data og fremme virksomhedsudvikling og nye forretningsmodeller.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C3.R6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kongelig anordning om forvaltning af nationale fangstpladser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den kongelige anordning om ikrafttræden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Det kongelige dekret skal afstemme forvaltningen af de forskellige redskaber, metoder og optællinger af nationale fiskepladser, fremme bedre virksomhedsledelse og tage hensyn til målene for EU's vigtigste politikker og udfordringer, såsom reformen af den fælles fiskeripolitik, biodiversitetsstrategien for 2030, havstrategierne eller målene for bæredygtig udvikling.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den kontraktmæssige aftale mellem ministeriet for landbrug, fiskeri og fødevarer og SEIASA om forbedring og bæredygtighed af kunstvandede områder (fase 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Mio. EUR</w:t>
            </w:r>
          </w:p>
          <w:p>
            <w:pPr>
              <w:spacing w:after="0" w:line="240" w:lineRule="auto"/>
              <w:jc w:val="right"/>
              <w:rPr>
                <w:rFonts w:ascii="Times New Roman" w:eastAsia="Times New Roman" w:hAnsi="Times New Roman" w:cs="Times New Roman"/>
                <w:noProof/>
                <w:sz w:val="18"/>
                <w:szCs w:val="18"/>
                <w:lang w:val="en-IE" w:eastAsia="en-GB"/>
              </w:rPr>
            </w:pP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260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Samarbejdsaftalen mellem ministeriet for landbrug, fiskeri og fødevarer og SEIASA (fase I; Budgetgennemførelse på 260 000 000 EUR) skal gennemføre betingelserne i den plan for forbedring af effektiviteten og bæredygtigheden inden for kunstvanding, der gennemføres med denne investering. Denne retlige norm regulerer bl.a. den offentlige/private finansieringsordning for disse investeringer i kunstvanding, kriterierne for udvælgelse af projekter, procedurerne for gennemførelse af planen samt listen over foranstaltninger, der skal gennemføres i forbindelse med budgetgennemførelsen under denne foranstaltning.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Gennemførelse af aftalen mellem ministeriet for landbrug, fiskeri og fødevarer og SEIASA om støtte til forbedring og bæredygtighed af kunstvandede områder (fase II)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303</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Samarbejdsaftalen mellem ministeriet for landbrug, fiskeri og fødevarer og SEIASA (fase II; 303 000 000 EUR i budgetgennemførelsen) skal gennemføre betingelserne i den plan for forbedring af effektiviteten og bæredygtigheden inden for kunstvanding, der gennemføres i forbindelse med dette investeringsprojekt. Denne retlige norm regulerer bl.a. den offentlige/private finansieringsordning for disse investeringer i kunstvanding, kriterierne for udvælgelse af projekter, procedurerne for gennemførelse af planen samt listen over foranstaltninger, der skal gennemføres i forbindelse med budgetgennemførelsen under denne foranstaltning.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Modernisering af kunstvandingssystemer, der moderniseres med hensyn til vandbesparelser og energieffektivitet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Antal (hektar)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100 000 hektar kunstvandingssystemer moderniseret med hensyn til vandbesparelser og energieffektivitet. Det areal, der moderniseres ved hjælp af genopretnings- og resiliensplanen samt typologien for gennemførte aktioner, afspejles i de samarbejdsaftaler, som SEIASA har indgået med de berørte kunstvandingsområder eller de enheder, der forvalter vandressourcerne på De Kanariske Øer. Disse aftaler skal fastlægge de specifikke foranstaltninger, der skal gennemføres for at sikre vandbesparelser og energieffektivitet i moderniserede kunstvandingssystemer. Nogle af de foranstaltninger, der skal gennemføres med denne plan, er følgende: i) substituering af anvendelsen af grundvand eller overfladevand ved brug af ikke-konventionelle vandressourcer (genvundet eller afsaltet i overensstemmelse med den tekniske vejledning om DNSH-princippet) (2021/C58/01), ii) gennemførelse af vandreguleringssystemer, der muliggør vanding ved tyngdekraft (ved hjælp af højdeforskellen, således at transport af vand ikke kræver brug af energi), iii) udskiftning substituering af energi fra fossile kilder, der er nødvendige for at pumpe, med vedvarende energikilder (hovedsagelig fotovoltaiske), og iv) substituering af udendørs grøfter af beton eller jord med nedgravede rør, v) konstruktion af filtrerings- og pumpestationer og vi) montering af målere og fjernstyringssystemer. Inden andet kvartal af 2026 moderniseres mindst 100 000 hektar kunstvandingssystemer med hensyn til vandbesparelser og energieffektivitet, som kan verificeres gennem SIEASA-aftalerne om kunstvanding.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Idriftsættelse af en dyrefacilitet, et laboratorium, der både har et biosikkerhedsniveau 3 og et nationalt plantesundhedslaboratorium</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 to anlæg er niveau 3-laboratoriet for biologisk sikkerhed (LCSA-Santa Fe), niveau 3-faciliteten for biologisk sikkerhed (LCV-Algete) og det nationale plantesundhedslaboratorium i Lugo.</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Bedre rengørings- og desinfektionscentre og produktionscentre for planteformeringsmateriale med styrket uddannelse og biosikringssystemer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465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465 centre for rengøring og desinfektion og produktionscentre for planteformeringsmateriale med styrket uddannelse og biosikringssystemer. Kapacitetsudvikling omfatter forbedring og opførelse af rengørings- og desinfektionsfaciliteter i hele Spanien, og biosikkerhed består i at have tilgængelige, moderne og udstyrede rengørings- og desinfektionsfaciliteter. Rengøring og desinfektion er en vigtig søjle i biosikkerhedsforanstaltninger, så den teknologiske forbedring af disse faciliteter er af afgørende betydning, f.eks. automatisering, robotisering, installation af nye rengørings- og desinfektionssystemer, såsom termisk desinfektion eller installation af systemer.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Investeringsplan til fremme af landbrugets og husdyrs bæredygtighed og konkurrenceevne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307</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Afslutning af investeringsplanen til fremme af landbrugets og husdyrbrugets bæredygtighed og konkurrenceevne inden for præcisionslandbrug, energieffektivitet og cirkulær økonomi (budgetgennemførelse på 307 000 000 EUR). I retsgrundlaget fastsættes det, hvem støttemodtagerne er, hvilke krav de skal opfylde, hvilken type investeringer der er støtteberettigede, og hvilke kriterier der gælder for investeringer i: præcisionslandbrug, energieffektivitet, cirkulær økonomi og anvendelse af vedvarende energi.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Afsluttede projekter vedrørende præcisionslandbrug, energieffektivitet, cirkulær økonomi og anvendelse af vedvarende energi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5 000 bedrifter, der har afsluttet projekter for præcisionslandbrug, energieffektivitet, cirkulær økonomi og anvendelse af vedvarende energi. Præcisionslandbrug omfatter geolokaliserings- og satellitnavigationssystemer (GNSS), realtidsdataindsamling gennem sensorer og satellitbilleder og luftbårne billedsystemer sammen med geografiske informationssystemer (GIS), kortlægning, kommunikation og konnektivitet, energieffektivitet omfatter konditionering og isolering af bygninger (lagerbygninger og hjælpebygninger) og systemer, der optimerer klimakontrollen af drivhusgasser og landbrugs- og husdyrbrugenes energi- og varmeforbrug, den cirkulære økonomi omfatter strukturer til brug og genvinding af jordbrugsrester og animalske biprodukter gennem forbehandlingsoperationer og efterfølgende brug af energi til vedvarende energi, og den cirkulære økonomi omfatter strukturer til anvendelse og genvinding af landbrugsrester og animalske biprodukter gennem forbehandlingsoperationer og -teknikker, der forbedrer brugen af energi fra vedvarende energikilder til den efterfølgende energiproduktion.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Underskrivelse af kontraktlige aftaler mellem ministeriet for landbrug, fiskeri og fødevarer og ENISA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Undertegnelse af tre kontraktlige aftaler (en om året) mellem ministeriet for landbrug, fiskeri og fødevarer og ENISA om støtte til den digitale omstilling af SMV'er i landbrugsfødevarer gennem støtte til innovativ eller teknologibaseret iværksætterkultur i den spanske landbrugsfødevaresektor (budgetgennemførelse: 30 000 000 EUR 10 000 000 EUR pr. år). Samarbejdsaftalerne mellem ministeriet for landbrug, fiskeri og fødevarer og ENISA fastlægger vilkårene for den teknologibaserede iværksætterlinje til støtte for SMV'er i landbrugsfødevaresektoren, der præsenterer innovative og digitale forretningsprojekter, gennem ydelse af deltagerbaserede lån, investeringspolitik og kriterier for støtteberettigelse. Ovennævnte aftaler skal indeholde en klausul, der garanterer, at de investeringer, der foretages med denne finansiering, er i overensstemmelse med den tekniske vejledning om DNSH-princippet (2021/C58/01) for støttede transaktioner under denne foranstaltning gennem anvendelse af bæredygtighedskontrol, en udelukkelsesliste og kravet om overholdelse af den relevante EU- og nationale miljølovgivning. Formålet med denne investering er at opfylde flere af målsætningerne i den spanske strategi for digitalisering af landbrugsfødevaresektoren og landdistrikternes miljø og dens handlingsplaner.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Små og mellemstore landbrugsfødevarevirksomheder, der modtager støtte til gennemførelse af innovative og digitale forretningsprojekter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60 SMV'er i landbrugsfødevaresektoren har fået bevilget lån til gennemførelse af innovative og digitale forretningsprojekter. Formålet med denne støtte er at yde deltagelsesbaserede lån for at tilskynde virksomhederne til at udvikle levedygtige og innovative projekter i tilknytning til elektronisk handel og konsolidering af Industri 4.0 blandt mange andre løftestænger til ændringer i digitale forretningsmodeller for fødevareindustrien. Det skal sikres ved hjælp af udvælgelseskriterier, at de transaktioner under denne investering, som disse SMV'er foretager med disse lån, er i overensstemmelse med den tekniske vejledning om DNSH-princippet(2021/C58/01) for støttede transaktioner under denne foranstaltning gennem anvendelse af bæredygtighedskontrol, en udelukkelsesliste og kravet om overholdelse af den relevante EU- og nationale miljølovgivning.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Indkøb af IKT-udstyr til havreserverne af interesse for fiskeri og kontrakter om erhvervelse af specialskibe til havreserverne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af kontrakttildelingen på udbudsplatformen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Offentliggørelse på udbudsplatformen af den kontrakt, der er tildelt med henblik på indkøb af IKT-udstyr til havreserverne af interesse for fiskeri og tildeling af to kontrakter om erhvervelse af to specialskibe til havreserverne. IKT-udstyret til havreserverne består af i) Alboran Lighthouse radar-radioforbindelse til halvøen, ii) køb af mindst fire natudsynsudstyr til sporing af forbudte aktiviteter og iii) køb af droner med tilstrækkelig styrke til at muliggøre kontrol- og overvågningsaktiviteter og optimere de eksisterende midler, hvilket også mindsker miljøpåvirkningen. Ved køb af et specialfartøj til en ny havreserve søges den bedste teknologi, der muliggør overholdelse af den tekniske vejledning om DNSH-princippet(2021/C58/01).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Aftaler med offentlige forskningsorganer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Undertegnelse af aftaler med offentlige forskningsorganer</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Undertegnelse af aftaler med offentlige forskningsorganer om fremme af fiskeri- og akvakulturforskning og sikring af en økosystembaseret tilgang til beslutningstagning inden for fiskeriforvaltning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Erhvervelse af akustiske sonder til forskning inden for fiskeri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platformen for offentlige indkøb af den kontrakt, der blev tildelt med henblik på erhvervelse af to akustiske sonder dedikeret til fiskeriforskning. Formålet med at erhverve to sonder for to eksisterende fiskerfartøjer er at sikre kvaliteten af de indhentede data og dermed fremme videnskabelige evalueringer af de forskellige bestande af pelagiske arter og dermed bidrage til et bæredygtigt fiskeri og beslutningstagning vedrørende fiskeriforvaltning baseret på den bedste videnskabelige viden.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C3.I8</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Forsknings-, udviklings- og innovationsprojekter til støtte for fiskeri- og akvakultursektorens modstandsdygtighed og bæredygtighed</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mindst 20 forsknings-, udviklings- og innovationsprojekter med henblik på indførelse af nye teknologier, der fremmer fiskeri- og akvakultursektorens modstandsdygtighed og bæredygtighed.</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Digital styrkelse af det spanske fiskeriinformationssystem (SIPE) og af fiskeriovervågningssystemet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Montering af anden brandvæg</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Digital styrkelse af fiskerioplysninger og -overvågning, herunder installering af endnu en brandmur (firewall) for at øge sikkerheden i det spanske fiskeriinformationssystem (SIPE) i overensstemmelse med kravene i den nationale sikkerhedsordning (ENS) for et højt sikkerhedsniveau og digitalisering af fiskerfartøjer.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C3.I10</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Indkøb af lette patruljefartøjer og patruljefartøjer til på åbent hav at bekæmpe ulovligt, urapporteret og ureguleret fiskeri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af kontrakttildelingen på udbudsplatformen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udbudsplatformen af tildelingen af kontrakten for fire nye lette patruljefartøjer og tre fornyede patruljefartøjer på åbent hav, der skal anvendes til at bekæmpe ulovligt, urapporteret og ureguleret fiskeri, som fortsat er en af de største trusler mod marine økosystemer. Der skal søges efter den bedste teknologi, der gør det muligt at overholde den tekniske vejledning om DNSH-princippet (2021/C58/01).</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C3.I11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Finansiering af investeringsprojekter i fiskerisektoren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Mio. EUR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Godkendelsen af aftalen mellem ministeriet for landbrug, fiskeri og fødevarer og SAECA om at støtte finansieringen af investeringsprojekter i fiskerisektoren ved at yde et lån på 5 000 000 EUR til Sociedad Anónima Estatal de Caución Agraria (SAECA) om oprettelse af en finansieringslinje med henblik på at gengarantere projekter med foranstaltninger vedrørende bæredygtigt fiskeri at forbedre arbejdsvilkårene og sikkerheden i forbindelse med aktiviteten og digitalisering af processer og systemer. Ovennævnte aftale skal indeholde en klausul, der garanterer, at de transaktioner, der støttes under denne investering, er i overensstemmelse medden tekniske vejledning om DNSH-princippet (2021/C58/01) for støttede transaktioner under denne foranstaltning gennem anvendelse af bæredygtighedsvurdering, en udelukkelsesliste og kravet om overholdelse af den relevante EU- og nationale miljølovgivning.</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49"/>
          <w:headerReference w:type="default" r:id="rId50"/>
          <w:footerReference w:type="even" r:id="rId51"/>
          <w:footerReference w:type="default" r:id="rId52"/>
          <w:headerReference w:type="first" r:id="rId53"/>
          <w:footerReference w:type="first" r:id="rId54"/>
          <w:pgSz w:w="16839" w:h="11907" w:orient="landscape"/>
          <w:pgMar w:top="1417" w:right="1134" w:bottom="1417" w:left="1134" w:header="709" w:footer="709" w:gutter="0"/>
          <w:cols w:space="720"/>
          <w:docGrid w:linePitch="360"/>
        </w:sectPr>
      </w:pPr>
    </w:p>
    <w:p>
      <w:pPr>
        <w:pStyle w:val="Heading1"/>
        <w:rPr>
          <w:noProof/>
        </w:rPr>
      </w:pPr>
      <w:r>
        <w:rPr>
          <w:noProof/>
        </w:rPr>
        <w:t>D. KOMPONENT 04: Økosystemer og biodiversitet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komponent i den spanske genopretnings- og resiliensplan skal afhjælpe Spaniens sårbarhed over for de direkte og indirekte negative virkninger af klimaændringer som følge af dets biogeografi og geomorfologi ved at forbedre økosystemernes bevaringsstatus ved om nødvendigt at genoprette deres økologiske genopretning og vende biodiversitetstab, sikre en bæredygtig udnyttelse af naturressourcerne og bevare og forbedre økosystemtjenester. Denne komponent skal også bidrage til tilpasning af økosystemerne til de skadelige virkninger af klimaændringer ved at vedtage foranstaltninger til at minimere virkningerne heraf ved at fokusere på skovbrande. Der lægges yderligere vægt på beskyttelse, bevarelse og genopretning af marine økosystemer.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Gennemførelsen af denne komponent i den spanske genopretnings- og resiliensplan skal gøre det muligt i) at iværksætte den blå dagsorden for forbedring af havene og deres biodiversitet, ii) øge andelen af beskyttede havområder ved at beskytte mindst 18 % af det spanske område inden udgangen af 2025 og forsvare både fauna og flora og iii) for første gang indføre en ramme for havforvaltning i Spanien.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Desuden vil den også bevare og forvalte landdistrikterne, deres økosystemer, biodiversitet og skovområder på en bæredygtig måde. Landdistrikterne — hvor affolkningen har haft en særlig negativ indvirkning — er hjemsted for en stor del af Spaniens rige naturarv og er derfor en kilde til lokal velstand og åbner muligheder for at vende den demografiske tilbagegang.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komponent i den spanske genopretnings- og resiliensplan støtter investeringer i den grønne og digitale omstilling (landespecifik henstilling nr. 3 fra 2020). Den støtter også korrekt arealforvaltning, navnlig skovforvaltning, naturbeskyttelse og genopretning i overensstemmelse med målene i den europæiske grønne pagt og EU's biodiversitetsstrategi for 2030.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ind w:left="720"/>
        <w:jc w:val="both"/>
        <w:rPr>
          <w:rFonts w:ascii="Times New Roman" w:hAnsi="Times New Roman" w:cs="Times New Roman"/>
          <w:b/>
          <w:bCs/>
          <w:i/>
          <w:iCs/>
          <w:noProof/>
          <w:color w:val="4F81BD" w:themeColor="accent1"/>
          <w:sz w:val="24"/>
          <w:szCs w:val="24"/>
        </w:rPr>
      </w:pPr>
      <w:r>
        <w:rPr>
          <w:rFonts w:ascii="Times New Roman" w:hAnsi="Times New Roman"/>
          <w:b/>
          <w:bCs/>
          <w:noProof/>
          <w:sz w:val="24"/>
          <w:szCs w:val="24"/>
          <w:u w:val="single"/>
        </w:rPr>
        <w:t xml:space="preserve">D.1 </w:t>
      </w:r>
      <w:r>
        <w:rPr>
          <w:rFonts w:ascii="Times New Roman" w:hAnsi="Times New Roman"/>
          <w:b/>
          <w:noProof/>
          <w:sz w:val="24"/>
          <w:szCs w:val="24"/>
          <w:u w:val="single"/>
        </w:rPr>
        <w:tab/>
      </w:r>
      <w:r>
        <w:rPr>
          <w:rFonts w:ascii="Times New Roman" w:hAnsi="Times New Roman"/>
          <w:b/>
          <w:bCs/>
          <w:noProof/>
          <w:sz w:val="24"/>
          <w:szCs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1 (C4.R1) — Bevarelse af land- og havbiodiversitet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reform skal ajourføre lovgivningen om biodiversitet og naturarv og planerne for at opfylde de forpligtelser, der følger af konventionen om den biologiske mangfoldighed og EU's nyligt vedtagne biodiversitetsstrategi frem til 2030.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Hovedelementet i denne reform er at udarbejde, godkende og anvende den strategiske plan for naturarv og biodiversitet (som fastsat i lov nr. 42/2007 om naturarv og biodiversitet) med henblik på at have en varig indvirkning på bevarelsen og forvaltningen af alle spanske natursystemer samt på de tjenester, den leverer til samfundet. Reformen skal også omfatte følgende foranstaltninger under denne foranstaltning: </w:t>
      </w:r>
    </w:p>
    <w:p>
      <w:pPr>
        <w:numPr>
          <w:ilvl w:val="0"/>
          <w:numId w:val="46"/>
        </w:numPr>
        <w:spacing w:before="120" w:after="16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Vedtagelse af strategien for biodiversitet, videnskab og viden, som skal identificere de største forskningsmangler og fastlægge specifikke områder, hvor der er behov for forskning i biodiversitet. </w:t>
      </w:r>
    </w:p>
    <w:p>
      <w:pPr>
        <w:numPr>
          <w:ilvl w:val="0"/>
          <w:numId w:val="4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Vedtagelse af det kongelige dekret om godkendelse af planen for netværket af beskyttede havområder, som skal fremme et økologisk sammenhængende netværk, der bidrager til bevarelse af områder med naturarv og havets biodiversitet og fremmer en planlagt, effektiv og sammenhængende forvaltning af beskyttede havområder. </w:t>
      </w:r>
    </w:p>
    <w:p>
      <w:pPr>
        <w:numPr>
          <w:ilvl w:val="0"/>
          <w:numId w:val="4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Den nationale strategi for bevarelse af bestøvere skal indeholde de foranstaltninger, der er nødvendige for at forbedre bestøvernes situation. Denne strategi skal navnlig fokusere på i) fremme af gunstige områder for bestøvere, ii) forbedring af forvaltningen og reduktion af de risici, der er forbundet med skadelige arter iii)plantesundhedsmæssige produkter og iv) fremme af forskning i bevarelse af bestøvere og udbredelse af forskningsresultater på dette område. </w:t>
      </w:r>
    </w:p>
    <w:p>
      <w:pPr>
        <w:numPr>
          <w:ilvl w:val="0"/>
          <w:numId w:val="4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Vedtagelsen af forordningen om ajourføring af administrative og videnskabelige myndigheder i henhold til konventionen om international handel med udryddelsestruede vilde dyr og planter (CITES-forordningen), som skal sikre gennemførelsen af CITES-foranstaltningerne og sikre, at handelen ikke skader arternes bevaringsstatus og deres muligheder for at overleve på lang sigt. </w:t>
      </w:r>
    </w:p>
    <w:p>
      <w:pPr>
        <w:numPr>
          <w:ilvl w:val="0"/>
          <w:numId w:val="46"/>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 xml:space="preserve">Planen for bevarelse og genopretning af vådområder, som skal sikre bevarelse og rationel udnyttelse af vådområder.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Udviklingen af disse foranstaltninger under denne foranstaltning støttes direkte af investering 1 og 2 i denne komponent i den spanske genopretnings- og resiliensplan (beskrevet nedenfor). Den skal også supplere de to andre reformer og investeringer, der er beskrevet i denne komponent i den spanske genopretnings- og resiliensplan.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reformerne skal være afsluttet senest den 31. december 2022.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2 (C4.R2) — Genskabelse af økosystemer og grøn infrastruktur</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reform er at udvikle og gennemføre den centrale regerings strategi for grøn infrastruktur, konnektivitet og økologisk genopretning, genoprette beskadigede økosystemer og konsolidere et netværk af fuldt funktionsdygtige naturlige og halvnaturlige land- og havområder, der er forbundet i Spanien senest i 2050.</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Disse reformer omfatter syv forskellige indsatsområder for at: i) mindske virkningerne af fragmentering og tab af økologisk konnektivitet ii) genoprettelevesteder og økosystemer i centrale områder iii) vedligeholde og forbedre af leveringen af økosystemtjenester i forbindelse med grønne infrastrukturelementer iv) forbedre modstandsdygtigheden af elementer, der er knyttet til grøn infrastruktur v) sikre territorial sammenhæng vi) indarbejdelse af effektiv grøn infrastruktur og vii) sikring af passende kommunikation, uddannelse og inddragelse af interessegrupper og samfundet i udviklingen af grøn infrastruktur.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reform støttes yderligere af investering 3 i denne komponent af den spanske genopretnings- og resiliensplan, der navnlig omhandler anbefalingerne i EU's biodiversitetsstrategi for 2030 om indarbejdelse af økologiske korridorer, storstilet plantning af træer, betydelige fremskridt med at rehabilitere forurenede arealer og målet om at sikre, at byer med mindst 20 000 indbyggere har en ambitiøs plan for grøn byudvikling. Den vedrører også reform 1 og investeringer 1 af denne komponent i den spanske genopretnings- og resiliensplan.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reformerne skal være afsluttet senest den 30. juni 2021.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3 (C4.R3) — Bæredygtig skovforvaltning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reform skal ajourføre den spanske skovstrategi fra 1999 sammen med den spanske skovplan for 2002-2032 og udvikle en pakke af foranstaltninger til fremme af skovbrugssektoren, der omfatter den spanske skov som helhed: beskyttelse af arter og områder, brande, ejere, udvikling, den nuværende tilstand og tendenser i bl.a. skovområder og -ressourcer. Reformen skal tage fat på den økonomiske og sociale revitalisering af store landdistrikter, som står over for alvorlige affolkningsproblemer, og som er i overensstemmelse med EU's grønne pagt. </w:t>
      </w:r>
    </w:p>
    <w:p>
      <w:pPr>
        <w:spacing w:before="120" w:after="120" w:line="240" w:lineRule="auto"/>
        <w:jc w:val="both"/>
        <w:rPr>
          <w:rFonts w:ascii="Times New Roman" w:hAnsi="Times New Roman" w:cs="Times New Roman"/>
          <w:noProof/>
          <w:sz w:val="24"/>
        </w:rPr>
      </w:pPr>
      <w:r>
        <w:rPr>
          <w:rFonts w:ascii="Times New Roman" w:hAnsi="Times New Roman"/>
          <w:noProof/>
          <w:sz w:val="24"/>
        </w:rPr>
        <w:t>Den spanske skovbrugsstrategi skal have fem strategiske prioriteter:</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Bevarelse og forbedring af naturarv, biodiversitet og konnektivitet.</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Beskyttelse, sundhedssikkerhed og beskyttelse af forebyggelse og tilpasning til natur- og miljørisici. </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Skovbioøkonomi: grøn økonomi og beskæftigelse, mobilisering af skovressourcer og bæredygtig socioøkonomisk udvikling af skovbrugssektoren.</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Udvikling og forbedring af viden og skovbrugskultur.</w:t>
      </w:r>
    </w:p>
    <w:p>
      <w:pPr>
        <w:numPr>
          <w:ilvl w:val="0"/>
          <w:numId w:val="43"/>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Skovforvaltningsmodel: de lovgivningsmæssige, administrative og instrumentale rammer for den spanske skovbrugspolitik.</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Der er to vigtige instrumenter i den spanske skovstrategi, som er nødvendige for at reformere skovbrugssektoren som helhed. Den første er vedtagelsen af retningslinjer for bæredygtig skovforvaltning. Disse retningslinjer skal dække spørgsmål som biodiversitet, klimaændringer og cirkulær bioøkonomi. For det andet strategiske retningslinjer for forvaltning af skovbrande i Spanien, som fastlægger de mål, der skal følges, fastlægger hovedlinjerne i arbejdet og identificerer de grupper i samfundet, der har en vis grad af ansvar. Disse strategiske retningslinjer er afgørende for at bekæmpe skovbrande og øge skovsektorens strategiske positionering i forbindelse med den økologiske omstilling.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skal være gennemført senest den 30. juni 2022.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1 (C4.I1) — Digitalisering af og viden om naturarv</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Investeringen skal etablere et system til digitalisering af forvaltningen, kontrollen og overvågningen af naturarven, der dækker både land- og havområderne. Denne investering skal sikre en væsentlig forbedring af kendskabet til arter og levesteder samt kortlægning af oplysninger og naturarv (herunder geologisk). Investeringen fokuserer på erhvervelse af oplysninger og forvaltning heraf, herunder:</w:t>
      </w:r>
    </w:p>
    <w:p>
      <w:pPr>
        <w:numPr>
          <w:ilvl w:val="0"/>
          <w:numId w:val="18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Et program til forbedring af viden om og digitalisering af biodiversitet og forvaltning af naturarv på nationalt plan gennem udvikling af overvågningsnetværk, udbredelse af sensorer og anvendelse af både faste og mobile digitale systemer til erhvervelse af information. </w:t>
      </w:r>
    </w:p>
    <w:p>
      <w:pPr>
        <w:numPr>
          <w:ilvl w:val="0"/>
          <w:numId w:val="182"/>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 xml:space="preserve">Udvikling af informationsstyringssystemer eller -platforme på nationalt plan med yderligere analyse- og formidlingskapacitet.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Flyelektroniksystemet i amfibieflyvemaskinens flåde skal ajourføres. Denne investering skal forbedre brandslukningsanordningens funktion ved at indføre teknologiske opdateringer såsom bedre kameraer og brandsensorer, som skal gøre luftfartøjerne sikrere og mere effektive i forbindelse med brandslukning.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Det forventes, at denne foranstaltning ikke skader miljømålene i væsentlig grad, jf. artikel 17 i forordning (EU) 2020/852, under hensyntagen til beskrivelsen af foranstaltningen og de afhjælpende foranstaltninger, der er fastsat i genopretnings- og resiliensplanen i overensstemmelse med den tekniske vejledning om DNSH-princippet (2021/C58/01). Forbedring af flyelektroniksystemet i amfibieflyvemaskinens flåde må kun indarbejdes i eksisterende luftfartøjer og må ikke øge disse luftfartøjers levetid eller kapacitet. Det skal kun sikre sikkerheds- og flyvebetingelser under operationer, hvor de anvendes til at slukke skovbrande.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30. juni 2026.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Investeringer 2 (C4.I2) — Bevarelse af land- og havbiodiversitet</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investering omfatter en række direkte investeringer og tilskudslinjer til bevarelse af både land- og marin biodiversitet. Den skal omfatte fem aktionslinjer, som er tilpasset reformen 1: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Bevarelse af den terrestriske biodiversitet, forbedring af arters og levesteders bevaringsstatus, forebyggelse af trusler og dødelighed samt foranstaltninger til bekæmpelse og udryddelse af invasive ikkehjemmehørende arter.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Forbedring af infrastrukturer, herunder foranstaltninger såsom tilvejebringelse, renovering og opgradering af faciliteter og infrastruktur, der er forbundet med forvaltning af naturarv og bevidstgørelse, og fremhævelse og formidling af betydningen af bevarelse af biodiversitet for menneskers sundhed og trivsel.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Bevarelse af havets biodiversitet, som skal indeholde en bevaringsplan for 30 % af havområdet senest i 2030. Denne investering skal beskytte mindst 18 % af det spanske havområde senest i 2025.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Genoprettelse af vådområder ved hjælp af foranstaltninger til bevarelse, forbedring og genopretning af vådområder og navnlig dem, der er knyttet til planen for bevarelse og genopretning af vådområder, der er indeholdt i reformen af 2. </w:t>
      </w:r>
    </w:p>
    <w:p>
      <w:pPr>
        <w:numPr>
          <w:ilvl w:val="0"/>
          <w:numId w:val="183"/>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 xml:space="preserve">Kontrol med den internationale handel for at forbedre og konsolidere netværket af CITES-redningscentre og styrke handlingsplanen for bekæmpelse af ulovlig handel.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Det forventes, at denne foranstaltning ikke skader miljømålene i væsentlig grad, jf. artikel 17 i forordning (EU) 2020/852, under hensyntagen til beskrivelsen af foranstaltningen og de afhjælpende foranstaltninger, der er fastsat i genopretnings- og resiliensplanen i overensstemmelse med den tekniske vejledning om DNSH-princippet (2021/C58/01). Navnlig ved indkøb af specialskibe skal udvælgelseskriterierne for investeringen sikre, at kun de bedste tilgængelige teknologier med de laveste miljøvirkninger i sektoren udvælges under hensyntagen til det særlige formål, de tjener.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30. juni 2026.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3 (C4.I3) — Genskabelse af økosystemer og grøn infrastruktur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investering skal omfatte en række foranstaltninger til støtte for gennemførelsen af reform 2. Målet er at genoprette naturlige økosystemer og områder, der er forstyrret af mineaktiviteter, samt andre initiativer i bymiljøer, der har til formål at fremme konnektivitet og omstilling i byerne.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Investeringen fastsætter et mål om at genoprette mindst 30 000 hektar naturlige økosystemer. Genopretningsforanstaltningerne skal fokusere på nedbrudte områder eller økosystemer ved at fjerne kunstige elementer, forbedre jordbund og morfologi samt revegetation og naturalisation. Med hensyn til minedrift skal investeringen rehabilitere mindst 30 tidligere mineområder. Rehabilitering af tidligere mineområder omfatter dekontaminering af jorden, genindvinding af morfologi og fornyelse af vegetation og naturalisation af de tidligere mineområder, der ikke længere er i drift.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Endelig skal investeringen tage sigte på grøn infrastruktur, der dækker de lokale myndigheders behov, herunder: i) byplanlægning og byfornyelsesstrategier med det formål at skabe og regenerere grøn og blå infrastruktur og frigøre byområderne for at øge biodiversiteten, jordens permeabilitet og den naturlige konnektivitet i byerne ii) aktioner og projekter, der omfatter forvaltnings- og deltagelsesprocesser, forvaltning af grønne og blå områder og bymetabolismeprojekter vedrørende biodiversitet og iii) støtte til udstyr og infrastrukturprojekter til byplanlægning. </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30. juni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C4.I4 Bæredygtig skovforvaltning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Disse investeringer omfatter investeringer i bæredygtig skovforvaltning: </w:t>
      </w:r>
    </w:p>
    <w:p>
      <w:pPr>
        <w:numPr>
          <w:ilvl w:val="0"/>
          <w:numId w:val="184"/>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Foranstaltninger, der skal forbedre skovforvaltningen med henblik på bekæmpelse af brande og andre skovforvaltningsinterventioner teknisk støtte til skovejere og forvaltninger med henblik på at konsolidere det offentlige ejerskab skovforvaltningsplaner til fremme af biodiversitet og bæredygtig udnyttelse af skovene. </w:t>
      </w:r>
    </w:p>
    <w:p>
      <w:pPr>
        <w:numPr>
          <w:ilvl w:val="0"/>
          <w:numId w:val="184"/>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Aktioner, der skal beskytte og tilpasse sig klimaændringer, herunder fornyelse af mindst 100 særlige brandslukningsanlæg, brandbrigadebaser og fremskridt med skovforbedringstiltag. </w:t>
      </w:r>
    </w:p>
    <w:p>
      <w:pPr>
        <w:numPr>
          <w:ilvl w:val="0"/>
          <w:numId w:val="184"/>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 xml:space="preserve">En række foranstaltninger skal støtte skovbrugssektoren som en vigtig ressource til at tackle den demografiske udfordring med særligt fokus på grøn iværksætterkultur og den lokale bioøkonomi. Denne del af investeringen skal omfatte tilskud til lokale myndigheder og andre offentlige og private aktører til fremme af skovbrugssektorens og dens industris konkurrenceevne, iværksætterånd og bæredygtighed. Disse aktioner skal have særligt fokus på skabelse af grønne job, navnlig ved at støtte kvinders og unges deltagelse i skovbrugssektoren og grøn iværksætterkultur.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Det forventes, at denne foranstaltning ikke skader miljømålene i væsentlig grad, jf. artikel 17 i forordning (EU) 2020/852, under hensyntagen til beskrivelsen af foranstaltningen og de afhjælpende foranstaltninger, der er fastsat i genopretnings- og resiliensplanen i overensstemmelse med den tekniske vejledning om DNSH-princippet (2021/C58/01). Foranstaltningen skal navnlig udtrykkeligt forebygge og udelukke støtte til monokulturplantager, navnlig eukalyptus, for at minimere risikoen for vandstress og brandfare. Til erhvervelse af luftaktiver (fly eller helikoptere) og køb af nyt landbaseret brandslukningsudstyr ydes der kun støtte til de bedste tilgængelige teknologier med de laveste miljøvirkninger i sektoren under hensyntagen til det særlige formål, de tjener.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D.2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medmindre andet er angivet i beskrivelsen af foranstaltningen. Beløbene i tabellen omfatter ikke moms.</w:t>
      </w:r>
    </w:p>
    <w:p>
      <w:pPr>
        <w:spacing w:before="120" w:after="120" w:line="240" w:lineRule="auto"/>
        <w:jc w:val="both"/>
        <w:rPr>
          <w:rFonts w:ascii="Times New Roman" w:hAnsi="Times New Roman" w:cs="Times New Roman"/>
          <w:noProof/>
          <w:sz w:val="24"/>
          <w:lang w:val="en-IE"/>
        </w:rPr>
        <w:sectPr>
          <w:headerReference w:type="even" r:id="rId55"/>
          <w:headerReference w:type="default" r:id="rId56"/>
          <w:footerReference w:type="even" r:id="rId57"/>
          <w:footerReference w:type="default" r:id="rId58"/>
          <w:headerReference w:type="first" r:id="rId59"/>
          <w:footerReference w:type="first" r:id="rId6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851"/>
        <w:gridCol w:w="992"/>
        <w:gridCol w:w="2126"/>
        <w:gridCol w:w="1276"/>
        <w:gridCol w:w="850"/>
        <w:gridCol w:w="567"/>
        <w:gridCol w:w="709"/>
        <w:gridCol w:w="425"/>
        <w:gridCol w:w="567"/>
        <w:gridCol w:w="6096"/>
      </w:tblGrid>
      <w:tr>
        <w:trPr>
          <w:trHeight w:val="309"/>
          <w:tblHeader/>
        </w:trPr>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Foranstaltning</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Milepæl</w:t>
            </w:r>
            <w:r>
              <w:rPr>
                <w:rFonts w:ascii="Times New Roman" w:hAnsi="Times New Roman"/>
                <w:b/>
                <w:noProof/>
                <w:color w:val="000000"/>
                <w:sz w:val="18"/>
                <w:szCs w:val="18"/>
              </w:rPr>
              <w:t xml:space="preserve"> </w:t>
            </w:r>
            <w:r>
              <w:rPr>
                <w:rFonts w:ascii="Times New Roman" w:hAnsi="Times New Roman"/>
                <w:b/>
                <w:bCs/>
                <w:noProof/>
                <w:color w:val="000000"/>
                <w:sz w:val="18"/>
                <w:szCs w:val="18"/>
              </w:rPr>
              <w:t>/ Mål</w:t>
            </w:r>
          </w:p>
        </w:tc>
        <w:tc>
          <w:tcPr>
            <w:tcW w:w="212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Betegnelse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Kvalitativ indikator for milepæle</w:t>
            </w:r>
          </w:p>
        </w:tc>
        <w:tc>
          <w:tcPr>
            <w:tcW w:w="2126"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Tid</w:t>
            </w:r>
          </w:p>
        </w:tc>
        <w:tc>
          <w:tcPr>
            <w:tcW w:w="609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12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Enhed</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Reference</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Målsætning</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År</w:t>
            </w:r>
          </w:p>
        </w:tc>
        <w:tc>
          <w:tcPr>
            <w:tcW w:w="609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C4.R1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Strategiplan for naturarv og biodiversitet og plan for netværket af beskyttede havområder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Vedtagelse af strategiplanen for naturarv og biodiversitet (kongeligt dekret) og af planen for netværket af beskyttede havområder (kongeligt dekret), herunder oprettelse af mindst ni havforvaltningsbaser.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C4.R2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Vedtagelse af den nationale strategi for grøn infrastruktur, konnektivitet og økologisk genopretning</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Vedtagelse af den nationale strategi for grøn infrastruktur, konnektivitet og økologisk genopretning. Strategien skal omfatte aktionslinjer med henblik på at opnå: i) Mindskelse af virkningerne af fragmentering og tab af økologisk konnektivitet. ii) genopretning af økosystemer på centrale områder iii) opretholdelse og forbedring af leveringen af økosystemtjenester. iv) forbedring af modstandsdygtigheden v) definition af en forvaltningsmodel og vi) kommunikation, uddannelse og inddragelse af interessenter.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C4.R3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Godkendelse af den spanske skovstrategi og -støtteplan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EU-Tidende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Vedtagelse af den spanske skovstrategi og -støtteplan, herunder retningslinjer for bæredygtig skovforvaltning</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Tildeling af kontrakter om specialfly til brandslukning og etablering af et system til overvågning og forvaltning af viden om biodiversitet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Tildeling af ordrer</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Tildeling af kontrakter om opdatering og opgradering af mindst ti specialfly til brandslukning og tilrådighedsstillelse af systemet til overvågning og forvaltning af viden om biodiversitet. Systemet omfatter øget viden om arter og habitater og en digital platform. Investeringen skal sikre overensstemmelse med den tekniske vejledning om DNSH-princippet (2021/C58/01) ved kun at opgradere eksisterende luftfartøjer, hvilket ikke må øge deres levetid eller kapacitet.</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Færdiggørelse af opdateringer og opgraderinger af brandslukningsfly og ibrugtagning af systemet til overvågning og forvaltning af viden om biodiversitet</w:t>
            </w:r>
          </w:p>
        </w:tc>
        <w:tc>
          <w:tcPr>
            <w:tcW w:w="1276" w:type="dxa"/>
            <w:shd w:val="clear" w:color="auto" w:fill="C6EFCE"/>
            <w:noWrap/>
          </w:tcPr>
          <w:p>
            <w:pPr>
              <w:spacing w:after="0" w:line="240" w:lineRule="auto"/>
              <w:jc w:val="center"/>
              <w:rPr>
                <w:rFonts w:ascii="Times New Roman" w:eastAsia="Times New Roman" w:hAnsi="Times New Roman" w:cs="Times New Roman"/>
                <w:i/>
                <w:noProof/>
                <w:sz w:val="18"/>
                <w:szCs w:val="18"/>
              </w:rPr>
            </w:pPr>
            <w:r>
              <w:rPr>
                <w:rFonts w:ascii="Times New Roman" w:hAnsi="Times New Roman"/>
                <w:i/>
                <w:noProof/>
                <w:color w:val="000000"/>
                <w:sz w:val="18"/>
                <w:szCs w:val="18"/>
              </w:rPr>
              <w:t>Acta de Recepción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Mindst ti ajourførte og opgraderede specialfly til brandslukning (Canadair) fuldført, og systemet til overvågning og forvaltning af viden om biodiversitet er afsluttet og operationelt (herunder den digitale platform).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Beskyttede havområder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af det spanske havområde</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13</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Opnåelse af et beskyttet havområde på mindst 15 % af det spanske havområde. "Beskyttet havområde": et havområde, der er omfattet af Natura 2000-nettet eller andre kategorier af beskyttede naturområder, som fastsat ved lov nr. 42/2007 områder, der er beskyttet af internationale instrumenter og havreserverne, vil blive medtaget i rampen (det spanske net af beskyttede havområder). (referenceniveau: 31. december 2020.) </w:t>
            </w:r>
          </w:p>
        </w:tc>
      </w:tr>
      <w:tr>
        <w:trPr>
          <w:trHeight w:val="309"/>
        </w:trPr>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68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C4.I2</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Beskyttede havområder </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lang w:val="en-IE"/>
              </w:rPr>
            </w:pP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af det spanske havområde</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15</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18</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2025</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Opnåelse af et beskyttet havområde på mindst 18 % af det spanske havområde. "Beskyttet havområde": et havområde, der er omfattet af Natura 2000-nettet eller andre kategorier af beskyttede naturområder, som fastsat ved lov nr. 42/2007 områder, der er beskyttet af internationale instrumenter og havreserverne, vil blive medtaget i rampen (det spanske net af beskyttede havområder). (referenceniveau: 31. december 2023.)</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69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Foranstaltninger til bevarelse af biodiversitet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Antal (hektar)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50 000 hektar, der er omfattet af afsluttede foranstaltninger til bevarelse af biodiversiteten. Bevarelsesforanstaltninger omfatter følgende: i) aktioner til forebyggelse af dødelighed blandt endemiske arter af fauna og flora, ii) foranstaltninger til tidlig påvisning, kontrol eller validering af invasive arter, iii) foranstaltninger til forvaltning og forbedring af boliger, der er truffet for truede arter, iv) foranstaltninger til genopretning af vådområder såsom forbedring af naturdynamikken, vandkvantiteten og kvaliteten samt den naturlige fauna og flora. og v) foranstaltninger til tilvejebringelse, renovering og opgradering af faciliteter og infrastruktur i tilknytning til forvaltning af naturarv og navnlig beskyttede områder (Natura 2000 og beskyttede områder),og opgradering af konventionen om ulovlig handel med udryddelsestruede vilde dyr og planter (CITES), herunder oprettelse af et nyt referencecenter for redning. Ved køb af specialskibe skal udvælgelseskriterierne for investeringen sikre overensstemmelse med den tekniske vejledning om DNSH-princippet (2021/C58/01) ved kun at støtte de bedste tilgængelige teknologier med de laveste miljøvirkninger, idet der tages hensyn til det særlige formål, de tjener.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Rehabilitering af tidligere mineområder (mindst 20 tidligere mineområder)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Antal (mineområder)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Rehabilitering af mindst 50 % af hvert mineområde med fokus på mindst 20 tidligere mineområder, herunder dekontaminering af jorden, genindvinding af morfologi samt genplantning og naturalisation.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Foranstaltninger til genopretning af økosystemer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Antal (hektar)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30 000 hektar, der er omfattet af afsluttede foranstaltninger til genopretning af økosystemer i forringede områder eller økosystemer, herunder fjernelse af kunstige elementer, forbedring af jordbund og morfologi samt genplantning og naturalisation.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C4.I3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rehabilitering af tidligere mineområder (mindst 30 tidligere mineområder)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Antal (mineområder)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30 tidligere mineområder er blevet rehabiliteret, herunder dekontaminering af jorden, genindvinding af Morfologien og genopretning og naturalisation af de tidligere mineområder, der ikke længere er i drift. </w:t>
            </w:r>
          </w:p>
        </w:tc>
      </w:tr>
      <w:tr>
        <w:trPr>
          <w:trHeight w:val="309"/>
        </w:trPr>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C4.I4</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12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Foranstaltninger vedrørende bæredygtig skovforvaltning </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Certifikater underskrevet af MITERD</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Afslutning af foranstaltninger vedrørende bæredygtig skovforvaltning, herunder fornyelse af mindst 100 specialkøretøjer til brandbekæmpelse, renovering af brandbaser og afslutning af skovforbedringstiltag, herunder planlægning af tilpasningsegnede bæredygtige skovforvaltningspraksisser og berigelse af arter. Ved køb af specialskibe skal udvælgelseskriterierne for investeringen sikre overensstemmelse med den tekniske vejledning om DNSH-princippet (2021/C58/01) ved kun at støtte de bedste tilgængelige teknologier med de laveste miljøvirkninger, idet der tages hensyn til det særlige formål, de tjener. </w:t>
            </w:r>
          </w:p>
        </w:tc>
      </w:tr>
    </w:tbl>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sectPr>
          <w:headerReference w:type="even" r:id="rId61"/>
          <w:headerReference w:type="default" r:id="rId62"/>
          <w:footerReference w:type="even" r:id="rId63"/>
          <w:footerReference w:type="default" r:id="rId64"/>
          <w:headerReference w:type="first" r:id="rId65"/>
          <w:footerReference w:type="first" r:id="rId66"/>
          <w:pgSz w:w="16839" w:h="11907" w:orient="landscape"/>
          <w:pgMar w:top="1417" w:right="1134" w:bottom="1417" w:left="1134" w:header="709" w:footer="709" w:gutter="0"/>
          <w:cols w:space="720"/>
          <w:docGrid w:linePitch="360"/>
        </w:sectPr>
      </w:pPr>
    </w:p>
    <w:p>
      <w:pPr>
        <w:pStyle w:val="Heading1"/>
        <w:rPr>
          <w:noProof/>
        </w:rPr>
      </w:pPr>
      <w:r>
        <w:rPr>
          <w:noProof/>
        </w:rPr>
        <w:t>E. KOMPONENT 05: Kyst- og vandressourcer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Komponenten har til formål at forbedre forvaltningen af vandressourcerne, gennemføre en politik for tilpasning af kystområderne til virkningerne af klimaændringerne og styrke gennemførelsen af havstrategier og fysiske planer for det maritime rum.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 at forbedre forvaltningen af vandressourcerne er Spanien nødt til at tage hånd om forskellige udfordringer såsom identificering af nye forurenende stoffer (f.eks. mikroplast), et eksisterende investeringskløft i planlægningen, tilpasning af kysten til klimaændringer, kontrol og forvaltning af det offentlige Hydraulske Domain, Maritime-Terrestrial Property og vandbehandling og den forsinkelse, der finder sted i forbindelse med indførelsen af nye teknologier og IKT-teknologier til vandforvaltning. Med henblik herpå skal Spanien forbedre sektorens effektivitet. Spanien skal også sigte mod bedre at tilpasse sin forvaltning af vandressourcer til miljømålene som dem, der er fastsat i den europæiske grønne pagt, biodiversitetsstrategien for 2030 og EU's handlingsplan for nulforurening. Med henblik herpå skal der anvendes forskellige strategier såsom digitalisering af den offentlige forvaltning for at få adgang til oplysninger såsom vandkvalitet og overholdelse af økologiske strømme, tilvejebringelse og forbedring af miljøinfrastruktur, infrastrukturens sikkerhed eller forbedring af grundvandets tilstand og genopretning af grundvandsmagasiner.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Virkningerne af erosion og oversvømmelser på kysten er blevet forværret af klimaændringerne. Derfor skal denne komponent i den spanske genopretnings- og resiliensplan også gennemføre en politik for tilpasning af den spanske kyst til de negative virkninger af klimaændringerne. For at bekæmpe erosion og mindske risikoen for oversvømmelser skal der indføres en række tilpasningsforanstaltninger, såsom miljømæssig genopretning af forringede områder, forbedring af velordnet og korrekt adgang til det offentlige landbaserede maritime område eller udarbejdelse og gennemførelse af naturbaserede løsninger. Denne aktionslinje skal skabe en mere modstandsdygtig kystlinje over for virkningerne af klimaændringerne og forberede turistsektoren og andre sektorer, der er afhængige af kystområdernes tilstand, bedre. Dette skal desuden yderligere styrke Copernicusprogrammets rolle, som er afgørende for forebyggelse og vurdering af skader og virkninger af ekstreme vejrforhold.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Som en del af denne komponent i den spanske genopretnings- og resiliensplan skal Spanien fremme en optimal bæredygtig udvikling af de maritime sektorer og beskytte havmiljøet med henblik på at opnå en god miljøtilstand ved at vedtage en lov, gennemføre havstrategirammedirektivet og styrke gennemførelsen heraf.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komponent i den spanske genopretnings- og resiliensplan bidrager til at fokusere investeringsrelateret økonomisk politik på fremme af energieffektivitet og ressourceanvendelse (landespecifik henstilling nr. 3 fra 2019). Den fokuserer også på den grønne og digitale omstilling, navnlig ved at fremme forskning og innovation, ren og effektiv produktion og anvendelse af energikilder, energiinfrastruktur, vand- og affaldshåndtering og bæredygtig transport (landespecifik henstilling nr. 3 fra 2020).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keepNext/>
        <w:spacing w:before="120" w:after="120" w:line="240" w:lineRule="auto"/>
        <w:ind w:left="720"/>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E.1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1 (C5.R1) — Vandplaner og -strategier og lovgivningsmæssige ændringer</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Reformen skal omfatte revision og ajourføring af den omarbejdede tekst til vandloven, dens bestemmelser og anden afledt ret for at sikre en retlig ramme, der fremmer investeringer. Reformen omfatter vedtagelse og revision af en række planer og strategier, der danner grundlag for investeringer og vandforvaltning, som skal styrke og øge investeringerne. Disse lovgivningsmæssige ændringer skal tilpasses den europæiske grønne pagt.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reform skal udgøre svar på en lang række spørgsmål vedrørende alle typer vand, såsom en bedre finansiel ramme for genbrug af spildevand, vandstrategi for økologisk omstilling, vedtagelse af tekniske standarder for dæmningers og deres reservoirers sikkerhed, vedtagelse af en national plan for rensning, afhjælpning, effektivitet, besparelser og genbrug af vand (bl.a. gennemførelse af behandling, sanitet, effektivitet, besparelser, genbrug og infrastruktursikkerhed — DSEAR-planen) vandområdeplanernes tredje cyklus og anden cyklus af risikostyringsplaner for oversvømmelser.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Investeringen skal være afsluttet senest den 30. juni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Investeringer 1 (C5.I1) — Gennemførelse af foranstaltninger vedrørende behandling, sanitet, effektivitet, opsparing, genbrug og infrastruktursikkerhed (DESEAR)</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investering skal gennemføre følgende foranstaltninger:</w:t>
      </w:r>
    </w:p>
    <w:p>
      <w:pPr>
        <w:numPr>
          <w:ilvl w:val="0"/>
          <w:numId w:val="4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Gennemførelse af rensningsforanstaltninger, sanitære foranstaltninger og genbrug af vand. Formålet med denne aktionslinje er at forbedre opsamling og rensning af byspildevand. I nogle tilfælde skal foranstaltningerne genbruge byspildevand og dermed mindske det nuværende indvindingstryk. De nye rensningsforanstaltninger skal opnå et nettoenergiforbrug på nul for hele spildevandsrensningssystemet. Infrastruktur skal som minimum betragtes som en ny eller opgraderet infrastruktur til spildevandsrensning, der giver yderligere kapacitet til spildevandsrensning. Der vil være tale om en ny behandling eller en behandling opgraderet til et niveau, der som minimum er i overensstemmelse med direktivet om rensning af byspildevand (direktiv 91/271/EØF). Forbedring og fornyelse af eksisterende infrastruktur skal resultere i en reduktion af det gennemsnitlige energiforbrug på mindst 10 %. Disse besparelser skal opnås gennem gennemførelse af energieffektivitetsforanstaltninger (kraftvarmeproduktion, energi- og varmegenvinding, solcellepaneler, LED-belysning osv.) i forbindelse med udarbejdelsen af projekterne og indførelsen af energieffektivitetsklausuler og kriterier i indkaldelser af projekter og anlægsarbejder. </w:t>
      </w:r>
    </w:p>
    <w:p>
      <w:pPr>
        <w:numPr>
          <w:ilvl w:val="0"/>
          <w:numId w:val="4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Foranstaltninger til forbedring af effektiviteten og reduktion af vandspild. Foranstaltningerne skal gennemføre en tilskudsordning til forbedring af effektiviteten i forsyningsnettene i mellemstore og små kommuner, der giver kommuner eller offentlige organer med ansvar for forsyning mulighed for at forbedre den ved at reducere tab i distributionsnet og foranstaltninger til reparation og forbedring af vandoplagringsfaciliteter samt faciliteter i mellemstore og små kommuner. De beboere, der betjenes af disse infrastrukturer, skal svare til dem, der betjenes af vandforsyningssystemet. </w:t>
      </w:r>
    </w:p>
    <w:p>
      <w:pPr>
        <w:numPr>
          <w:ilvl w:val="0"/>
          <w:numId w:val="47"/>
        </w:numPr>
        <w:spacing w:before="120" w:after="120" w:line="240" w:lineRule="auto"/>
        <w:ind w:left="357" w:hanging="357"/>
        <w:jc w:val="both"/>
        <w:rPr>
          <w:rFonts w:ascii="Times New Roman" w:hAnsi="Times New Roman" w:cs="Times New Roman"/>
          <w:noProof/>
          <w:sz w:val="24"/>
        </w:rPr>
      </w:pPr>
      <w:r>
        <w:rPr>
          <w:rFonts w:ascii="Times New Roman" w:hAnsi="Times New Roman"/>
          <w:noProof/>
          <w:sz w:val="24"/>
          <w:szCs w:val="24"/>
        </w:rPr>
        <w:t>Investeringer til forbedring af dæmningers og reservoirers sikkerhed. Disse foranstaltninger skal sikre store statsejede dæmningers sikkerhed ved at gennemføre de tilsvarende nødplaner og andre supplerende foranstaltninger. Dette må ikke føre til opførelse af nye dæmninger eller udvidelse af eksisterende dæmninger.</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Investeringen skal være afsluttet senest den 30. september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2 (C5.I2) — Overvågning og genopretning af flodøkosystemer, genopretning af grundvandsmagasiner og afbødning af oversvømmelsesrisikoen</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investering er:</w:t>
      </w:r>
    </w:p>
    <w:p>
      <w:pPr>
        <w:numPr>
          <w:ilvl w:val="0"/>
          <w:numId w:val="4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Overvågning og genopretning af flodøkosystemer og naturlige flodreserver. Denne budgetpost omfatter en række konkrete foranstaltninger, der har til formål at genoprette flodområdet, udvide overvågningsnettene og forbedre opgørelser over hydromorfologiske belastninger, der truer det.</w:t>
      </w:r>
    </w:p>
    <w:p>
      <w:pPr>
        <w:numPr>
          <w:ilvl w:val="0"/>
          <w:numId w:val="4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Træffe foranstaltninger til at mindske oversvømmelsesrisikoen. Denne aktionslinje omfatter de eksisterende risikostyringsplaner for oversvømmelser, herunder forebyggende foranstaltninger til fysisk planlægning og byplanlægning, udvikling af tekniske retningslinjer for at mindske sårbarheden af udsatte elementer i oversvømmelsesområder og fremme tilpasning til oversvømmelsesrisikoen i forskellige økonomiske sektorer. Kommunerne skal desuden tage fat på gennemførelsen af foranstaltninger til genopretning af floder i bymiljøer, indføre bæredygtige dræningssystemer og forbedre bymiljøets gennemtrængelighed og deres sammenhæng med miljøværdierne i floder i byområder ved at udvikle tekniske retningslinjer og målsætninger for vandplanlægning.</w:t>
      </w:r>
    </w:p>
    <w:p>
      <w:pPr>
        <w:numPr>
          <w:ilvl w:val="0"/>
          <w:numId w:val="48"/>
        </w:numPr>
        <w:spacing w:before="120" w:after="120" w:line="240" w:lineRule="auto"/>
        <w:ind w:left="357" w:hanging="357"/>
        <w:jc w:val="both"/>
        <w:rPr>
          <w:rFonts w:ascii="Times New Roman" w:hAnsi="Times New Roman" w:cs="Times New Roman"/>
          <w:noProof/>
          <w:sz w:val="24"/>
        </w:rPr>
      </w:pPr>
      <w:r>
        <w:rPr>
          <w:rFonts w:ascii="Times New Roman" w:hAnsi="Times New Roman"/>
          <w:noProof/>
          <w:sz w:val="24"/>
          <w:szCs w:val="24"/>
        </w:rPr>
        <w:t xml:space="preserve">Vedtage foranstaltninger til reduktion af grundvandsindvinding ved at trække på alternative ressourcer (genvinding af grundvandsmagasiner). Disse foranstaltninger skal mindske indvindingen af visse grundvandsforekomster — navnlig dem, der truer </w:t>
      </w:r>
      <w:r>
        <w:rPr>
          <w:rFonts w:ascii="Times New Roman" w:hAnsi="Times New Roman"/>
          <w:i/>
          <w:noProof/>
          <w:sz w:val="24"/>
          <w:szCs w:val="24"/>
        </w:rPr>
        <w:t>Doñana</w:t>
      </w:r>
      <w:r>
        <w:rPr>
          <w:rFonts w:ascii="Times New Roman" w:hAnsi="Times New Roman"/>
          <w:noProof/>
          <w:sz w:val="24"/>
          <w:szCs w:val="24"/>
        </w:rPr>
        <w:t>-området og visse grundvandsmagasiner i det sydøstlige Spanien — og udvide de piezometriske overvågningsnet.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investering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3 (C5.I3) — digital omstilling i vandsektoren (digital miljøhåndhævelse)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 digitale omstilling kan spille en afgørende rolle med hensyn til at forbedre vandsektorens effektivitet. For at sikre digitalisering af vandforvaltningen er der tre aktionslinjer i denne investering. </w:t>
      </w:r>
    </w:p>
    <w:p>
      <w:pPr>
        <w:numPr>
          <w:ilvl w:val="0"/>
          <w:numId w:val="49"/>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Forbedre kendskabet til og anvendelsen af vandressourcerne efter tiltag såsom forbedring af digitale vandovervågningssystemer, styrkelse af overvågningen af og kontrollen med offentlige vandressourcer og -infrastrukturer og gennemførelse af effektive prognose- og varslingssystemer for at mindske virkningerne af oversvømmelser. </w:t>
      </w:r>
    </w:p>
    <w:p>
      <w:pPr>
        <w:numPr>
          <w:ilvl w:val="0"/>
          <w:numId w:val="49"/>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Foranstaltninger til overvågning af nedbør i vandløbsoplande og kystområder. Denne aktionslinje skal fremme fornyelse af nettet af meteorologiske radarer og færdiggørelse heraf med nye kortdistancefaciliteter såsom fornyelse og forbedring af automatiske meteorologiske stationer til kalibrering af radar i realtid samt udformning, udvikling og etablering af et nationalt radarcenter. </w:t>
      </w:r>
    </w:p>
    <w:p>
      <w:pPr>
        <w:numPr>
          <w:ilvl w:val="0"/>
          <w:numId w:val="49"/>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szCs w:val="24"/>
        </w:rPr>
        <w:t xml:space="preserve">Forbedret meteorologisk observation og overvågning og forebyggelse af klimarisici; dette skal omfatte et nyt integreret meteorologisk hjælpesystem, redskaber til meteorologisk observation til tidlig varsling, herunder gennemførelse af det integrerede globale observationssystem, etablering af outsourcing, automatisk kvalitetskontrol og labialisering af meteorologiske data ved hjælp af kunstig intelligens, dybden af de NoSQL-data, der ligger til grund for en effektiv gennemførelse af data baseret på behandling af store mængder data. </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Investeringen vedrører ibrugtagningen af 26 værktøjer eller ny infrastruktur til forbedring af kendskabet til og anvendelsen af vandressourcer og til overvågning af regn og andre meteorologiske data for at forebygge klimarisici.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Investeringen skal være afsluttet senest den 31. december 2023.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4 (C5.I4) — Tilpasning af kystlinjen til klimaændringer og gennemførelse af havstrategier og maritim fysisk planlægning</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Klimaændringerne har og forventes at få store negative virkninger på den spanske kyst. Denne investering skal gennemføre strategien for tilpasning af kystområder til virkningerne af klimaændringer med det formål at øge den spanske kysts modstandsdygtighed over for klimaændringer og klimavariabilitet og integrere tilpasning til klimaændringer i planlægningen og forvaltningen af den spanske kyst. Dette omfatter oprettelse af eskorte, kunstige strande, flydende overflader, sedimentstyring, naturbaserede løsninger, genopretning af strand- og klitsystemer, infrastruktur til kystbeskyttelse, indførelse af intelligente net til fjernovervågning af kysterosion eller foranstaltninger med tilsvarende virkninger.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investering skal beskytte og genoprette kystøkosystemer eller forringede områder. Dette skal ske gennem forskellige foranstaltninger såsom: i) omplacering af anlæg, der er berørt af tilbagefald ii) afgrænsning af det statsejede landbaserede maritime område iii) at genvinde uretmæssigt eller uhensigtsmæssigt anvendt statsejet strand- og landområde iv) risikovurdering og -styring eller lignende foranstaltninger v) miljømæssig genopretning af nedbrudte kystområder og økosystemer, bevarelse og forvaltning af kystlinjen og vi) søgsmål med tilsvarende virkninger.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Det skal også forbedre velordnet og korrekt adgang til det offentlige landbaserede maritime område ved at genvinde jord for at give adgang til det offentlige område, planlægning, forvaltning og genoprettelse af adgang eller foranstaltninger med tilsvarende virkning. Investeringen skal vedrøre gennemførelsen af strategiske havplanlægningspolitikker. Dette skal gennemføres ved maritim fysisk planlægning, havstrategier, videnskabelig rådgivning om havene og klima og udvikling af en georefereret webapplikation til havbrugere.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investering skal være afsluttet senest den 31. december 2023. </w:t>
      </w:r>
    </w:p>
    <w:p>
      <w:pPr>
        <w:spacing w:before="120" w:after="120" w:line="240" w:lineRule="auto"/>
        <w:ind w:left="720"/>
        <w:jc w:val="both"/>
        <w:rPr>
          <w:rFonts w:ascii="Times New Roman" w:hAnsi="Times New Roman" w:cs="Times New Roman"/>
          <w:b/>
          <w:bCs/>
          <w:noProof/>
          <w:sz w:val="24"/>
          <w:u w:val="single"/>
        </w:rPr>
      </w:pPr>
      <w:r>
        <w:rPr>
          <w:rFonts w:ascii="Times New Roman" w:hAnsi="Times New Roman"/>
          <w:b/>
          <w:bCs/>
          <w:noProof/>
          <w:sz w:val="24"/>
          <w:u w:val="single"/>
        </w:rPr>
        <w:t xml:space="preserve">E.2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sz w:val="24"/>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 medmindre andet er angivet i beskrivelsen af foranstaltningen. Beløbene i tabellen omfatter ikke moms.</w:t>
      </w:r>
    </w:p>
    <w:p>
      <w:pPr>
        <w:spacing w:before="120" w:after="120" w:line="240" w:lineRule="auto"/>
        <w:ind w:left="709"/>
        <w:jc w:val="both"/>
        <w:rPr>
          <w:rFonts w:ascii="Times New Roman" w:hAnsi="Times New Roman" w:cs="Times New Roman"/>
          <w:noProof/>
          <w:sz w:val="24"/>
        </w:rPr>
        <w:sectPr>
          <w:headerReference w:type="even" r:id="rId67"/>
          <w:headerReference w:type="default" r:id="rId68"/>
          <w:footerReference w:type="even" r:id="rId69"/>
          <w:footerReference w:type="default" r:id="rId70"/>
          <w:headerReference w:type="first" r:id="rId71"/>
          <w:footerReference w:type="first" r:id="rId7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835"/>
        <w:gridCol w:w="993"/>
        <w:gridCol w:w="850"/>
        <w:gridCol w:w="425"/>
        <w:gridCol w:w="709"/>
        <w:gridCol w:w="425"/>
        <w:gridCol w:w="567"/>
        <w:gridCol w:w="609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Milepæl</w:t>
            </w:r>
            <w:r>
              <w:rPr>
                <w:rFonts w:ascii="Times New Roman" w:hAnsi="Times New Roman"/>
                <w:b/>
                <w:noProof/>
                <w:color w:val="000000"/>
                <w:sz w:val="18"/>
                <w:szCs w:val="18"/>
              </w:rPr>
              <w:t xml:space="preserve"> </w:t>
            </w:r>
            <w:r>
              <w:rPr>
                <w:rFonts w:ascii="Times New Roman" w:hAnsi="Times New Roman"/>
                <w:b/>
                <w:bCs/>
                <w:noProof/>
                <w:color w:val="000000"/>
                <w:sz w:val="18"/>
                <w:szCs w:val="18"/>
              </w:rPr>
              <w:t>/ Mål</w:t>
            </w:r>
          </w:p>
        </w:tc>
        <w:tc>
          <w:tcPr>
            <w:tcW w:w="283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Betegnelse</w:t>
            </w:r>
          </w:p>
        </w:tc>
        <w:tc>
          <w:tcPr>
            <w:tcW w:w="993"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Kvalitativ indikator for milepæle</w:t>
            </w:r>
          </w:p>
        </w:tc>
        <w:tc>
          <w:tcPr>
            <w:tcW w:w="1984"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Tid</w:t>
            </w:r>
          </w:p>
        </w:tc>
        <w:tc>
          <w:tcPr>
            <w:tcW w:w="609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835"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3"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Enhed</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Reference</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Målsætning</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År</w:t>
            </w:r>
          </w:p>
        </w:tc>
        <w:tc>
          <w:tcPr>
            <w:tcW w:w="609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 af ændringerne af forordningen om hydrologisk planlægning </w:t>
            </w:r>
          </w:p>
        </w:tc>
        <w:tc>
          <w:tcPr>
            <w:tcW w:w="99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den kongelige anordning om ikrafttræden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Kongeligt dekret om ændring af forordningen om hydrologisk planlægning (statstidende). Ændringerne skal vedrøre aspekter vedrørende tørke og vandknaphed, kravene til gennemførelse af vandrammedirektivet og de relevante standarder inden for rammerne af den fælles strategi for gennemførelse af vanddirektiverne.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75</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C5.R1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Ikrafttrædelsen af ændringen af vandloven og den nye forordning, der erstatter kongeligt dekret 1620/2007</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Bestemmelse i vandloven om ikrafttræden </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Ændring af vandloven, så den kommer til at omfatte en revision af afgifter på spildevandsudledning og af ordningen for dækning af omkostninger til vandinfrastruktur i overensstemmelse med principperne om, at forureneren betaler og princip for omkostningsdækning. Den nye forordning, der erstatter kongeligt dekret 1620/2007, ændrer de lovgivningsmæssige og finansielle rammer for genbrug af spildevand i overensstemmelse med principperne om, at forureneren betaler, og for omkostningsdækning — forbedring af overvågningen og beskyttelsen af vandområder, herunder grundvand, og håndtering af tørke og knaphed.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Forbedret infrastruktur til vand- og spildevandsrensning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(befolkning)</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175 000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Idriftsættelse af vand- og spildevandsanlæg, der leverer tjenester til mindst 175 000 personækvivalenter, med henblik på at sikre overholdelse af direktiv 91/271/EØF og opfylde energieffektivitetskriterier eller forbedre effektiviteten og/eller reducere vandspild i vandforsyningssystemer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77</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Genopretning af flodbredders beskyttelse mod oversvømmelsesrisici</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Certifikater underskrevet af MITERD</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Genopretning af mindst 200 km flodbredder, og mindst 40 000 indbyggere beskyttes mod oversvømmelsesrisici.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Reduktion af vandmængden fra Aquifers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(hm</w:t>
            </w:r>
            <w:r>
              <w:rPr>
                <w:rFonts w:ascii="Times New Roman" w:hAnsi="Times New Roman"/>
                <w:noProof/>
                <w:color w:val="000000"/>
                <w:sz w:val="18"/>
                <w:szCs w:val="18"/>
                <w:vertAlign w:val="superscript"/>
              </w:rPr>
              <w:t>3</w:t>
            </w:r>
            <w:r>
              <w:rPr>
                <w:rFonts w:ascii="Times New Roman" w:hAnsi="Times New Roman"/>
                <w:noProof/>
                <w:color w:val="000000"/>
                <w:sz w:val="18"/>
                <w:szCs w:val="18"/>
              </w:rPr>
              <w:t>/år)</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510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470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Reduktion af den årlige vandmængde fra Aquifers beliggende i Doñana, Segura-Mar Menor, Mancha Oriental og Rules fra 510 hm</w:t>
            </w:r>
            <w:r>
              <w:rPr>
                <w:rFonts w:ascii="Times New Roman" w:hAnsi="Times New Roman"/>
                <w:noProof/>
                <w:color w:val="000000"/>
                <w:sz w:val="18"/>
                <w:szCs w:val="18"/>
                <w:vertAlign w:val="superscript"/>
              </w:rPr>
              <w:t>3</w:t>
            </w:r>
            <w:r>
              <w:rPr>
                <w:rFonts w:ascii="Times New Roman" w:hAnsi="Times New Roman"/>
                <w:noProof/>
                <w:color w:val="000000"/>
                <w:sz w:val="18"/>
                <w:szCs w:val="18"/>
              </w:rPr>
              <w:t>/år til 470 hm</w:t>
            </w:r>
            <w:r>
              <w:rPr>
                <w:rFonts w:ascii="Times New Roman" w:hAnsi="Times New Roman"/>
                <w:noProof/>
                <w:color w:val="000000"/>
                <w:sz w:val="18"/>
                <w:szCs w:val="18"/>
                <w:vertAlign w:val="superscript"/>
              </w:rPr>
              <w:t>3</w:t>
            </w:r>
            <w:r>
              <w:rPr>
                <w:rFonts w:ascii="Times New Roman" w:hAnsi="Times New Roman"/>
                <w:noProof/>
                <w:color w:val="000000"/>
                <w:sz w:val="18"/>
                <w:szCs w:val="18"/>
              </w:rPr>
              <w:t>/år.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79</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C5.I3</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Ibrugtagning af værktøjer til forbedring af kendskabet til og anvendelsen af vandressourcer og til overvågning af regn og andre meteorologiske data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Attestering af udgifter</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Ibrugtagning af 26 værktøjer eller ny infrastruktur med henblik på at forbedre kendskabet til og anvendelsen af vandressourcerne og overvåge nedbørsdata og andre meteorologiske data for at forebygge klimarisici. Aktionerne vedrører primært udformningen og gennemførelsen af det elektroniske vandregister forvaltning af hydrologiske data og vandkvalitet, digitalisering af sagsbehandlingen og modernisering af luftfartens meteorologiske overvågningsnet.</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80</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C5.I4</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Genopretning af nedbrudte områder og økosystemer i mindst 50km kystlinje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Antal (kilometer)</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Færdiggørelse af arbejdet på mindst 50 km kystlinje med genopretning af forringede områder og økosystemer, beskyttelse og øget adgang til kystområder, afbødning af erosion, bedre viden og styrkelse af kystområdernes modstandsdygtighed og tilpasning til virkningerne af klimaændringer, fjernovervågning og gennemførelse af strategiske havplanlægningspolitikker. Der bør i aktionerne tages hensyn til følgende: i) Øge den spanske kysts modstandsdygtighed over for virkningerne af klimaændringerne ved at bekæmpe erosion og styrke kystlinjen. Dette omfatter oprettelse af eskorte, kunstige strande, flydende overflader, sedimentstyring, naturbaserede løsninger, genopretning af strand- og klitsystemer, infrastruktur til kystbeskyttelse, indførelse af intelligente net til fjernovervågning af kysterosion eller foranstaltninger med tilsvarende virkninger. ii) Beskytte og genoprette kystøkosystemer eller ødelagte områder. Dette skal ske ved a) flytning af anlæg, der er berørt af tilbagefald b) afgrænsning af det statsejede landbaserede maritime område c) at genvinde uretmæssigt eller uhensigtsmæssigt anvendt statsejede havområder d) risikovurdering og -styring eller lignende foranstaltninger e) miljømæssig genopretning af nedbrudte kystområder og økosystemer f) bevarelse og forvaltning af kystlinjen og g) søgsmål med tilsvarende virkninger. iii) Forbedre velordnet og korrekt adgang til det offentlige landbaserede maritime område. Dette kan gøres ved at genvinde jord for at give adgang til det offentlige område, planlægning, forvaltning og genoprettelse af adgang eller foranstaltninger med tilsvarende virkning. v) Gennemførelse af strategiske havplanlægningspolitikker. Dette kan ske ved gennemførelse af maritim fysisk planlægning, havstrategier, videnskabelig rådgivning om havene, klima og hurtig udvikling af en georefereret webapplikation til havbrugere.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81</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C5.I4</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Genopretning af nedbrudte områder og økosystemer i mindst 100km kystlinje</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Antal (kilometer)</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Færdiggørelse af arbejdet på mindst 100 km kystlinje med genopretning af forringede områder og økosystemer, beskyttelse og øget adgang til kystområder, afbødning af erosion, bedre viden og styrkelse af kystområdernes modstandsdygtighed og tilpasning til virkningerne af klimaændringer, fjernovervågning og gennemførelse af strategiske havplanlægningspolitikker. Bygge- og anlægsarbejder skal omfatte følgende: i) Øge den spanske kysts modstandsdygtighed over for virkningerne af klimaændringerne ved at bekæmpe erosion og styrke kystlinjen. Dette omfatter oprettelse af eskorte, kunstige strande, flydende overflader, sedimentstyring, naturbaserede løsninger, genopretning af strand- og klitsystemer, infrastruktur til kystbeskyttelse, indførelse af intelligente net til fjernovervågning af kysterosion eller foranstaltninger med tilsvarende virkninger. ii) Beskytte og genoprette kystøkosystemer eller forringede områder. Dette skal ske ved a) flytning af anlæg, der er berørt af tilbagefald b) afgrænsning af det statsejede landbaserede maritime område c) at genvinde uretmæssigt eller uhensigtsmæssigt anvendt statsejede havområder d) risikovurdering og -styring eller lignende foranstaltninger e) miljømæssig genopretning af nedbrudte kystområder og økosystemer f) bevarelse og forvaltning af kystlinjen og g) søgsmål med tilsvarende virkninger. iii) Forbedre velordnet og korrekt adgang til det offentlige landbaserede maritime område. Dette kan gøres ved at genvinde jord for at give adgang til det offentlige område, planlægning, forvaltning og genoprettelse af adgang eller foranstaltninger med tilsvarende virkning. iv) Gennemførelse af strategiske havplanlægningspolitikker. Dette kan ske ved gennemførelse af maritim fysisk planlægning, havstrategier, videnskabelig rådgivning om havene, klima og hurtig udvikling af en georefereret webapplikation til havbrugere. (referenceniveau: 31. december 2022.)</w:t>
            </w:r>
          </w:p>
        </w:tc>
      </w:tr>
    </w:tbl>
    <w:p>
      <w:pPr>
        <w:spacing w:before="120" w:after="120" w:line="240" w:lineRule="auto"/>
        <w:jc w:val="both"/>
        <w:rPr>
          <w:rFonts w:ascii="Times New Roman" w:hAnsi="Times New Roman" w:cs="Times New Roman"/>
          <w:noProof/>
          <w:sz w:val="24"/>
          <w:szCs w:val="24"/>
          <w:lang w:val="en-IE"/>
        </w:rPr>
        <w:sectPr>
          <w:headerReference w:type="even" r:id="rId73"/>
          <w:headerReference w:type="default" r:id="rId74"/>
          <w:footerReference w:type="even" r:id="rId75"/>
          <w:footerReference w:type="default" r:id="rId76"/>
          <w:headerReference w:type="first" r:id="rId77"/>
          <w:footerReference w:type="first" r:id="rId78"/>
          <w:pgSz w:w="16839" w:h="11907" w:orient="landscape"/>
          <w:pgMar w:top="1417" w:right="1134" w:bottom="1417" w:left="1134" w:header="709" w:footer="709" w:gutter="0"/>
          <w:cols w:space="720"/>
          <w:docGrid w:linePitch="360"/>
        </w:sectPr>
      </w:pPr>
    </w:p>
    <w:p>
      <w:pPr>
        <w:pStyle w:val="Heading1"/>
        <w:rPr>
          <w:noProof/>
        </w:rPr>
      </w:pPr>
      <w:r>
        <w:rPr>
          <w:noProof/>
        </w:rPr>
        <w:t>F. KOMPONENT 06: Bæredygtig mobilitet (langdistancetrafik)</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Denne komponent i den spanske genopretnings- og resiliensplan tager fat på følgende udfordringer: 1) overgangen til mere bæredygtige transportformer, 2) reduktion af emissionerne fra transportsektoren; 3) at gøre transportsektoren sikrere, mere tilgængelig, bæredygtig og inklusiv.</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Komponentens mål er: udviklingen af det spanske jernbanenet (navnlig TEN-T-hovedkorridorerne og TEN-T-nettet, der ikke er hovednettet) etablering af et mere interoperabelt transportnet (jernbane, vej, havne) med det formål at reducere dets kulstoffodaftryk forbedring af de grænseoverskridende forbindelser til Frankrig og Portugal at modernisere transportsektoren ved hjælp af avancerede digitale teknologier.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Denne komponent vedrører de landespecifikke henstillinger om fremme af investeringer i energieffektivitet og ressourceudnyttelse og om fremme af jernbanegodstransportinfrastruktur (landespecifik henstilling nr. 3 fra 2019) og om investeringer i grøn og digital omstilling og bæredygtig transport (landespecifik henstilling nr. 3 fra 2020).</w:t>
      </w:r>
    </w:p>
    <w:p>
      <w:pPr>
        <w:spacing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F.1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Reform 1 (C6.R1) — Strategi for sikker, bæredygtig og sammenbundet mobilitet</w:t>
      </w:r>
    </w:p>
    <w:p>
      <w:pPr>
        <w:spacing w:line="240" w:lineRule="auto"/>
        <w:jc w:val="both"/>
        <w:rPr>
          <w:rFonts w:ascii="Times New Roman" w:hAnsi="Times New Roman" w:cs="Times New Roman"/>
          <w:noProof/>
          <w:sz w:val="24"/>
          <w:szCs w:val="24"/>
        </w:rPr>
      </w:pPr>
      <w:r>
        <w:rPr>
          <w:rFonts w:ascii="Times New Roman" w:hAnsi="Times New Roman"/>
          <w:noProof/>
          <w:sz w:val="24"/>
        </w:rPr>
        <w:t>Formålet med foranstaltningen er at:</w:t>
      </w:r>
      <w:r>
        <w:rPr>
          <w:rFonts w:ascii="Times New Roman" w:hAnsi="Times New Roman"/>
          <w:noProof/>
          <w:sz w:val="24"/>
          <w:szCs w:val="24"/>
        </w:rPr>
        <w:t xml:space="preserve"> </w:t>
      </w:r>
    </w:p>
    <w:p>
      <w:pPr>
        <w:pStyle w:val="ListParagraph"/>
        <w:numPr>
          <w:ilvl w:val="0"/>
          <w:numId w:val="127"/>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Øge sikkerheden i mobilitetsnetværket for at sikre bedre beskyttelse af mennesker og varer, forbedre standarderne og reducere antallet af ulykker. </w:t>
      </w:r>
    </w:p>
    <w:p>
      <w:pPr>
        <w:pStyle w:val="ListParagraph"/>
        <w:numPr>
          <w:ilvl w:val="0"/>
          <w:numId w:val="127"/>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Øge bæredygtigheden ved at prioritere daglig mobilitet, økonomisk og social lighed, energieffektivitet og bekæmpelse af klimaændringer. </w:t>
      </w:r>
    </w:p>
    <w:p>
      <w:pPr>
        <w:pStyle w:val="ListParagraph"/>
        <w:numPr>
          <w:ilvl w:val="0"/>
          <w:numId w:val="127"/>
        </w:numPr>
        <w:spacing w:line="240" w:lineRule="auto"/>
        <w:jc w:val="both"/>
        <w:rPr>
          <w:rFonts w:ascii="Times New Roman" w:hAnsi="Times New Roman" w:cs="Times New Roman"/>
          <w:noProof/>
          <w:sz w:val="24"/>
          <w:szCs w:val="24"/>
        </w:rPr>
      </w:pPr>
      <w:r>
        <w:rPr>
          <w:rFonts w:ascii="Times New Roman" w:hAnsi="Times New Roman"/>
          <w:noProof/>
          <w:sz w:val="24"/>
          <w:szCs w:val="24"/>
        </w:rPr>
        <w:t>Forbedre konnektiviteten med digitalisering, teknologiske fremskridt og multimodale forbindelser.</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Strategien omhandler specifikke foranstaltninger på følgende ni områder: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Mobilitet for alle (sikring af universel tilgængelighed til rimelige omkostninger)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Nye investeringspolitikker (for at sikre tilstrækkelig finansiering af transportinfrastrukturer og -tjenester)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Sikker mobilitet (prioritering af investeringer i overvågning, vedligeholdelse og cybersikkerhed)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Lavemissionsmobilitet (øget effektivitet, reduktion af energiforbruget)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Intelligent mobilitet (fremme F &amp; D og mobilitetsinnovation, opbygge og forvalte intelligent infrastruktur)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Intelligente intermodale logistikkæder (prioritering af godstransport med jernbane i offentlige og private dagsordener)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Forbinde Europa og forbundet med verden (forbinde havne med intermodale logistikterminaler og intensivere samarbejdet med nabolandene for at koordinere opførelsen og/eller forbedringen af grænseoverskridende infrastrukturer)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Sociale og arbejdsmarkedsmæssige aspekter (kønsbalance og omskolings- og opkvalificeringsforanstaltninger for transportarbejdsstyrken) og</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szCs w:val="24"/>
        </w:rPr>
        <w:t>Digitalisering af ministeriet for transport, mobilitet og dagsordenen for byerne med henblik på at tage digital omstilling til sig og blive mere åben og innovativ.</w:t>
      </w:r>
    </w:p>
    <w:p>
      <w:pPr>
        <w:autoSpaceDE w:val="0"/>
        <w:autoSpaceDN w:val="0"/>
        <w:spacing w:before="40" w:after="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Gennemførelsen af reformerne skal være afsluttet senest den 31. december 2021.</w:t>
      </w:r>
    </w:p>
    <w:p>
      <w:pPr>
        <w:keepNext/>
        <w:spacing w:line="240" w:lineRule="auto"/>
        <w:jc w:val="both"/>
        <w:rPr>
          <w:rFonts w:ascii="Times New Roman" w:hAnsi="Times New Roman" w:cs="Times New Roman"/>
          <w:noProof/>
          <w:sz w:val="24"/>
          <w:u w:val="single"/>
        </w:rPr>
      </w:pPr>
      <w:r>
        <w:rPr>
          <w:rFonts w:ascii="Times New Roman" w:hAnsi="Times New Roman"/>
          <w:noProof/>
          <w:sz w:val="24"/>
          <w:u w:val="single"/>
        </w:rPr>
        <w:t>Reform 2 (C6.R2) — Vejledende jernbanestrategi</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Formålet med reformen er at indføre instrumenter, der skal sikre, at jernbanenettet opfylder fremtidens mobilitetsbehov på en sammenhængende og effektiv måde. Strategien skal opstille et klart planlægningsscenario for jernbanetransporten og gøre det muligt at tilpasse investeringsprioriteterne til strategien for sikker, bæredygtig og forbundet mobilitet (R1).</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Reformen består af flere foranstaltninger, herunder: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etablering af en klarere planlægning af aktioner i jernbanesektoren, navnlig rettet mod den daglige mobilitet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forbedring af netvedligeholdelsen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sikring af jernbanenettets økonomiske bæredygtighed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prioritering af ressourceeffektivitet med en forudgående og efterfølgende evaluering af investeringsprojekter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forbedring af nettets interoperabilitet, navnlig i de transeuropæiske netkorridorer, og intermodalitet i nettet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fremme af jernbanegodstrafikken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forbedring af sikkerheden inden for jernbanetransport og</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szCs w:val="24"/>
        </w:rPr>
        <w:t>fremme digitalisering af transport og innovation for at sikre netforbundet mobilitet.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31. december 2022.</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Investering 1 (C6.I1) — National transmission network: Europæiske korridorer</w:t>
      </w:r>
    </w:p>
    <w:p>
      <w:pPr>
        <w:spacing w:line="240" w:lineRule="auto"/>
        <w:jc w:val="both"/>
        <w:rPr>
          <w:rFonts w:ascii="Times New Roman" w:hAnsi="Times New Roman" w:cs="Times New Roman"/>
          <w:noProof/>
          <w:sz w:val="24"/>
        </w:rPr>
      </w:pPr>
      <w:r>
        <w:rPr>
          <w:rFonts w:ascii="Times New Roman" w:hAnsi="Times New Roman"/>
          <w:noProof/>
          <w:sz w:val="24"/>
        </w:rPr>
        <w:t>Formålet med foranstaltningen er at bygge ny jernbaneinfrastruktur i de centrale europæiske TEN-T-korridorer og modernisere og opgradere de eksisterende.</w:t>
      </w:r>
    </w:p>
    <w:p>
      <w:pPr>
        <w:spacing w:line="240" w:lineRule="auto"/>
        <w:jc w:val="both"/>
        <w:rPr>
          <w:rFonts w:ascii="Times New Roman" w:hAnsi="Times New Roman" w:cs="Times New Roman"/>
          <w:noProof/>
          <w:sz w:val="24"/>
        </w:rPr>
      </w:pPr>
      <w:r>
        <w:rPr>
          <w:rFonts w:ascii="Times New Roman" w:hAnsi="Times New Roman"/>
          <w:noProof/>
          <w:sz w:val="24"/>
        </w:rPr>
        <w:t xml:space="preserve">Investeringen består af foranstaltninger inden for følgende hovedområder: </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Perron: Projekter, der gør det muligt at etablere den infrastruktur, der skal understøtte sporene, og som omfatter dæmninger, rydning, viadukter, tunneler osv. Disse projekter er hovedsagelig opførelse af ny infrastruktur.</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Udskiftning af tjenester: Aktioner, der skal genoprette eksisterende tjenester (lys, kunstvanding, vand osv.), som påvirkes under udførelsen af jernbanearbejdet.</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Spor: Foranstaltninger til samling og levering af spormaterialer (ballast, sveller, skinner, sporskifter og udvidelsesudstyr) på nye jernbanestrækninger samt fornyelse af eksisterende spor.</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Elektricitet: Foranstaltninger vedrørende elektrificering af strækninger, herunder: køreledning, trækfordelingsstationer, transformationscentre, fjernstyring, højspændingsledninger.</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Trafiksignalering og trafikstyring: Projekter vedrørende gennemførelsen af nye signal- og trafikstyringssystemer.</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Telekommunikation: Projekter vedrørende fast og mobil telekommunikation på jernbanestrækninger.</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szCs w:val="24"/>
        </w:rPr>
        <w:t>Stationer: Opgradering og renovering af eksisterende stationer samt opførelse af nye stationer.</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Arbejdet skal udføres på mindst 1 400 km net inden for Atlanterhavs- og Middelhavskorridorerne, herunder foranstaltninger til forbedring af eksisterende strækninger og investeringer med henblik på at gøre fremskridt med opførelsen af nye strækninger. </w:t>
      </w:r>
    </w:p>
    <w:p>
      <w:pPr>
        <w:spacing w:line="240" w:lineRule="auto"/>
        <w:jc w:val="both"/>
        <w:rPr>
          <w:rFonts w:ascii="Times New Roman" w:hAnsi="Times New Roman" w:cs="Times New Roman"/>
          <w:noProof/>
          <w:sz w:val="24"/>
        </w:rPr>
      </w:pPr>
      <w:r>
        <w:rPr>
          <w:rFonts w:ascii="Times New Roman" w:hAnsi="Times New Roman"/>
          <w:noProof/>
          <w:sz w:val="24"/>
          <w:szCs w:val="24"/>
        </w:rPr>
        <w:t>Gennemførelsen af investeringen skal være afsluttet senest den 30. juni 2026.</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Investering 2 (C6.I2) — Program for det transeuropæiske transportnet, andre arbejder</w:t>
      </w:r>
    </w:p>
    <w:p>
      <w:pPr>
        <w:spacing w:before="60" w:afterLines="60" w:after="144" w:line="240" w:lineRule="auto"/>
        <w:jc w:val="both"/>
        <w:rPr>
          <w:rFonts w:ascii="Times New Roman" w:hAnsi="Times New Roman" w:cs="Times New Roman"/>
          <w:noProof/>
          <w:sz w:val="24"/>
        </w:rPr>
      </w:pPr>
      <w:r>
        <w:rPr>
          <w:rFonts w:ascii="Times New Roman" w:hAnsi="Times New Roman"/>
          <w:noProof/>
          <w:sz w:val="24"/>
        </w:rPr>
        <w:t>Formålet med foranstaltningen er at forbedre det nationale transportnet, der dækker alle transportformer (jernbane, vejtransport, luftfart), for at gøre det mere pålideligt, bæredygtigt, sikkert og modstandsdygtigt.</w:t>
      </w:r>
      <w:r>
        <w:rPr>
          <w:rFonts w:ascii="Times New Roman" w:hAnsi="Times New Roman"/>
          <w:noProof/>
          <w:sz w:val="24"/>
          <w:szCs w:val="24"/>
        </w:rPr>
        <w:t xml:space="preserve"> </w:t>
      </w:r>
    </w:p>
    <w:p>
      <w:pPr>
        <w:spacing w:before="60" w:afterLines="60" w:after="144" w:line="240" w:lineRule="auto"/>
        <w:jc w:val="both"/>
        <w:rPr>
          <w:rFonts w:ascii="Times New Roman" w:hAnsi="Times New Roman" w:cs="Times New Roman"/>
          <w:noProof/>
          <w:sz w:val="24"/>
          <w:szCs w:val="24"/>
        </w:rPr>
      </w:pPr>
      <w:r>
        <w:rPr>
          <w:rFonts w:ascii="Times New Roman" w:hAnsi="Times New Roman"/>
          <w:noProof/>
          <w:sz w:val="24"/>
          <w:szCs w:val="24"/>
        </w:rPr>
        <w:t>Investeringen består af følgende foranstaltninger:</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Opgradering af jernbanenettet i forhold til TEN-T-nettet, der ikke er hovednettet, med anlægsarbejder på mindst 900 km.</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At gøre vejnettet sikrere i overensstemmelse med nationale og europæiske bestemmelser.</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 xml:space="preserve">Fremme af udviklingen af det fælles europæiske luftrum (20 projekter). </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 xml:space="preserve">Støtte til den digitale omstilling fra ministeriet for transport, mobilitet og dagsordenen for byerne. </w:t>
      </w:r>
    </w:p>
    <w:p>
      <w:pPr>
        <w:spacing w:before="60" w:afterLines="60" w:after="144" w:line="240" w:lineRule="auto"/>
        <w:jc w:val="both"/>
        <w:rPr>
          <w:rFonts w:ascii="Times New Roman" w:hAnsi="Times New Roman" w:cs="Times New Roman"/>
          <w:noProof/>
          <w:sz w:val="24"/>
          <w:szCs w:val="24"/>
        </w:rPr>
      </w:pPr>
      <w:r>
        <w:rPr>
          <w:rFonts w:ascii="Times New Roman" w:hAnsi="Times New Roman"/>
          <w:noProof/>
          <w:sz w:val="24"/>
          <w:szCs w:val="24"/>
        </w:rPr>
        <w:t>Udvælgelseskriterierne skal sikre, at mindst 1 010 000 000 EUR bidrager til klimamålene med en klimakoefficient på 100 % og mindst 301 000 000 EUR med en klimakoefficient på 40 % i overensstemmelse med bilag VI til forordning (EU) 2021/241 om genopretnings- og resiliensfaciliteten.</w:t>
      </w:r>
    </w:p>
    <w:p>
      <w:pPr>
        <w:spacing w:before="60" w:afterLines="60" w:after="144"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3 (C6.I3) — Intermodalitet og logistik</w:t>
      </w:r>
    </w:p>
    <w:p>
      <w:pPr>
        <w:spacing w:line="240" w:lineRule="auto"/>
        <w:jc w:val="both"/>
        <w:rPr>
          <w:rFonts w:ascii="Times New Roman" w:hAnsi="Times New Roman" w:cs="Times New Roman"/>
          <w:noProof/>
          <w:sz w:val="24"/>
        </w:rPr>
      </w:pPr>
      <w:r>
        <w:rPr>
          <w:rFonts w:ascii="Times New Roman" w:hAnsi="Times New Roman"/>
          <w:noProof/>
          <w:sz w:val="24"/>
        </w:rPr>
        <w:t>Formålet med foranstaltningen er at gennemføre akse 6 i strategien for sikker, bæredygtig og forbundet mobilitet (R1) om intelligente intermodale logistikkæder.</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Investeringen består af tre aktionslinjer: </w:t>
      </w:r>
    </w:p>
    <w:p>
      <w:pPr>
        <w:pStyle w:val="ListParagraph"/>
        <w:numPr>
          <w:ilvl w:val="0"/>
          <w:numId w:val="132"/>
        </w:numPr>
        <w:spacing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 xml:space="preserve">udvikling eller opgradering af ni strategiske intermodale og logistiske terminaler med henblik på i nogle tilfælde at integrere de intermodale terminaler med logistikområdet og under alle omstændigheder fremme overflytningen af gods fra vej til jernbane. </w:t>
      </w:r>
    </w:p>
    <w:p>
      <w:pPr>
        <w:pStyle w:val="ListParagraph"/>
        <w:numPr>
          <w:ilvl w:val="0"/>
          <w:numId w:val="132"/>
        </w:numPr>
        <w:spacing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 xml:space="preserve">forbedre jernbane- og vejadgangen til spanske havne for at fremme jernbanegodstransporten ved at forbedre forbindelsen mellem havne og jernbaner (2 havne) og vejnet (én havn) </w:t>
      </w:r>
    </w:p>
    <w:p>
      <w:pPr>
        <w:pStyle w:val="ListParagraph"/>
        <w:numPr>
          <w:ilvl w:val="0"/>
          <w:numId w:val="132"/>
        </w:numPr>
        <w:spacing w:line="240" w:lineRule="auto"/>
        <w:ind w:left="993" w:hanging="284"/>
        <w:jc w:val="both"/>
        <w:rPr>
          <w:rFonts w:ascii="Times New Roman" w:hAnsi="Times New Roman" w:cs="Times New Roman"/>
          <w:noProof/>
          <w:sz w:val="24"/>
          <w:szCs w:val="24"/>
        </w:rPr>
      </w:pPr>
      <w:r>
        <w:rPr>
          <w:rFonts w:ascii="Times New Roman" w:hAnsi="Times New Roman"/>
          <w:noProof/>
          <w:sz w:val="24"/>
          <w:szCs w:val="24"/>
        </w:rPr>
        <w:t>forbedret tilgængelighed (19 projekter) og bæredygtighed i havne (projekter i 25 havnemyndigheder).</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Udvælgelseskriterierne skal sikre, at mindst 584 000 000 EUR bidrager til klimamålene med en klimakoefficient på 100 % og mindst 217 000 000 EUR med en klimakoefficient på 40 % i overensstemmelse med bilag VI til forordning (EU) 2021/241 om genopretnings- og resiliensfaciliteten.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Investeringer 4 (C6.I4) — Støtteprogram for bæredygtig og digital transport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Formålet med foranstaltningen er at forbedre transportsystemets effektivitet ved at digitalisere og indføre nye teknologier i sektoren og ved at støtte de mest bæredygtige transportformer, navnlig jernbanetransport. Denne investering er i overensstemmelse med initiativerne i arbejdsprogrammet for Connecting Europe-faciliteten (CEF) og opfordrer til udvikling af det transeuropæiske transportnet.</w:t>
      </w:r>
    </w:p>
    <w:p>
      <w:pPr>
        <w:spacing w:line="240" w:lineRule="auto"/>
        <w:jc w:val="both"/>
        <w:rPr>
          <w:rFonts w:ascii="Times New Roman" w:hAnsi="Times New Roman" w:cs="Times New Roman"/>
          <w:noProof/>
          <w:sz w:val="24"/>
        </w:rPr>
      </w:pPr>
      <w:r>
        <w:rPr>
          <w:rFonts w:ascii="Times New Roman" w:hAnsi="Times New Roman"/>
          <w:noProof/>
          <w:sz w:val="24"/>
        </w:rPr>
        <w:t>Investeringen består af en pakke på 15 foranstaltninger på følgende områder:</w:t>
      </w:r>
    </w:p>
    <w:p>
      <w:pPr>
        <w:spacing w:line="240" w:lineRule="auto"/>
        <w:ind w:firstLine="709"/>
        <w:jc w:val="both"/>
        <w:rPr>
          <w:rFonts w:ascii="Times New Roman" w:hAnsi="Times New Roman" w:cs="Times New Roman"/>
          <w:noProof/>
          <w:sz w:val="24"/>
        </w:rPr>
      </w:pPr>
      <w:r>
        <w:rPr>
          <w:rFonts w:ascii="Times New Roman" w:hAnsi="Times New Roman"/>
          <w:i/>
          <w:noProof/>
          <w:sz w:val="24"/>
        </w:rPr>
        <w:t xml:space="preserve">Aktionslinje 1. Interoperabilitet inden for jernbanegodstransport </w:t>
      </w:r>
    </w:p>
    <w:p>
      <w:pPr>
        <w:spacing w:line="240" w:lineRule="auto"/>
        <w:ind w:left="709"/>
        <w:jc w:val="both"/>
        <w:rPr>
          <w:rFonts w:ascii="Times New Roman" w:hAnsi="Times New Roman" w:cs="Times New Roman"/>
          <w:noProof/>
          <w:sz w:val="24"/>
        </w:rPr>
      </w:pPr>
      <w:r>
        <w:rPr>
          <w:rFonts w:ascii="Times New Roman" w:hAnsi="Times New Roman"/>
          <w:noProof/>
          <w:sz w:val="24"/>
        </w:rPr>
        <w:t xml:space="preserve">1. European Rail Traffic Management Systems (ERTMS) (on-board European Rail Traffic Management Systems ). </w:t>
      </w:r>
    </w:p>
    <w:p>
      <w:pPr>
        <w:spacing w:line="240" w:lineRule="auto"/>
        <w:ind w:left="709"/>
        <w:jc w:val="both"/>
        <w:rPr>
          <w:rFonts w:ascii="Times New Roman" w:hAnsi="Times New Roman" w:cs="Times New Roman"/>
          <w:noProof/>
          <w:sz w:val="24"/>
        </w:rPr>
      </w:pPr>
      <w:r>
        <w:rPr>
          <w:rFonts w:ascii="Times New Roman" w:hAnsi="Times New Roman"/>
          <w:noProof/>
          <w:sz w:val="24"/>
        </w:rPr>
        <w:t>2. Foranstaltninger til fjernelse af hindringer for interoperabilitet i jernbanesystemet .</w:t>
      </w:r>
    </w:p>
    <w:p>
      <w:pPr>
        <w:spacing w:line="240" w:lineRule="auto"/>
        <w:ind w:left="709"/>
        <w:jc w:val="both"/>
        <w:rPr>
          <w:rFonts w:ascii="Times New Roman" w:hAnsi="Times New Roman" w:cs="Times New Roman"/>
          <w:noProof/>
          <w:sz w:val="24"/>
          <w:szCs w:val="24"/>
        </w:rPr>
      </w:pPr>
      <w:r>
        <w:rPr>
          <w:rFonts w:ascii="Times New Roman" w:hAnsi="Times New Roman"/>
          <w:noProof/>
          <w:sz w:val="24"/>
          <w:szCs w:val="24"/>
        </w:rPr>
        <w:t>3. Innovation og udvikling af aksen med variabel sporvidde i lokomotiver.</w:t>
      </w:r>
    </w:p>
    <w:p>
      <w:pPr>
        <w:spacing w:line="240" w:lineRule="auto"/>
        <w:ind w:firstLine="709"/>
        <w:jc w:val="both"/>
        <w:rPr>
          <w:rFonts w:ascii="Times New Roman" w:hAnsi="Times New Roman" w:cs="Times New Roman"/>
          <w:i/>
          <w:noProof/>
          <w:sz w:val="24"/>
          <w:szCs w:val="24"/>
        </w:rPr>
      </w:pPr>
      <w:r>
        <w:rPr>
          <w:rFonts w:ascii="Times New Roman" w:hAnsi="Times New Roman"/>
          <w:i/>
          <w:noProof/>
          <w:sz w:val="24"/>
          <w:szCs w:val="24"/>
        </w:rPr>
        <w:t xml:space="preserve">Aktionslinje 2. Fremme af intermodalitet inden for transport </w:t>
      </w:r>
    </w:p>
    <w:p>
      <w:pPr>
        <w:spacing w:line="240" w:lineRule="auto"/>
        <w:ind w:left="709"/>
        <w:jc w:val="both"/>
        <w:rPr>
          <w:rFonts w:ascii="Times New Roman" w:hAnsi="Times New Roman" w:cs="Times New Roman"/>
          <w:noProof/>
          <w:sz w:val="24"/>
        </w:rPr>
      </w:pPr>
      <w:r>
        <w:rPr>
          <w:rFonts w:ascii="Times New Roman" w:hAnsi="Times New Roman"/>
          <w:noProof/>
          <w:sz w:val="24"/>
        </w:rPr>
        <w:t>4. Anlæg, tilpasning eller opgradering af laster og intermodale godsterminaler og deres landforbindelser .</w:t>
      </w:r>
    </w:p>
    <w:p>
      <w:pPr>
        <w:spacing w:line="240" w:lineRule="auto"/>
        <w:ind w:left="709"/>
        <w:jc w:val="both"/>
        <w:rPr>
          <w:rFonts w:ascii="Times New Roman" w:hAnsi="Times New Roman" w:cs="Times New Roman"/>
          <w:noProof/>
          <w:sz w:val="24"/>
          <w:szCs w:val="24"/>
        </w:rPr>
      </w:pPr>
      <w:r>
        <w:rPr>
          <w:rFonts w:ascii="Times New Roman" w:hAnsi="Times New Roman"/>
          <w:noProof/>
          <w:sz w:val="24"/>
          <w:szCs w:val="24"/>
        </w:rPr>
        <w:t>5. Støtte til bæredygtig godstransport (jernbane og søtransport) baseret på miljøincitamenter til udbud og efterspørgsel.</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Aktionslinje 3. Modernisering af jernbanegodsudstyr</w:t>
      </w:r>
    </w:p>
    <w:p>
      <w:pPr>
        <w:spacing w:line="240" w:lineRule="auto"/>
        <w:ind w:left="709"/>
        <w:jc w:val="both"/>
        <w:rPr>
          <w:rFonts w:ascii="Times New Roman" w:hAnsi="Times New Roman" w:cs="Times New Roman"/>
          <w:noProof/>
          <w:sz w:val="24"/>
        </w:rPr>
      </w:pPr>
      <w:r>
        <w:rPr>
          <w:rFonts w:ascii="Times New Roman" w:hAnsi="Times New Roman"/>
          <w:noProof/>
          <w:sz w:val="24"/>
        </w:rPr>
        <w:t>6. Aktioner til støtte for renovering eller opgradering af godsvogne til jernbanegodstransport, herunder til etablering af jernbanetransporttjenester.</w:t>
      </w:r>
    </w:p>
    <w:p>
      <w:pPr>
        <w:spacing w:line="240" w:lineRule="auto"/>
        <w:ind w:left="709"/>
        <w:jc w:val="both"/>
        <w:rPr>
          <w:rFonts w:ascii="Times New Roman" w:hAnsi="Times New Roman" w:cs="Times New Roman"/>
          <w:noProof/>
          <w:sz w:val="24"/>
        </w:rPr>
      </w:pPr>
      <w:r>
        <w:rPr>
          <w:rFonts w:ascii="Times New Roman" w:hAnsi="Times New Roman"/>
          <w:noProof/>
          <w:sz w:val="24"/>
        </w:rPr>
        <w:t>7. Aktioner til støtte for renovering eller tilpasning af jernbanemateriel med andet materiale, der anvender alternative brændstoffer som hydrogen eller elektricitet .</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Aktionslinje 4. Sikker, bæredygtig og forbundet vejtransport</w:t>
      </w:r>
    </w:p>
    <w:p>
      <w:pPr>
        <w:spacing w:line="240" w:lineRule="auto"/>
        <w:ind w:left="709"/>
        <w:jc w:val="both"/>
        <w:rPr>
          <w:rFonts w:ascii="Times New Roman" w:hAnsi="Times New Roman" w:cs="Times New Roman"/>
          <w:noProof/>
          <w:sz w:val="24"/>
        </w:rPr>
      </w:pPr>
      <w:r>
        <w:rPr>
          <w:rFonts w:ascii="Times New Roman" w:hAnsi="Times New Roman"/>
          <w:noProof/>
          <w:sz w:val="24"/>
        </w:rPr>
        <w:t>8. Anlæg og opgradering af sikre parkeringsområder for erhvervskøretøjer og levering af informationstjenester .</w:t>
      </w:r>
    </w:p>
    <w:p>
      <w:pPr>
        <w:spacing w:line="240" w:lineRule="auto"/>
        <w:ind w:left="709"/>
        <w:jc w:val="both"/>
        <w:rPr>
          <w:rFonts w:ascii="Times New Roman" w:hAnsi="Times New Roman" w:cs="Times New Roman"/>
          <w:noProof/>
          <w:sz w:val="24"/>
        </w:rPr>
      </w:pPr>
      <w:r>
        <w:rPr>
          <w:rFonts w:ascii="Times New Roman" w:hAnsi="Times New Roman"/>
          <w:noProof/>
          <w:sz w:val="24"/>
        </w:rPr>
        <w:t>9. Intelligente transporttjenester for vejtransportsektoren (ITS) i forbindelse med koncessioner på betalingsmotorveje og andre trafiksikkerheds- og bevaringstjenester.</w:t>
      </w:r>
    </w:p>
    <w:p>
      <w:pPr>
        <w:spacing w:line="240" w:lineRule="auto"/>
        <w:ind w:left="709"/>
        <w:jc w:val="both"/>
        <w:rPr>
          <w:rFonts w:ascii="Times New Roman" w:hAnsi="Times New Roman" w:cs="Times New Roman"/>
          <w:noProof/>
          <w:sz w:val="24"/>
        </w:rPr>
      </w:pPr>
      <w:r>
        <w:rPr>
          <w:rFonts w:ascii="Times New Roman" w:hAnsi="Times New Roman"/>
          <w:noProof/>
          <w:sz w:val="24"/>
        </w:rPr>
        <w:t>10. Aktioner til støtte for udbredelsen af infrastruktur til alternativ optankning af tunge køretøjer på vejnettet. Støtteberettigelseskriterierne for denne foranstaltning skal sikre overensstemmelse med den tekniske vejledning om DNSH-princippet (2021/C58/01) ved at fastsætte en betingelse for, at overgangs- og distributionsinfrastrukturen for gasformige brændstoffer skal være mulig på tidspunktet for opførelsen af vedvarende og kulstoffattige gasser.</w:t>
      </w:r>
    </w:p>
    <w:p>
      <w:pPr>
        <w:spacing w:line="240" w:lineRule="auto"/>
        <w:ind w:left="709"/>
        <w:jc w:val="both"/>
        <w:rPr>
          <w:rFonts w:ascii="Times New Roman" w:hAnsi="Times New Roman" w:cs="Times New Roman"/>
          <w:noProof/>
          <w:sz w:val="24"/>
        </w:rPr>
      </w:pPr>
      <w:r>
        <w:rPr>
          <w:rFonts w:ascii="Times New Roman" w:hAnsi="Times New Roman"/>
          <w:noProof/>
          <w:sz w:val="24"/>
        </w:rPr>
        <w:t>11. Aktioner til støtte for renovering eller tilpasning af maskiner med henblik på bæredygtig vejbelægning, reduceret kulstoffodaftryk og støjreduktion .</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Aktionslinje 5. Bæredygtighed inden for sø- og lufttransport</w:t>
      </w:r>
    </w:p>
    <w:p>
      <w:pPr>
        <w:spacing w:line="240" w:lineRule="auto"/>
        <w:ind w:left="709"/>
        <w:jc w:val="both"/>
        <w:rPr>
          <w:rFonts w:ascii="Times New Roman" w:hAnsi="Times New Roman" w:cs="Times New Roman"/>
          <w:noProof/>
          <w:sz w:val="24"/>
        </w:rPr>
      </w:pPr>
      <w:r>
        <w:rPr>
          <w:rFonts w:ascii="Times New Roman" w:hAnsi="Times New Roman"/>
          <w:noProof/>
          <w:sz w:val="24"/>
        </w:rPr>
        <w:t>12. Støtte til anvendelse af alternative brændstoffer i havne og lufthavne. Støtteberettigelseskriterierne for denne foranstaltning skal sikre overensstemmelse med den tekniske vejledning om DNSH-princippet (2021/C58/01) ved at fastsætte en betingelse for, at overgangs- og distributionsinfrastrukturen for gasformige brændstoffer skal være mulig på tidspunktet for opførelsen af vedvarende og kulstoffattige gasser.</w:t>
      </w:r>
    </w:p>
    <w:p>
      <w:pPr>
        <w:spacing w:line="240" w:lineRule="auto"/>
        <w:ind w:left="709"/>
        <w:jc w:val="both"/>
        <w:rPr>
          <w:rFonts w:ascii="Times New Roman" w:hAnsi="Times New Roman" w:cs="Times New Roman"/>
          <w:noProof/>
          <w:sz w:val="24"/>
        </w:rPr>
      </w:pPr>
      <w:r>
        <w:rPr>
          <w:rFonts w:ascii="Times New Roman" w:hAnsi="Times New Roman"/>
          <w:noProof/>
          <w:sz w:val="24"/>
        </w:rPr>
        <w:t>13. Støtte til udbredelsen af alternative energiteknologier i den maritime sektor.</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Aktionslinje 6. Digitalisering af transport</w:t>
      </w:r>
    </w:p>
    <w:p>
      <w:pPr>
        <w:spacing w:line="240" w:lineRule="auto"/>
        <w:ind w:left="709"/>
        <w:jc w:val="both"/>
        <w:rPr>
          <w:rFonts w:ascii="Times New Roman" w:hAnsi="Times New Roman" w:cs="Times New Roman"/>
          <w:noProof/>
          <w:sz w:val="24"/>
        </w:rPr>
      </w:pPr>
      <w:r>
        <w:rPr>
          <w:rFonts w:ascii="Times New Roman" w:hAnsi="Times New Roman"/>
          <w:noProof/>
          <w:sz w:val="24"/>
        </w:rPr>
        <w:t>14. Projekter vedrørende digitalisering af passager- og godstransporttjenester på nationalt plan.</w:t>
      </w:r>
    </w:p>
    <w:p>
      <w:pPr>
        <w:spacing w:line="240" w:lineRule="auto"/>
        <w:ind w:firstLine="709"/>
        <w:jc w:val="both"/>
        <w:rPr>
          <w:rFonts w:ascii="Times New Roman" w:hAnsi="Times New Roman" w:cs="Times New Roman"/>
          <w:noProof/>
          <w:sz w:val="24"/>
        </w:rPr>
      </w:pPr>
      <w:r>
        <w:rPr>
          <w:rFonts w:ascii="Times New Roman" w:hAnsi="Times New Roman"/>
          <w:i/>
          <w:noProof/>
          <w:sz w:val="24"/>
        </w:rPr>
        <w:t xml:space="preserve">Overførsel til selvstyrende regioner </w:t>
      </w:r>
    </w:p>
    <w:p>
      <w:pPr>
        <w:spacing w:line="240" w:lineRule="auto"/>
        <w:ind w:left="709"/>
        <w:jc w:val="both"/>
        <w:rPr>
          <w:rFonts w:ascii="Times New Roman" w:hAnsi="Times New Roman" w:cs="Times New Roman"/>
          <w:noProof/>
          <w:sz w:val="24"/>
        </w:rPr>
      </w:pPr>
      <w:r>
        <w:rPr>
          <w:rFonts w:ascii="Times New Roman" w:hAnsi="Times New Roman"/>
          <w:noProof/>
          <w:sz w:val="24"/>
        </w:rPr>
        <w:t>15. Projekter til digitalisering af passager- og godstransporttjenester på regionalt og lokalt plan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Udvælgelseskriterierne skal sikre, at mindst 63 500 000 EUR bidrager til klimamålene med en klimakoefficient på 100 % og mindst 210 000 000 EUR med en klimakoefficient på 40 % i overensstemmelse med bilag VI til forordning (EU) 2021/241 om genopretnings- og resiliensfaciliteten.</w:t>
      </w:r>
    </w:p>
    <w:p>
      <w:pPr>
        <w:spacing w:line="240" w:lineRule="auto"/>
        <w:jc w:val="both"/>
        <w:rPr>
          <w:rFonts w:ascii="Times New Roman" w:hAnsi="Times New Roman" w:cs="Times New Roman"/>
          <w:b/>
          <w:bCs/>
          <w:noProof/>
          <w:sz w:val="24"/>
          <w:u w:val="single"/>
        </w:rPr>
      </w:pPr>
      <w:r>
        <w:rPr>
          <w:rFonts w:ascii="Times New Roman" w:hAnsi="Times New Roman"/>
          <w:noProof/>
          <w:sz w:val="24"/>
          <w:szCs w:val="24"/>
        </w:rPr>
        <w:t>Gennemførelsen af investeringen skal være afsluttet senest den 30. juni 2026.</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F.2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medmindre andet er angivet i beskrivelsen af foranstaltningen. Beløbene i tabellen omfatter ikke moms.</w:t>
      </w:r>
    </w:p>
    <w:p>
      <w:pPr>
        <w:spacing w:before="120" w:after="120" w:line="240" w:lineRule="auto"/>
        <w:jc w:val="both"/>
        <w:rPr>
          <w:rFonts w:ascii="Times New Roman" w:hAnsi="Times New Roman" w:cs="Times New Roman"/>
          <w:b/>
          <w:noProof/>
          <w:sz w:val="24"/>
          <w:u w:val="single"/>
        </w:rPr>
      </w:pP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79"/>
          <w:headerReference w:type="default" r:id="rId80"/>
          <w:footerReference w:type="even" r:id="rId81"/>
          <w:footerReference w:type="default" r:id="rId82"/>
          <w:headerReference w:type="first" r:id="rId83"/>
          <w:footerReference w:type="first" r:id="rId84"/>
          <w:pgSz w:w="11907" w:h="16839"/>
          <w:pgMar w:top="1134" w:right="1417" w:bottom="1134" w:left="1417" w:header="709" w:footer="709" w:gutter="0"/>
          <w:cols w:space="720"/>
          <w:docGrid w:linePitch="360"/>
        </w:sectPr>
      </w:pPr>
    </w:p>
    <w:tbl>
      <w:tblPr>
        <w:tblW w:w="141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560"/>
        <w:gridCol w:w="1134"/>
        <w:gridCol w:w="850"/>
        <w:gridCol w:w="567"/>
        <w:gridCol w:w="567"/>
        <w:gridCol w:w="425"/>
        <w:gridCol w:w="567"/>
        <w:gridCol w:w="606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156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1984"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606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56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606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Strategi for bæredygtig, sikker og sammenbundet mobilitet (offentlig høring)</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Meddelelse om afslutning af høringen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den offentlige høringsproces om strategien vedrørende foranstaltninger på følgende ni områder: 1) Mobilitet for alle (sikring af universel tilgængelighed til rimelige omkostninger) 2) Nye investeringspolitikker (for at sikre tilstrækkelig finansiering af transportinfrastrukturer og -tjenester) 3) Sikker mobilitet (prioritering af investeringer i overvågning, vedligeholdelse og cybersikkerhed) 4) Lavemissionsmobilitet (øget effektivitet, reduktion af energiforbruget) 5) Intelligent mobilitet (fremme F &amp; D og mobilitetsinnovation, opbygge og forvalte intelligent infrastruktur) 6) intelligente intermodale logistikkæder (prioritering af godstransport med jernbane) 7) Forbinde Europa og forbundet med verden (forbinde havne med intermodale logistikterminaler og intensivere samarbejdet med nabolandene for at koordinere opførelsen og/eller forbedringen af grænseoverskridende infrastrukturer) 8) Sociale og arbejdsmarkedsmæssige aspekter (kønsbalance og omskolings- og opkvalificeringsforanstaltninger for transportarbejdsstyrken) 9) digitalisering af transportministeriet (MITMA).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Strategi for bæredygtig, sikker og sammenbundet mobilitet (godkendelse)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 af strategien for foranstaltninger på følgende ni områder:1) mobilitet for alle (med henblik på at sikre universel tilgængelighed til rimelige omkostninger) 2) Nye investeringspolitikker (for at sikre tilstrækkelig finansiering af transportinfrastrukturer og -tjenester) 3) Sikker mobilitet (prioritering af investeringer i overvågning, vedligeholdelse og cybersikkerhed) 4) Lavemissionsmobilitet (øget effektivitet, reduktion af energiforbruget) 5) Intelligent mobilitet (fremme F &amp; D og mobilitetsinnovation, opbygge og forvalte intelligent infrastruktur) 6) Intelligente intermodale logistikkæder (prioritering af godstransport med jernbane i offentlige og private dagsordener) 7) Forbinde Europa og forbundet med verden (forbinde havne med intermodale logistikterminaler og intensivere samarbejdet med nabolandene for at koordinere opførelsen og/eller forbedringen af grænseoverskridende infrastrukturer) 8) Sociale og arbejdsmarkedsmæssige aspekter (kønsbalance og omskolings- og opkvalificeringsforanstaltninger for transportarbejdsstyrken) 9) digitalisering af transportministeriet MITMA.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Vejledende jernbanestrategi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 af beslutningen om godkendelse af den vejledende jernbanestrategi med lovgivningsmæssige ændringer vedrørende: a) at etablere en klarere planlægning af aktioner i jernbanesektoren, navnlig rettet mod den daglige mobilitet b) forbedring af netvedligeholdelsen c) sikring af jernbanenettets økonomiske bæredygtighed d) prioritering af ressourceeffektivitet med en forudgående og efterfølgende evaluering af investeringsprojekter e) forbedring af nettets interoperabilitet, navnlig i de transeuropæiske netkorridorer, og intermodalitet i nettet f) fremme af jernbanegodstrafikken g) forbedring af jernbanetransportsikkerheden h) fremme digitalisering af transport og innovation for at sikre netforbundet mobilitet. For alle foranstaltninger, der indgår i den vejledende jernbanestrategi, sikre opfyldelsen af bestemmelserne i lov nr. 21/2013 om vurdering af virkningerne på miljøet og lov nr. 9/2018 af 5. december om ændring af lov nr. 21/2013 og gennemføre de nødvendige modvirkningsforanstaltninger til beskyttelse af miljøet i forbindelse med miljøkonsekvensvurderingen (VVM).</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TEN-T-hovednettet: tildeling af projekter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Officiel meddelelse om projekttildeling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1 400 000 000 EUR i budgettet til TEN-T-hovednettet i følgende korridorer: Atlantic CORRIDOR• Y Vasca: Vitoria-Bilbao-San Sebastian/Astigarraga-Irun• Valladolid-Palencia-León• León-La Robla-Pola de Lena• Castejón-Pamplona• Ourense-Monforte• Talayuela-Plasencia-Cáceres-Mérida-Badajoz MEDITERRANEAN CORRIDOR: • Frontera francesa-Barcelona/Tarragona-Vandellós• Sagunto-Teruel — Zaragoza• Zaragoza-Tarragona• Castellón-Valencia-La Encina-Alicante• Murcia-Cartagena• Murcia-Almería ComMON TO BOTH CORRIDORS• forbindelse HSL Barcelona — HSL Levante• • Platform. Projekter, der gør det muligt at etablere den infrastruktur, der skal understøtte sporene, og som omfatter dæmninger, rydning, viadukter, tunneler osv. Disse projekter er hovedsagelig opførelse af ny infrastruktur. • Udskiftning af tjenester. Det omfatter foranstaltninger, der tager sigte på at genoprette eksisterende tjenester (lys, kunstvanding, vand osv.), som påvirkes under udførelsen af jernbanearbejdet. • spor. • Spor. Det omfatter foranstaltninger til samling og levering af spormaterialer (ballast, sveller, skinner, sporskifter og udvidelsesudstyr) på nye jernbanestrækninger samt fornyelse af eksisterende spor. • Elektricitet. • Elektricitet. Det omfatter foranstaltninger, der tager sigte på elektrificering af strækninger, herunder: køreledning, trækkraftfordelingsstationer, transformationscentre, fjernstyring, højspændingsledninger osv.• Trafiksignalering og trafikstyring. Det omfatter projekter, der tager sigte på at indføre nye signal- og trafikstyringssystemer (ERTMS osv.). • Telekommunikation. • Telekommunikation. Omfatter projekter vedrørende fast og mobil telekommunikation på jernbanestrækninger (f.eks. fiberoptik, GSM-R) • stationer. Det omfatter opgradering og renovering af eksisterende stationer samt opførelse af nye stationer.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86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C6.I1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TEN-T-hovednettet: arbejdets forløb </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Antal (km)</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335</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Mindst 335 km færdiggjort arbejde på TEN-T-hovednettet i korridorerne og med de karakteristika, der er fastsat i mål #85 for fjerde kvartal af 2022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TEN-T-hovednettet: færdiggørelse af bygge- og anlægsarbejder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Antal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335</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1 400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1 400 km færdiggjort arbejde på TEN-T-hovednettet i korridorerne og med de karakteristika, der er fastsat i mål#85 for fjerde kvartal af 2022. (referenceniveau: 31. december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TEN-T-nettet — forskellige transportformer (jernbane og vej): delvis budgettildeling</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Officiel meddelelse om projekttildeling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Kumuleret budget på mindst 1 000 000 000 EUR (samlet budget 1 717 000 000 EUR) til interventioner i TEN-T-nettet, der ikke er hovednettet, inden for forskellige transportformer (jernbane og vej). Projekterne udvælges efter følgende udvælgelseskriterier: a) Mere jernbanenettet mere interoperabelt, hovedsagelig i forbindelse med TEN-T, med anlægsarbejder på mindst 900 km net (1 010 000 000 EUR). Dette omfatter følgende interventioner: • Forbedring af den teknologiske infrastruktur til styring af jernbanetrafikken• sikkerhed (såsom cybersikkerhed, installation af kollisionsdetektorer)• Akoustisk beskyttelse/støjkort• udvikling af satellitteknologi til ERTMS-jernbanesignalering• elektrificering af strækninger (såsom Monforte-Lugo)• Track-fornyelse (såsom Soria-Torralba, Xátiva-Ontinyent og Monforte-Lugo)• forbedring af delsystemet Styringskontrol og signaler (såsom Soria-Torralba og Ávila-Salamanca) • Etablering af nye strækninger eller varianter (f.eks. Palencia-Santander, variant af Rincón de Soto og variant af Ourense) b) Gøre vejnet sikrere i overensstemmelse med nationale og europæiske regler (707 000 000 EUR). • Forbedring af trafiksikkerheden (herunder trafiksikkerheden i mindst 80 tunneller) og beskyttelse af sårbare vilde dyr og planter og brugere (357 000 000 EUR)• bæredygtighed, energieffektivitet og støjdæmpende foranstaltninger (302 000 000 EUR)• digitalisering: Indførelse af overvågningssystemer for broer og tunneller ved hjælp af big data-analyse og tingenes internet digitalisering af veje til overvågning og vedligeholdelse (35 000 000 EUR). • Gennemførelse af intelligente transportsystemer i bus-VAO-baner (13 000 000 EUR) • ajourføring af det første foreløbige udkast til den faste forbindelse over Gibraltarstrædet (2 300 000 EUR) skal sikre, at mindst 1 010 000 000 EUR i andet kvartal 2026 bidrager til klimamålene med en klimakoefficient på 100 % og mindst 301 000 000 EUR med en klimakoefficient på 40 % i overensstemmelse med bilag VI til forordning (EU) 2021/241 om genopretnings- og resiliensfaciliteten.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TEN-T-net , der ikke er hovednettet: fremskridt inden for jernbanearbejde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Antal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347</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347 km arbejde afsluttet med det formål at gøre jernbanenettet mere interoperabelt, hovedsagelig i forhold til TEN-T, med et endeligt mål om samlet arbejde på mindst 900 km net. Bygge- og anlægsarbejder finder sted inden for de områder, der er defineret i projekttildelingen for fjerde kvartal af 2022, litra a) milepæl 88.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Det fælles europæiske luftrum: tildelt projekt og fremskridt med hensyn til færdiggørelse af projekter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Nummer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 alt mindst 15 afsluttede projekter (endelige mål 20-projekter) inden for digitalisering og sikkerhed med henblik på udvikling af det fælles europæiske luftrum fra følgende liste over udvælgelseskriterier: I alt mindst 15 afsluttede projekter (endelige mål 20-projekter) inden for digitalisering og sikkerhed med henblik på udvikling af det fælles europæiske luftrum fra følgende liste over udvælgelseskriterier: • Direkte investeringer gennem ENAIRE (luftfartschef i Spanien) til udvikling af det fælles europæiske luftrum i forbindelse med moderniseringen af flyvekontrolsystemerne og overvågningssystemerne, den digitale omstilling af informationssystemerne og udviklingen af kommunikationssystemer. • Digitalisering af luftfartsdokumentation (data og kortlægning), som brugerne har adgang til med henblik på flyvninger• udvidelse af dækningen af jord/luft og digitalisering af Voice inden for pilot-flyvelederkommunikation. Forbedre dækningen på lavt niveau i visse luftrumsområder ved at modernisere infrastrukturen for jordbaseret kommunikation• udvikle talekommunikationssystemet i flyvekontrolcentre ved hjælp af digitalisering og avanceret teknologi, skabe bedre kvalitet, øge sikkerheden, tilgængeligheden af information og øge beredskabskapaciteten• teknologisk modernisering af det primære radarnet, forbedre ydeevnen og lede systemerne hen imod en fuldstændig digitalisering af primære radarer ved hjælp af alle tilgængelige teknologiske fremskridt med henblik på at øge den operationelle effektivitet• udvikling af radarsystemer, der er sekundære i forhold til Modo S. Teknologi, der leverer information til lufttrafikkontrolsystemet• Replacing of the Home Management of the Mandware Performance and Management of the Responsible Systems of the Management of the Operation of the Operational efficiency• udvikling af radarsystemer under Modo S. Teknologi, der leverer information til Air Traffic Control System• Replacing of the Transparency Systems of the Credware Services of the operational efficiency• udvikling af radarsystemer, der er sekundær i forhold til Modo S. Teknologi, der leverer information til lufttrafikstyringssystemet• Refusion af de forskellige forvaltningssystemer for flaskehalsnet• Refusion af de forskellige teknologiske løsninger med henblik på at øge den operationelle effektivitet• udvikling af radarsystemer, der er sekundære i forhold til Modo S. Teknologi, der leverer information til lufttrafikkontrolsystemet• Refusion af de forskellige systemer til Kredsstyring og Virkring af Teknologiske Tjenesteydelser til Luftfartens driftssystemer• Rejæggelse af driftseffektivitetsstyringssystemer, der er sekundære i forhold til Modo S. Teknologi og teknologi, der leverer information til forskellige applikationer til lufttrafikstyring• Refusion af de forskellige teknologiske systemer med henblik på at øge driftseffektiviteten• udvikle radarsystemer, der er sekundære i forhold til Modo S. teknologi. Afgørende for at sikre gennemførelsen af de nye operationelle koncepter i Spanien. Desuden er der medtaget modernisering af anlæg for at sikre modstandsdygtighed over for fejl. • Digitalisering og automatisering af den tekniske driftsstyring med henblik på at forbedre værktøjerne til fjernovervågning af systemer på en integreret måde • modernisering af flyvekontrolsystemet med henblik på overholdelse af reguleringsmæssige kriterier, herunder forbedringer af kapacitet, sikkerhed, cybersikkerhed og digitaliseringskoncepter, der alle stammer fra det fælles europæiske luftrum</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Digitalisering af Ministeriet for Transport, Mobilitet og dagsorden for byerne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Officiel meddelelse om arbejdets afslutning</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følgende projekter: • Opbygning af informationsmodeller (BIM), der lancerer en samarbejdsplatform for forvaltning af digital information og digitale modeller. • Fremme af mobilitet som en tjeneste, tilvejebringelse af åbne data og anvendelse af nye teknologier til mobilitetsanalyse og -optimering. • Gennemførelse af et system til analyse, tilsyn, overvågning, behovskontrol, implementering og anvendelse af nye teknologier inden for landtransport. • Digitaliseringsplanen for Generaldirektoratet for veje. • Udvikling af nye tjenester og forbedret forvaltning inden for bl.a. luft-, sø- og geografisk information.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Nyt eller opgraderet TEN-T-net, andet arbejde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Antal (km)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347</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900 km arbejde afsluttet med det formål at gøre jernbanenettet mere interoperabelt, hovedsagelig i forhold til TEN-T, med anlægsarbejder. Bygge- og anlægsarbejder finder sted inden for de områder, der er defineret i udvælgelseskriterierne for projekttildeling i fjerde kvartal af 2022, litra a) (milepæl 88). (referenceniveau: 31. december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Det fælles europæiske luftrum: færdiggørelse af projektet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15</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20 projekter afsluttet inden for digitalisering og sikkerhed med henblik på udvikling af det fælles europæiske luftrum med projekter udvalgt i overensstemmelse med udvælgelseskriterierne for projekttildeling (milepæl 90) udvælgelseskriterie. (reference: 31. december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Statsvejsnet tilpasset efter den nuværende lovgivning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Færdiggørelse af projektet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Færdiggørelsen af arbejdet med at gøre det statslige vejnet sikrere i overensstemmelse med de nationale og europæiske regler. Arbejderne er inden for de områder, der er defineret i udvælgelseskriterierne for projekttildeling i fjerde kvartal af 2022, litra b) (milepæl 88), og omfatter arbejder i mindst 80 tunneller, arbejder for at forbedre hegn og skiltning for at mindske sandsynligheden for, at vilde dyr bliver ramt, gennemførelse af aktioner til forbedring af sikkerheden for de mest sårbare trafikanter, såsom fodgængere og cyklister (gangstier, cykelstier), støjdæmpende foranstaltninger, digitalisering (gennemførelse af overvågningssystemer til broer og vejnet ved anvendelse af big data-analyse og tingenes internet); digitalisering af veje med henblik på overvågning og vedligeholdelse), gennemførelse af intelligente transportsystemer i busbaner.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Intermodal og logistisk infrastruktur: delvis budgettildeling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Officiel meddelelse om projekttildeling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Et kumuleret budget på mindst 330 000 000 EUR (samlet målbudget på 974 000 000 EUR) til interventioner til forbedring af intermodale og logistiske infrastrukturprojekter tildeles i overensstemmelse med følgende udvælgelseskriterier: a) udvikling og opgradering af ni strategiske intermodale og logistiske terminaler (TILOS 217 000 000 EUR) med henblik på at integrere den intermodale terminal med logistikområdet i nogle tilfælde og fremme trafikoverflytning af gods fra vej til jernbane i alle tilfælde. Disse terminaler og logistiske faciliteter er:  • Vicálvaro i Madrid • La Llagosta i Barcelona• San Luis i Valencia• Júndiz i Álava. • Logistisk facilitet i Can Tunis (Barcelona)• Orduña-terminalen (Bizkaia)• logistikfaciliteten i Lezo (Gipuzkoa)• Muriedas (Santander)• Escombreras terminal (Murcia), b) forbedring af jernbaneadgangen til to spanske havne (407 700 000 EUR) og vejadgang til én havn (43 000 000 EUR), herunder:  • Jernbaneadgang til havnen i La Coruña• jernbaneadgang til havnen i Castellón• Adgang til havnen i Algeciras• anlæg af 750-meter-sidespor. c) forbedret tilgængelighed (19 projekter) og bæredygtighed (25 projekter) i havne (306 000 000 EUR), herunder: • Tilgængelighed (176 000 000 EUR): Jernbaneadgangsarbejder, herunder arbejder med renovering og opgradering, samt ny adgang til og forbedring af den interne trafik i havne ved at tilpasse den infrastruktur, der fortsætter dens eksterne landbaserede adgang. • Bæredygtighed: • Bæredygtighed: herunder tilstrækkelige vandforsynings- og sanitetssystemer planer for forbedring af luftkvaliteten etablering af mere effektive energinet solcelleanlæg renovering af belysningsnet og installation af LED-teknologi systemer til styring af strømforbrug Formålet med foranstaltningen er at gennemføre akse 6 i strategien for sikker, bæredygtig og forbundet mobilitet (R1) om intelligente intermodale logistikkæder. Udvælgelseskriterier skal på pro rata-basis sikre, at mindst 584 000 000 EUR ud af det samlede endelige budget på 974 000 000 EUR bidrager til klimamålene med en klimakoefficient på 100 % og mindst 217 000 000 EUR med en klimakoefficient på 40 %, jf. bilag VI til forordning (EU) 2021/241 om genopretnings- og resiliensfaciliteten.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Budgetgennemførelse for intermodal og logistisk infrastruktur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Officiel meddelelse om budgetgennemførelsen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Det samlede budget, der er gennemført for mindst 590 000 000 EUR til intermodale og logistiske infrastrukturanlæg, ligger inden for de områder, der er defineret i udvælgelseskriterierne for projekttildeling i fjerde kvartal af 2022, litra a), b) og c) (milepæl 95).</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Intermodal og logistisk infrastruktur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Færdiggørelsen af arbejdet i ni strategiske intermodale og logistiske terminaler (Tilos) og tre havne får adgang til nye eller opgraderede havne for at fremme jernbanegodstransporten. Bygge- og anlægsarbejder ligger inden for de områder, der er defineret i udvælgelseskriterierne for projekttildeling i fjerde kvartal af 2022, litra a) og b) (Milepæl 95).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Afslutning af projekter vedrørende jernbanetilgængelighed og projekter vedrørende bæredygtighed i havne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44</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Afslutning af 44 aktioner (19 + 25): mindst 19 projekter om jernbanetilgængelighed og afslutning af projekter om bæredygtighed i havnene hos forskellige 25 havnemyndigheder. Bygge- og anlægsarbejder ligger inden for de områder, der er defineret i udvælgelseskriterierne for projekttildeling i fjerde kvartal af 2022, point c) (Milepæl 95).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99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Støtte til programmet for bæredygtig og digital transport.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EU-Tidende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i Den Europæiske Unions Tidende af tildelingen af 800 000 000 EUR under programmet for bæredygtig og digital transport. Der vil blive tildelt støtte til følgende 15 aktioner. Aktionslinje 1. Interoperabilitet inden for jernbanegodstransport — 45 000 000 EUR 1. </w:t>
            </w:r>
            <w:r>
              <w:rPr>
                <w:rFonts w:ascii="Times New Roman" w:hAnsi="Times New Roman"/>
                <w:noProof/>
                <w:color w:val="000000"/>
                <w:sz w:val="18"/>
                <w:szCs w:val="18"/>
                <w:lang w:val="en-US"/>
              </w:rPr>
              <w:t xml:space="preserve">European Rail Traffic Management Systems (ERTMS) (on-board European Rail Traffic Management Systems) 2. </w:t>
            </w:r>
            <w:r>
              <w:rPr>
                <w:rFonts w:ascii="Times New Roman" w:hAnsi="Times New Roman"/>
                <w:noProof/>
                <w:color w:val="000000"/>
                <w:sz w:val="18"/>
                <w:szCs w:val="18"/>
              </w:rPr>
              <w:t>Aktioner, der fjerner hindringer for interoperabilitet i jernbanesystemet i overensstemmelse med TSI'erne. Støjreduktionssystemer i rullende materiel Tilpasning af lokomotiver til forskellige driftsspændinger Installation af aksler med forskellig sporvidde på godsvogne 3. Innovation og udvikling af aksen med variabel sporvidde i lokomotiver. Aktionslinje 2. Fremme af intermodalitet inden for transport 195 000 000 EUR 4. Anlæg, tilpasning eller opgradering af laster og intermodale godsterminaler og deres landforbindelser 5. Støtte til bæredygtig godstransport (jernbane og søtransport) baseret på miljøincitamenter til udbud og efterspørgsel. Foranstaltning linje 3. Modernisering af jernbanegodsudstyr 125 000 000 EUR 6. Aktioner til støtte for renovering eller opgradering af godsvogne til jernbanegodstransport, herunder til etablering af jernbanetransporttjenester. 7. Aktioner til støtte for renovering eller tilpasning af jernbanekræveudstyr med andet materiale, der anvender alternative brændstoffer (brint eller elektricitet).  Aktionslinje 4. Sikker, bæredygtig og opkoblet vejtransport 56 500 000 EUR 8. Anlæg og opgradering af sikre parkeringsområder for erhvervskøretøjer og levering af informationstjenester (delegeret forordning (EU) nr. 885/2013). 9. Intelligente transporttjenester for vejtransportsektoren (ITS) i forbindelse med koncessioner på betalingsmotorveje og andre trafiksikkerheds- og bevaringstjenester. 10. Aktioner til støtte for etablering af infrastruktur for alternative brændstoffer til tunge køretøjer på vejnettet 11. Aktioner til støtte for renovering eller tilpasning af midler og maskiner med henblik på at opnå bæredygtig belægning: reduktion af kulstofaftryk og støjdæmpere aktionslinje 5. Bæredygtighed inden for sø- og lufttransport 111 000 000 EUR 12. Støtte til anvendelse af alternative brændstoffer i havne og lufthavne. 13. Støtte til udbredelsen af alternative energiteknologier i den maritime sektor. Aktionslinje 6. Digitalisering af transport 47 500 000 EUR 14. Projekter vedrørende digitalisering af passager- og godstransporttjenester på nationalt plan. Overførsel til selvstyrende regioner 220 000 000 EUR 15. Projekter til digitalisering af passager- og godstransporttjenester på regionalt og lokalt plan. For foranstaltning 10 og 12 skal udvælgelseskriterierne være i overensstemmelse med den tekniske vejledning om DNSH-princippet (2021/C58/01), der sikrer, at infrastrukturen er aktiveret på tidspunktet for opførelsen af vedvarende og kulstoffattige gasser. Udvælgelseskriterierne skal sikre, at mindst 63 500 000 EUR bidrager til klimamålene med en klimakoefficient på 100 % og mindst 210 000 000 EUR med en klimakoefficient på 40 % i overensstemmelse med bilag VI til forordning (EU) 2021/241 om genopretnings- og resiliensfaciliteten.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Bæredygtig og digital transport: påbegyndelse af bygningsarbejder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Officiel meddelelse om påbegyndelse af arbejdet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Påbegyndelse af arbejdet i alle projekter, der blev tildelt i fjerde kvartal af 2022 for at fremme bæredygtig og digital transport. Arbejdet udføres inden for de områder, der er defineret i udvælgelseskriterierne for projekttildeling i fjerde kvartal af 2022 (Milepæl 99).</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C6.I4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Bæredygtig og digital transport: færdiggørelse af bygge- og anlægsarbejder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Officiel meddelelse om arbejdets afslutning</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alle projekter, der blev tildelt i fjerde kvartal af 2022 til fremme af bæredygtig og digital transport. Arbejdet udføres inden for de områder, der er defineret i udvælgelseskriterierne for projekttildeling i fjerde kvartal af 2022. For foranstaltning 10 og 12 skal udvælgelseskriterierne være i overensstemmelse med den tekniske vejledning om DNSH-princippet (2021/C58/01), der sikrer, at infrastrukturen er aktiveret på tidspunktet for opførelsen af vedvarende og kulstoffattige gasser.</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85"/>
          <w:headerReference w:type="default" r:id="rId86"/>
          <w:footerReference w:type="even" r:id="rId87"/>
          <w:footerReference w:type="default" r:id="rId88"/>
          <w:headerReference w:type="first" r:id="rId89"/>
          <w:footerReference w:type="first" r:id="rId90"/>
          <w:pgSz w:w="16839" w:h="11907" w:orient="landscape"/>
          <w:pgMar w:top="1417" w:right="1134" w:bottom="1417" w:left="1134" w:header="709" w:footer="709" w:gutter="0"/>
          <w:cols w:space="720"/>
          <w:docGrid w:linePitch="360"/>
        </w:sectPr>
      </w:pPr>
    </w:p>
    <w:p>
      <w:pPr>
        <w:pStyle w:val="Heading1"/>
        <w:rPr>
          <w:noProof/>
        </w:rPr>
      </w:pPr>
      <w:r>
        <w:rPr>
          <w:noProof/>
        </w:rPr>
        <w:t>G. KOMPONENT 07: Udbredelse og integration af vedvarende energikilder</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 Spaniens nationale energi- og klimaplan for perioden 2021-2030 forventes der en betydelig stigning i udbredelsen af vedvarende energi i Spanien, idet den når op på 74 % i elsektoren og 42 % i slutanvendelsen i 2030. I denne forbindelse er formålet med komponent i den spanske genopretnings- og resiliensplan at øge anvendelsen af vedvarende energi ved hjælp af følgende elementer: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udvikling af et klart og forudsigeligt regelsæt, der fremmer investeringer i vedvarende energi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etablering og konsolidering af den industrielle værdikæde inden for vedvarende energi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støtte til innovative kilder til vedvarende energiproduktionsteknologier, herunder deres integration i slutanvendelser og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udvikling af grønne færdigheder.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Desuden søger komponenten specifikt at fremme udbredelsen af vedvarende energi på de spanske øer samt borgernes deltagelse gennem VE-fællesskaber.</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Komponenten vedrører fremme af investeringer i innovation og energieffektivitet (landespecifik henstilling nr. 3 fra 2019). Den fremmer også offentlige og private investeringer og fremmer den grønne omstilling (landespecifik henstilling nr. 3 fra 2020).</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 </w:t>
      </w:r>
    </w:p>
    <w:p>
      <w:pPr>
        <w:spacing w:before="120" w:after="120" w:line="240" w:lineRule="auto"/>
        <w:ind w:left="709"/>
        <w:jc w:val="both"/>
        <w:rPr>
          <w:rFonts w:ascii="Times New Roman" w:hAnsi="Times New Roman" w:cs="Times New Roman"/>
          <w:b/>
          <w:bCs/>
          <w:i/>
          <w:iCs/>
          <w:noProof/>
          <w:color w:val="000000" w:themeColor="text1"/>
          <w:sz w:val="24"/>
        </w:rPr>
      </w:pPr>
      <w:r>
        <w:rPr>
          <w:rFonts w:ascii="Times New Roman" w:hAnsi="Times New Roman"/>
          <w:b/>
          <w:bCs/>
          <w:noProof/>
          <w:color w:val="000000" w:themeColor="text1"/>
          <w:sz w:val="24"/>
          <w:u w:val="single"/>
        </w:rPr>
        <w:t xml:space="preserve">G.1 </w:t>
      </w:r>
      <w:r>
        <w:rPr>
          <w:rFonts w:ascii="Times New Roman" w:hAnsi="Times New Roman"/>
          <w:b/>
          <w:noProof/>
          <w:color w:val="000000" w:themeColor="text1"/>
          <w:sz w:val="24"/>
          <w:u w:val="single"/>
        </w:rPr>
        <w:tab/>
      </w:r>
      <w:r>
        <w:rPr>
          <w:rFonts w:ascii="Times New Roman" w:hAnsi="Times New Roman"/>
          <w:b/>
          <w:bCs/>
          <w:noProof/>
          <w:color w:val="000000" w:themeColor="text1"/>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 1 (C7.R1) — Reguleringsramme for fremme af produktion af vedvarende energi</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Formålet med denne foranstaltning er at styrke de lovgivningsmæssige rammer for fremme af produktion af vedvarende energi for at øge sikkerheden og tilskynde til private investeringer i vedvarende energi, fjerne hindringer for udbredelsen af vedvarende energi og forbedre deres integration i miljøet, elsystemet og i forskellige sektorer.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Foranstaltningen skal omfatte en række lovgivnings- og forskriftsmæssige skridt, herunder: </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vedtagelsen af kongeligt lovdekret nr. 23/2020 i juni 2020, som indfører et nyt auktionssystem for produktion af vedvarende energi og forbedrer mekanismen for adgang for vedvarende energiproduktion til elnettet </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vedtagelsen af kongeligt dekret 960/2020 i november 2020, som øger forudsigeligheden af indtægterne fra produktion af vedvarende energi på de nye auktioner </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Kongeligt dekret 1183/2020 i december 2020, som regulerer adgangs- og tilslutningsbetingelserne for produktion af vedvarende energi i overensstemmelse med bestemmelserne i kongeligt lovdekret nr. 23/2020 og</w:t>
      </w:r>
    </w:p>
    <w:p>
      <w:pPr>
        <w:numPr>
          <w:ilvl w:val="0"/>
          <w:numId w:val="20"/>
        </w:num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Loven om klimaændringer og energiomstilling, som efter planen skal vedtages i første halvdel af 2021, og som vil fastsætte mål for vedvarende energi for 2030 og målet om klimaneutralitet senest i 2050 (herunder et system med 100 % vedvarende elektricitet). Denne lov omfatter også elementer, der er relevante for andre komponenter i planen (f.eks. reduktion af administrative hindringer og krav til installation af offentlige ladestandere).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Gennemførelsen af reformerne skal være afsluttet senest den 31. december 2023.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 2 (C7.R2) — National strategi for egetforbrug</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Formålet med denne foranstaltning er at øge egetforbruget som en alternativ form for produktion af vedvarende energi, at fastsætte mål på dette område for perioden 2021-2030 og at identificere og udvikle foranstaltninger til at mindske de største hindringer for deres udbredelse. Egetforbrug bidrager til integrationen af vedvarende energi i bygninger og bymiljøer og fremmer den lokale beskæftigelse.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Foranstaltningen omfatter den spanske regerings vedtagelse af en national strategi for egetforbrug i andet halvår af 2021 for at mindske de administrative hindringer for egetforbrug. Strategien vil diagnosticere den nuværende og potentielle situation i Spanien og identificere foranstaltninger, der tager sigte på: a) bedre koordinering mellem administrationerne b) formidling af oplysninger til forbrugerne og bevidstgørelse c) identifikation af eksisterende relevante færdigheder samt yderligere uddannelsesmuligheder i forbindelse med indførelsen af egetforbrug.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Foranstaltningen vedrører gennemførelsen af centrale elementer i den nationale strategi for selvforbrug, herunder offentliggørelse af retningslinjer for, hvordan man fremmer egetforbrug, og færdiggørelse af uddannelse med henblik på at forbedre de krævede færdigheder.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Gennemførelsen af reformerne skal være afsluttet senest den 30. juni 2023.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 3 (C7.R3) — Udvikling af energifællesskaber</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Denne foranstaltning har til formål at udvikle energifællesskaber for at øge borgernes deltagelse i energiomstillingen gennem vedvarende energifællesskaber og borgerenergifællesskaber. Foranstaltningen vil støtte uddannelses-, deltagelses- og samfundsopbygningsprocesser samt støtte til specifikke projekter.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Foranstaltningen skal tildele et første pilotprojekt for energifællesskaber på grundlag af et udbud med henblik på at påvise denne models levedygtighed. Det gennemfører 37 pilotprojekter med deltagelse af lokalsamfundet inden udgangen af 2023 med en køreplan for gennemførte foranstaltninger og fastlæggelse af passende fremtidige skridt. Disse projekter skal være baseret på vedvarende energi.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Gennemførelsen af reformerne skal være afsluttet senest den 31. december 2023.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 4 (C7.R4) — Rammer for innovation og teknologisk udvikling inden for vedvarende energi</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Denne foranstaltning skal styrke rammerne for innovation og teknologisk udvikling af en række vedvarende energikilder og bidrage til fremskridt hen imod målet om, at 100 % af energiefterspørgslen skal dækkes af vedvarende energikilder. De vedvarende energikilder, der er omfattet af denne foranstaltning, omfatter havvindenergi og biogas. Foranstaltningen skal også lette F &amp; D inden for vedvarende teknologier.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Foranstaltningen omfatter offentliggørelse af en køreplan for offshore-vindkraft og anden havenergi. Formålet med denne køreplan er at mindske de administrative hindringer for udviklingen af denne vedvarende energikilde. Køreplanen skal navnlig have til formål at: a) fremme forskning, udvikling og innovation gennem mere fleksible lovgivningsmæssige rammer og ved at styrke teknologicentre og testplatforme for nye prototyper b) identificere muligheder og synergier med centrale industrisektorer c) at udvikle passende lovgivningsmæssige rammer for udbredelsen i Spanien (navnlig af flydende teknologi) og d) identificere foranstaltninger til minimering af miljøvirkningerne (samtidig med at man søger at forenkle de administrative procedurer). Foranstaltningen skal gennemføre de vigtigste reguleringsforanstaltninger, der er fastlagt i køreplanen, med henblik på at fremme havvindmølleparker, fremme forskning og udvikling og støtte udbredelsen af flydende teknologier.</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Det andet element i denne foranstaltning er offentliggørelsen af en køreplan for biogas, som vil analysere passende regulerings- og sektorværktøjer til fremme af biogas med fokus på effektiv anvendelse af denne energikilde (f.eks. i agroindustrielle anvendelser og for tunge køretøjer, hvor elektrificering endnu ikke er et alternativ). Denne del af reformen skal omhandle gennemførelsen af centrale aktiviteter i biogaskøreplanen, herunder: a) etablering af et system med oprindelsesgarantier for vedvarende gasser med henblik på at fremme investeringer i biogas og dekarbonisering af sektorer såsom industri og transport b) udvikling af et værktøj til beregning af biogassens bidrag til dekarbonisering og c) forudgående gennemførlighedsundersøgelser med henblik på at fremme etableringen af biogasproduktionsanlæg.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Gennemførelsen af reformerne skal være afsluttet senest den 31. december 2023.</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1 (C7.I1) — Udvikling af innovativ vedvarende energi, integreret i bygninger og produktionsprocesser</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Formålet med denne foranstaltning er at fremme udviklingen af innovative vedvarende energikilder og dem, der skal integreres i bygninger og produktionsprocesser. Den skal støtte VE-egetforbrug og teknologier, der endnu ikke er fuldt konkurrencedygtige, herunder elektriske og termiske vedvarende energikilder i landbrugssektoren, vedvarende energikilder, der tager sigte på køling/opvarmning i bolig- og servicesektoren, termisk energi fra vedvarende energikilder til industrielle processer, bioenergi og vedvarende havenergi. Støtten ydes i form af investeringsstøtte, der tildeles via udbud, der sikrer et omkostningseffektivt resultat, eller direkte egenkapitalstøtte til projekter vedrørende vedvarende energi. Investeringen vil også støtte omskoling og opkvalificering inden for produktion af vedvarende energi.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Der skal installeres mindst 3 800 MW innovativ eller værdifuld produktion af vedvarende energi under denne investering i første halvdel af 2026.</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Gennemførelsen af investeringen skal være afsluttet senest den 30. juni 2026.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Investeringer 2 (C7.I2) — Bæredygtig energi på øer</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Denne investering skal støtte bæredygtig energi på de spanske øer (De Kanariske Øer og De Baleariske Øer) som led i en bredere strategi til støtte for energiomstillingen på øerne, navnlig gennem støtte til projekter til udbredelse og integration af vedvarende energi på øer og ikke-halvøsystemer. Dette er i overensstemmelse med Spaniens nationale energi- og klimaplan, som omfatter tiltag til at dekarbonisere øerne og mindske deres afhængighed af olie.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Specifikke investeringer, der skal støttes, omfatter vedvarende energikilder, lagringsløsninger og intelligente projekter (som led i programmet "Intelligente øer"). En del af aktiviteterne under denne investering vil afhænge af den viden, der opnås gennem programmet "Ren energi til EU's øer".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Der skal installeres 200 MW innovativ produktion af vedvarende energi under denne investering samt ca. 200 interventioner under programmerne "Intelligente øer" og "Ren energi til EU's øer" og ca. 400 oplagringsprojekter.</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Reformen skal være gennemført senest den 30. juni 2026. </w:t>
      </w:r>
    </w:p>
    <w:p>
      <w:pPr>
        <w:keepNext/>
        <w:spacing w:before="120" w:after="120" w:line="240" w:lineRule="auto"/>
        <w:jc w:val="both"/>
        <w:rPr>
          <w:rFonts w:ascii="Times New Roman" w:hAnsi="Times New Roman" w:cs="Times New Roman"/>
          <w:b/>
          <w:bCs/>
          <w:noProof/>
          <w:color w:val="000000" w:themeColor="text1"/>
          <w:sz w:val="24"/>
          <w:u w:val="single"/>
        </w:rPr>
      </w:pPr>
      <w:r>
        <w:rPr>
          <w:rFonts w:ascii="Times New Roman" w:hAnsi="Times New Roman"/>
          <w:b/>
          <w:bCs/>
          <w:noProof/>
          <w:color w:val="000000" w:themeColor="text1"/>
          <w:sz w:val="24"/>
          <w:u w:val="single"/>
        </w:rPr>
        <w:t xml:space="preserve">G.2 </w:t>
      </w:r>
      <w:r>
        <w:rPr>
          <w:rFonts w:ascii="Times New Roman" w:hAnsi="Times New Roman"/>
          <w:b/>
          <w:bCs/>
          <w:noProof/>
          <w:color w:val="000000" w:themeColor="text1"/>
          <w:sz w:val="24"/>
          <w:u w:val="single"/>
        </w:rPr>
        <w:tab/>
        <w:t>Milepæle, mål, indikatorer og tidsplan for overvågning og gennemførelse af den ikketilbagebetalingspligtige støtte</w:t>
      </w:r>
    </w:p>
    <w:p>
      <w:pPr>
        <w:keepNext/>
        <w:spacing w:before="120" w:after="120" w:line="240" w:lineRule="auto"/>
        <w:rPr>
          <w:rFonts w:ascii="Times New Roman" w:hAnsi="Times New Roman" w:cs="Times New Roman"/>
          <w:noProof/>
          <w:color w:val="000000" w:themeColor="text1"/>
          <w:sz w:val="24"/>
          <w:szCs w:val="24"/>
          <w:u w:val="single"/>
        </w:rPr>
        <w:sectPr>
          <w:headerReference w:type="even" r:id="rId91"/>
          <w:headerReference w:type="default" r:id="rId92"/>
          <w:footerReference w:type="even" r:id="rId93"/>
          <w:footerReference w:type="default" r:id="rId94"/>
          <w:headerReference w:type="first" r:id="rId95"/>
          <w:footerReference w:type="first" r:id="rId96"/>
          <w:pgSz w:w="11907" w:h="16839"/>
          <w:pgMar w:top="1134" w:right="1417" w:bottom="1134" w:left="1417" w:header="709" w:footer="709" w:gutter="0"/>
          <w:cols w:space="720"/>
          <w:docGrid w:linePitch="360"/>
        </w:sectPr>
      </w:pPr>
      <w:r>
        <w:rPr>
          <w:rFonts w:ascii="Times New Roman" w:hAnsi="Times New Roman"/>
          <w:i/>
          <w:noProof/>
          <w:color w:val="000000" w:themeColor="text1"/>
          <w:sz w:val="24"/>
          <w:szCs w:val="24"/>
        </w:rPr>
        <w:t>Se tabellen nedenfor. Startdatoen for alle indikatorer er den 1. februar 2020, medmindre andet er angivet i beskrivelsen af foranstaltningen. Beløbene i tabellen omfatter ikke moms.</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977"/>
        <w:gridCol w:w="1276"/>
        <w:gridCol w:w="850"/>
        <w:gridCol w:w="709"/>
        <w:gridCol w:w="737"/>
        <w:gridCol w:w="567"/>
        <w:gridCol w:w="567"/>
        <w:gridCol w:w="521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Milepæl</w:t>
            </w:r>
            <w:r>
              <w:rPr>
                <w:rFonts w:ascii="Times New Roman" w:hAnsi="Times New Roman"/>
                <w:b/>
                <w:noProof/>
                <w:color w:val="000000"/>
                <w:sz w:val="18"/>
                <w:szCs w:val="18"/>
              </w:rPr>
              <w:t xml:space="preserve"> </w:t>
            </w:r>
            <w:r>
              <w:rPr>
                <w:rFonts w:ascii="Times New Roman" w:hAnsi="Times New Roman"/>
                <w:b/>
                <w:bCs/>
                <w:noProof/>
                <w:color w:val="000000"/>
                <w:sz w:val="18"/>
                <w:szCs w:val="18"/>
              </w:rPr>
              <w:t xml:space="preserve"> / Mål</w:t>
            </w:r>
          </w:p>
        </w:tc>
        <w:tc>
          <w:tcPr>
            <w:tcW w:w="297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Betegnelse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Kvalitativ indikator for milepæle</w:t>
            </w:r>
          </w:p>
        </w:tc>
        <w:tc>
          <w:tcPr>
            <w:tcW w:w="2296"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Kvantitativ indikator for målet</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Tid</w:t>
            </w:r>
          </w:p>
        </w:tc>
        <w:tc>
          <w:tcPr>
            <w:tcW w:w="521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97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Enhed</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Referencescenarie</w:t>
            </w:r>
          </w:p>
        </w:tc>
        <w:tc>
          <w:tcPr>
            <w:tcW w:w="73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Målsætning</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År</w:t>
            </w:r>
          </w:p>
        </w:tc>
        <w:tc>
          <w:tcPr>
            <w:tcW w:w="521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kongeligt lovdekret nr. 23/2020 (energiforanstaltninger)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kongeligt lovdekret nr. 23/2020 om ikrafttræden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Kongeligt lovdekret nr. 23/2020 godkender energiforanstaltninger, der har til formål at fastlægge retsgrundlaget for en ny auktionsordning, definere nye deltagere i energisektoren, såsom uafhængige aggregatorer og VE-fællesskaber, og bidrage til at rationalisere adgangs- og tilslutningstilladelser.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kongeligt dekret 960/2020 (økonomisk ordning for vedvarende energi)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kongeligt lovdekret nr. 960/2020 om ikrafttræden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Kongeligt dekret 960/2020 regulerer den økonomiske ordning for vedvarende energi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kongeligt dekret 1183/2020 (tilslutning af vedvarende energikilder til elnettet)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kongeligt lovdekret nr. 1183/2020 om ikrafttræden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Kongeligt dekret 1183/2020 regulerer hybridisering og bestilling af adgang til og tilslutning af vedvarende energikilder til elnettet.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Ikrafttræden af loven om klimaændringer og energiomstilling.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om klimaændringer og energiomstilling, der træder i kraft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Loven om klimaændringer og energiomstilling skal skabe en alternativ lovgivningsmæssig stabilitet i forhold til dybden af vedvarende ressourcer, færre administrative hindringer og mindstekrav til installation af offentlige ladestandere i drift.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Yderligere produktionskapacitet for vedvarende energi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Antal (MW)</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8 500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Kumulativ yderligere produktionskapacitet for vedvarende energi, der støttes under den nye lovramme, der indgår i reformen C7.R1 (herunder den auktionsmekanisme, der blev indført ved RDL 960/2020, den nye forordning om adgangs- og tilslutningstilladelser og hybridisering): mindst 8 500 MW tildelt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Kumulativ yderligere kapacitet for vedvarende energi installeret i Spanien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Antal (MW)</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1 500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Kumulativ yderligere kapacitet til vedvarende energi installeret i Spanien i perioden første kvartal af 2020. til fjerde kvartal af2023, i henhold til den nye gunstige lovgivningsmæssige ramme, der indgår i reformen C7.R1 (herunder den auktionsmekanisme, der blev indført ved RDL 960/2020, den nye forordning om adgangs- og tilslutningstilladelser og hybridisering): mindst 1 500 MW bygget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National strategi for egetforbrug</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websiden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Ministerrådets vedtagelse og offentliggørelse på regeringens websted af den nationale selvforsyningsstrategi med henblik på at mindske de administrative hindringer for egetforbrug.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foranstaltninger under den nationale strategi for egetforbrug</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resultaterne på websiden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centrale foranstaltninger under den nationale strategi for egetforbrug, herunder: offentliggørelse på webstedet for ministeriet for økologisk omstilling af teknisk vejledning og vejledning til kommunerne om, hvordan man fremmer egetforbrug, og færdiggørelse af uddannelse med henblik på at forbedre de nødvendige tekniske færdigheder inden for vedvarende kilder til VE-egetforbrug for mindst 500 fagfolk.</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Pilotprojekt for energifællesskaber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websiden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Tildeling af det første pilotprojekt for energifællesskaber på grundlag af udbud med henblik på at påvise denne models levedygtighed.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Færdiggørelse af energirelaterede pilotprojekter i lokalsamfundene.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mindst 37 energirelaterede pilotprojekter med deltagelse af lokalsamfundet på grundlag af en køreplan, der beskriver de gennemførte foranstaltninger og de næste skridt fremad. Disse pilotprojekter kan omfatte deltagelsesbaserede processer, støtte til oprettelse af lokale energifællesskaber eller selve ibrugtagningen af projekter for vedvarende energi.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Køreplan for offshorevindenergi og anden havenergi.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websiden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køreplanen for offshorevindenergi og anden havenergi for at mindske de administrative hindringer for dybden af denne vedvarende energikilde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de lovgivningsmæssige foranstaltninger, der er identificeret i kortet for offshorevindkraft og anden havenergi.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de lovgivningsmæssige foranstaltninger ved ikrafttrædelsen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EUT af de vigtigste reguleringsforanstaltninger, der er identificeret i kortet for offshorevindkraft og anden havenergi, for at fremme forskning og innovation og for at støtte udbredelsen af strømmende teknologier. Disse centrale foranstaltninger omfatter: endelig godkendelse af planerne for maritim fysisk planlægning, bedre koordinering af netplanlægningen og offshorestrategien og ajourføring af regelsættet.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Fuldførelse af de foranstaltninger, der er fastlagt i køreplanen for biogas.</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websiden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Fuldførelse af de centrale foranstaltninger, der er udpeget i køreplanen for biogas, herunder etablering af en ordning med oprindelsesgarantier for vedvarende gasser, for at forbedre biogassens konkurrenceevne og fremme investeringer i biogasproduktion, der sikrer en hurtigere dekarbonisering i sektorer som industri og transport.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Udbud om investeringsstøtte til innovativ eller værdiforøgende vedvarende kapacitet.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EUT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i EUT af det første udbud om investeringsstøtte til innovativ eller værdiforøgende kapacitet til vedvarende energi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Nye projekter, teknologier eller anlæg i infrastruktur for vedvarende havenergi.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Afgørelse om tildeling/investeringsmyndighedens afgørelse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6 udviklinger tildeles til fremme af nye projekter, teknologier eller anlæg inden for infrastruktur til vedvarende havenergi. Udviklingen i 6 bør bidrage til gennemførelsen af projekter vedrørende vedvarende havenergi i Spanien. Udviklingen kan omfatte SMV'er med aktiviteter inden for vedvarende havenergi, som modtager tilskud, lån eller egenkapitalinvesteringer, deltager i prækommercielle offentlige indkøb samt tilskud ydet direkte til projekter vedrørende vedvarende energi i havene eller til en prototype af en ny teknologi til produktion eller anvendelse af vedvarende havenergi.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117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Yderligere produktionskapacitet for innovativ eller værdiforøget vedvarende energi.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Antal (MW)</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3 800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Kumulativ yderligere produktionskapacitet for vedvarende energi indkøbt gennem udbud om innovativ eller værdiforøgende vedvarende kapacitet (mindst 3 800 MW installeret)</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118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C7.I2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97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Kontoret for ren energi og intelligente projekter for øer </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Offentliggørelse på websiden</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3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21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Oprettelse af kontoret for ren energi og intelligente projekter for øer med det formål at forvalte støtteprogrammerne under genopretnings- og resiliensfaciliteten. Kontoret koordinerer dynamikken og udviklingen af energiomstillingen på øerne.</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119</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C7.I2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projekter til støtte for energiomstillingen på øer</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500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21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Mindst 500 aktioner, projekter eller programmer, der støttes eller gennemføres, herunder: dynamiske programmer eller kontorer, ø-køreplaner, investerings- eller bistandsprojekter, der er knyttet til ren energi til EU's program for øer eller intelligente øer, projekter vedrørende vedvarende energi eller bæredygtig oplagring.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120</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C7.I2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97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Yderligere produktionskapacitet for vedvarende energi på øerne.</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Antal (MW)</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3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180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21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Kumulativ yderligere produktionskapacitet for vedvarende energi indkøbt gennem udbud om vedvarende kapacitet på øerne (mindst 180 MW installeret).</w:t>
            </w:r>
          </w:p>
        </w:tc>
      </w:tr>
    </w:tbl>
    <w:p>
      <w:pPr>
        <w:spacing w:before="120" w:after="120" w:line="240" w:lineRule="auto"/>
        <w:ind w:left="709"/>
        <w:jc w:val="both"/>
        <w:rPr>
          <w:rFonts w:ascii="Times New Roman" w:hAnsi="Times New Roman" w:cs="Times New Roman"/>
          <w:noProof/>
          <w:color w:val="000000" w:themeColor="text1"/>
          <w:sz w:val="24"/>
        </w:rPr>
      </w:pPr>
    </w:p>
    <w:p>
      <w:pPr>
        <w:spacing w:before="120" w:after="120" w:line="240" w:lineRule="auto"/>
        <w:jc w:val="both"/>
        <w:rPr>
          <w:rFonts w:ascii="Times New Roman" w:hAnsi="Times New Roman" w:cs="Times New Roman"/>
          <w:noProof/>
          <w:sz w:val="24"/>
        </w:rPr>
        <w:sectPr>
          <w:headerReference w:type="even" r:id="rId97"/>
          <w:headerReference w:type="default" r:id="rId98"/>
          <w:footerReference w:type="even" r:id="rId99"/>
          <w:footerReference w:type="default" r:id="rId100"/>
          <w:headerReference w:type="first" r:id="rId101"/>
          <w:footerReference w:type="first" r:id="rId102"/>
          <w:pgSz w:w="16839" w:h="11907" w:orient="landscape"/>
          <w:pgMar w:top="1417" w:right="1134" w:bottom="1417" w:left="1134" w:header="709" w:footer="709" w:gutter="0"/>
          <w:cols w:space="720"/>
          <w:docGrid w:linePitch="360"/>
        </w:sectPr>
      </w:pPr>
    </w:p>
    <w:p>
      <w:pPr>
        <w:pStyle w:val="Heading1"/>
        <w:rPr>
          <w:noProof/>
        </w:rPr>
      </w:pPr>
      <w:r>
        <w:rPr>
          <w:noProof/>
        </w:rPr>
        <w:t>H. KOMPONENT 08: Elinfrastruktur, intelligente net og udrulning af fleksibilitet og lagring</w:t>
      </w:r>
    </w:p>
    <w:p>
      <w:pPr>
        <w:keepNext/>
        <w:spacing w:before="120" w:after="120" w:line="240" w:lineRule="auto"/>
        <w:jc w:val="both"/>
        <w:rPr>
          <w:rFonts w:ascii="Times New Roman" w:hAnsi="Times New Roman" w:cs="Times New Roman"/>
          <w:iCs/>
          <w:noProof/>
          <w:sz w:val="24"/>
        </w:rPr>
      </w:pPr>
      <w:r>
        <w:rPr>
          <w:rFonts w:ascii="Times New Roman" w:hAnsi="Times New Roman"/>
          <w:iCs/>
          <w:noProof/>
          <w:sz w:val="24"/>
        </w:rPr>
        <w:t>Spaniens nationale energi- og klimaplan sigter mod, at vedvarende energi senest i 2030 skal udgøre 42 % af det endelige energiforbrug. Integrationen af en voksende produktion af elektricitet fra vedvarende energikilder (som forventes at nå op på 74 % af efterspørgslen i 2030 og 100 % i 2050) kræver en række supplerende investeringer i netdigitalisering, lagring og efterspørgselsstyring. Navnlig betyder de vedvarende teknologiers uregelmæssige og delvise forudsigelighed, at energilagring spiller en vigtig rolle med hensyn til at skabe systemfleksibilitet og sikre netstabilitet.</w:t>
      </w:r>
    </w:p>
    <w:p>
      <w:pPr>
        <w:keepNext/>
        <w:spacing w:before="120" w:after="120" w:line="240" w:lineRule="auto"/>
        <w:jc w:val="both"/>
        <w:rPr>
          <w:rFonts w:ascii="Times New Roman" w:hAnsi="Times New Roman" w:cs="Times New Roman"/>
          <w:iCs/>
          <w:noProof/>
          <w:sz w:val="24"/>
        </w:rPr>
      </w:pPr>
      <w:r>
        <w:rPr>
          <w:rFonts w:ascii="Times New Roman" w:hAnsi="Times New Roman"/>
          <w:iCs/>
          <w:noProof/>
          <w:sz w:val="24"/>
        </w:rPr>
        <w:t xml:space="preserve">I denne forbindelse skal denne komponent i den spanske genopretnings- og resiliensplan forfølge følgende mål: </w:t>
      </w:r>
    </w:p>
    <w:p>
      <w:pPr>
        <w:keepNext/>
        <w:numPr>
          <w:ilvl w:val="0"/>
          <w:numId w:val="56"/>
        </w:numPr>
        <w:spacing w:before="120" w:after="120" w:line="240" w:lineRule="auto"/>
        <w:jc w:val="both"/>
        <w:rPr>
          <w:rFonts w:ascii="Times New Roman" w:hAnsi="Times New Roman" w:cs="Times New Roman"/>
          <w:iCs/>
          <w:noProof/>
          <w:sz w:val="24"/>
        </w:rPr>
      </w:pPr>
      <w:r>
        <w:rPr>
          <w:rFonts w:ascii="Times New Roman" w:hAnsi="Times New Roman"/>
          <w:iCs/>
          <w:noProof/>
          <w:sz w:val="24"/>
        </w:rPr>
        <w:t>Udvikling af et mere fleksibelt, decentraliseret og dynamisk energisystem, der effektivt og sikkert kan absorbere højere niveauer af vedvarende energi</w:t>
      </w:r>
    </w:p>
    <w:p>
      <w:pPr>
        <w:keepNext/>
        <w:numPr>
          <w:ilvl w:val="0"/>
          <w:numId w:val="56"/>
        </w:numPr>
        <w:spacing w:before="120" w:after="120" w:line="240" w:lineRule="auto"/>
        <w:jc w:val="both"/>
        <w:rPr>
          <w:rFonts w:ascii="Times New Roman" w:hAnsi="Times New Roman" w:cs="Times New Roman"/>
          <w:iCs/>
          <w:noProof/>
          <w:sz w:val="24"/>
        </w:rPr>
      </w:pPr>
      <w:r>
        <w:rPr>
          <w:rFonts w:ascii="Times New Roman" w:hAnsi="Times New Roman"/>
          <w:iCs/>
          <w:noProof/>
          <w:sz w:val="24"/>
        </w:rPr>
        <w:t xml:space="preserve">Udvikling af nye innovative forretningsmodeller og </w:t>
      </w:r>
    </w:p>
    <w:p>
      <w:pPr>
        <w:keepNext/>
        <w:numPr>
          <w:ilvl w:val="0"/>
          <w:numId w:val="56"/>
        </w:numPr>
        <w:spacing w:before="120" w:after="120" w:line="240" w:lineRule="auto"/>
        <w:jc w:val="both"/>
        <w:rPr>
          <w:rFonts w:ascii="Times New Roman" w:hAnsi="Times New Roman" w:cs="Times New Roman"/>
          <w:iCs/>
          <w:noProof/>
          <w:sz w:val="24"/>
        </w:rPr>
      </w:pPr>
      <w:r>
        <w:rPr>
          <w:rFonts w:ascii="Times New Roman" w:hAnsi="Times New Roman"/>
          <w:iCs/>
          <w:noProof/>
          <w:sz w:val="24"/>
        </w:rPr>
        <w:t>Inddragelse af nye aktører i elektricitetssystemet (producenter, leverandører og forbrugere ud over lageroperatører og aggregatorer) og en mere fleksibel reguleringsramme, der kan tilpasses nye behov gennem reguleringsmæssige sandkasser.</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Komponenten skal fremme investeringer i innovation og energieffektivitet og tilskynde til vedtagelse af effektive politikker til fremme af innovation (landespecifik henstilling nr. 3 fra 2019). Den skal også fremme offentlige og private investeringer og fremme den grønne omstilling (landespecifik henstilling nr. 3 fra 2020).</w:t>
      </w:r>
    </w:p>
    <w:p>
      <w:pPr>
        <w:spacing w:before="120" w:after="120" w:line="240" w:lineRule="auto"/>
        <w:jc w:val="both"/>
        <w:rPr>
          <w:rFonts w:ascii="Times New Roman" w:hAnsi="Times New Roman" w:cs="Times New Roman"/>
          <w:i/>
          <w:noProof/>
          <w:color w:val="000000" w:themeColor="text1"/>
          <w:sz w:val="24"/>
          <w:szCs w:val="24"/>
        </w:rPr>
      </w:pPr>
      <w:r>
        <w:rPr>
          <w:rFonts w:ascii="Times New Roman" w:hAnsi="Times New Roman"/>
          <w:noProof/>
          <w:color w:val="000000" w:themeColor="text1"/>
          <w:sz w:val="24"/>
          <w:szCs w:val="24"/>
        </w:rPr>
        <w:t xml:space="preserve">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 </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H.1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Reform 1 (C8.R1) — Fremme af en ramme for integration af vedvarende energikilder i energisystemet: net, lagring og infrastruktur</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Formålet med denne foranstaltning er at skabe gennemsigtige og stabile lovgivningsmæssige rammer, der skaber sikkerhed og giver mulighed for øget integration af vedvarende energi i energisystemet gennem investeringer i net, lagring og infrastruktur.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skal omfatte den langsigtede dekarboniseringsstrategi for 2050 ("ELP 2050"). Formålet med denne strategi er at danne grundlag for en strategisk og lovgivningsmæssig ramme for effektiv integration af vedvarende energi i et fleksibelt og intelligent energisystem. Blandt målene i ELP 2050 er: a) reduktion af drivhusgasemissionerne med 90 % i forhold til 1990 (klimaneutralitet) b) opnåelse af 97 % vedvarende energi i det endelige energiforbrug og c) et system for elektricitet fra vedvarende energikilder på 100 %.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reformerne skal være afsluttet senest den 31. marts 2021.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2 (C8.R2) — Energioplagringsstrategi og tilpasning af regelsættet for anvendelse af energilagring</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foranstaltning har til formål at udvikle, godkende og anvende en lovgivningsmæssig og strategisk ramme for at fremme energilagring. Reformen skal tilvejebringe de nødvendige rammer for de planlagte investeringer under henholdsvis C8.I1 og C8.I3 vedrørende anvendelse af energilagring og nye forretningsmodeller i energiomstillingen.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skal omfatte den spanske regerings godkendelse af strategien for energilagring. Formålet med denne strategi er at råde over 20 GW energilagring i 2030 og 30 GW i 2050. </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omfatter tre love og administrative bestemmelser: ii) kongeligt dekret nr. 1183/2020 om regulering af adgang til nettet for lagerfaciliteter ii)</w:t>
      </w:r>
      <w:r>
        <w:rPr>
          <w:rFonts w:ascii="Times New Roman" w:hAnsi="Times New Roman"/>
          <w:i/>
          <w:noProof/>
          <w:sz w:val="24"/>
        </w:rPr>
        <w:t>Comisión Nacional de los Mercados y la Competencia</w:t>
      </w:r>
      <w:r>
        <w:rPr>
          <w:rFonts w:ascii="Times New Roman" w:hAnsi="Times New Roman"/>
          <w:noProof/>
          <w:sz w:val="24"/>
        </w:rPr>
        <w:t xml:space="preserve"> Circular 1/2021 om fastsættelse af metoder og betingelser for adgang til og tilslutning til elproduktionsanlæggenes transmissions- og distributionsnet iii) </w:t>
      </w:r>
      <w:r>
        <w:rPr>
          <w:rFonts w:ascii="Times New Roman" w:hAnsi="Times New Roman"/>
          <w:i/>
          <w:noProof/>
          <w:sz w:val="24"/>
        </w:rPr>
        <w:t>Comisión Nacional de los Mercados y la Competencia</w:t>
      </w:r>
      <w:r>
        <w:rPr>
          <w:rFonts w:ascii="Times New Roman" w:hAnsi="Times New Roman"/>
          <w:noProof/>
          <w:sz w:val="24"/>
        </w:rPr>
        <w:t xml:space="preserve"> Resolution af 10. december 2020 om energilageranlægs deltagelse i leveringen af hjælpefunktioner. </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30. juni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3 (C8.R3) — Udvikling af de lovgivningsmæssige rammer for aggregering, efterspørgselsstyring og fleksibilitetstjenester</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foranstaltning har til formål at udvikle de lovgivningsmæssige rammer, der er nødvendige for at udvikle et intelligent og dynamisk energisystem, herunder: i) reguleringen af efterspørgselsstyrings- og fleksibilitetstjenester i de nationale lovgivningsmæssige rammer, ii) udvikling af de lovgivningsmæssige rammer, der tager højde for de forskellige fleksibilitetstjenester, og iii) udvikling af en ramme, der skal sikre forbrugernes adgang til deres data om energiforbrug.</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skal være i overensstemmelse med den nationale energiklimaplan, hvori det udtrykkeligt anerkendes, at der er behov for at fastlægge de tekniske krav for deltagelse på eksisterende markeder og markeder under udvikling for deltagere, der udbyder energi fra vedvarende energikilder, energilagringsoperatører og aktører, der leverer efterspørgselsreaktionstjenester.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 nationale energiklimaplan fremhæver også behovet for at udvikle aggregatorers status, navnlig de uafhængige aggregatorer, for at lette deres deltagelse på markedet. Med henblik herpå skal der ifølge reformen skabes status som uafhængig efterspørgselsaggregator gennem kongeligt lovdekret 23/2020 for at give nye aktører mulighed for at komme ind på detailmarkedet. </w:t>
      </w:r>
    </w:p>
    <w:p>
      <w:pPr>
        <w:spacing w:before="120" w:after="120" w:line="240" w:lineRule="auto"/>
        <w:jc w:val="both"/>
        <w:rPr>
          <w:rFonts w:ascii="Times New Roman" w:hAnsi="Times New Roman" w:cs="Times New Roman"/>
          <w:noProof/>
          <w:sz w:val="24"/>
        </w:rPr>
      </w:pPr>
      <w:r>
        <w:rPr>
          <w:rFonts w:ascii="Times New Roman" w:hAnsi="Times New Roman"/>
          <w:noProof/>
          <w:sz w:val="24"/>
        </w:rPr>
        <w:t>Ud over at støtte den nationale energiklimaplan har reformen også til formål at gennemføre Europa-Parlamentets og Rådets direktiv (EU) 2019/944 af 5. juni 2019 om fælles regler for det indre marked for elektricitet, som fastsætter en forpligtelse til at sikre forbrugernes deltagelse på markederne, herunder gennem prisfleksibelt elforbrug, at fremme forbrugernes deltagelse på individuelt eller aggregeret grundlag eller gennem uafhængige aggregatorer og at give mulighed for fleksibilitet i distributionsnettene.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reformerne skal være afsluttet senest den 31. december 2023. </w:t>
      </w:r>
    </w:p>
    <w:p>
      <w:pPr>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Reform 4 (C8.R4) — regulatoriske sandkasser eller prøvebænke</w:t>
      </w:r>
      <w:r>
        <w:rPr>
          <w:rFonts w:ascii="Times New Roman" w:hAnsi="Times New Roman"/>
          <w:noProof/>
          <w:sz w:val="24"/>
        </w:rPr>
        <w:t> </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foranstaltning har til formål at udvikle reguleringsmæssige prøvebænke (sandkasser) i de nationale lovgivningsmæssige rammer, der giver mulighed for at indføre nye produkter eller teknologiske løsninger, undtagelser eller reguleringsgarantier for at fremme forskning og innovation i energisektoren. Reformen er direkte knyttet til reformen C8.R3 og investering C8.I3.</w:t>
      </w:r>
    </w:p>
    <w:p>
      <w:pPr>
        <w:spacing w:before="120" w:after="120" w:line="240" w:lineRule="auto"/>
        <w:jc w:val="both"/>
        <w:rPr>
          <w:rFonts w:ascii="Times New Roman" w:hAnsi="Times New Roman" w:cs="Times New Roman"/>
          <w:noProof/>
          <w:sz w:val="24"/>
        </w:rPr>
      </w:pPr>
      <w:r>
        <w:rPr>
          <w:rFonts w:ascii="Times New Roman" w:hAnsi="Times New Roman"/>
          <w:noProof/>
          <w:sz w:val="24"/>
        </w:rPr>
        <w:t>De reguleringsmæssige sandkasser skal sætte industrien i stand til at afprøve nye teknologier, systemer og tjenester i forbindelse med fleksibilitet, prisfleksibelt elforbrug og energilagring i et sikkert miljø, hvor interesserede parter kan opleve innovative løsninger uden at være underlagt lovmæssige krav. Desuden skal sandkasserne give mulighed for en tovejsdialog mellem administrationen og tilsynsmyndigheden, som skal fremskynde og lette revisionen af eksisterende bestemmelser og tilpasse dem til nye agenters adgang til markedet. Dette forventes at lette oprettelsen af teknologiske nystartede virksomheder ved at give dem mulighed for at afprøve deres forretningsmodeller.</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skal omfatte vedtagelse af et kongeligt dekret om udvikling af reguleringsmæssige sandkasser for at muliggøre udvikling af nye pilotprojekter med det formål at fremme forskning og innovation i elsektoren.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reformerne skal være afsluttet senest den 30. juni 2023. </w:t>
      </w:r>
    </w:p>
    <w:p>
      <w:pPr>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Investering 1 (C8.I1) — Udrulning af energilagring</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Formålet med denne foranstaltning er at indføre energilagring gennem iværksættelse af støtte- og investeringsinitiativer på tre hovedområder:</w:t>
      </w:r>
    </w:p>
    <w:p>
      <w:pPr>
        <w:numPr>
          <w:ilvl w:val="0"/>
          <w:numId w:val="58"/>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Udvikling af oplagring i stor skala. Der er behov for lagring i stor skala for at integrere større mængder af vedvarende energi og levere tjenester til systemet fra frekvensregulering, rampstøtte (fleksibilitet) eller start fra dødt net.</w:t>
      </w:r>
    </w:p>
    <w:p>
      <w:pPr>
        <w:numPr>
          <w:ilvl w:val="0"/>
          <w:numId w:val="58"/>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Fremme af lagring bag måleren og integreret på sektorniveau. Teknologier bag måleren kan omfatte faciliteter til eget forbrug, lithiumbatterier og varmelagringssystemer og</w:t>
      </w:r>
    </w:p>
    <w:p>
      <w:pPr>
        <w:numPr>
          <w:ilvl w:val="0"/>
          <w:numId w:val="58"/>
        </w:numPr>
        <w:spacing w:before="120" w:after="120" w:line="259" w:lineRule="auto"/>
        <w:ind w:left="425" w:hanging="425"/>
        <w:jc w:val="both"/>
        <w:rPr>
          <w:rFonts w:ascii="Times New Roman" w:eastAsia="Times New Roman" w:hAnsi="Times New Roman" w:cs="Times New Roman"/>
          <w:noProof/>
        </w:rPr>
      </w:pPr>
      <w:r>
        <w:rPr>
          <w:rFonts w:ascii="Times New Roman" w:hAnsi="Times New Roman"/>
          <w:noProof/>
          <w:sz w:val="24"/>
        </w:rPr>
        <w:t>Et offentligt initiativ til at skabe en åben grøn klynge for teknologisk og industriel udvikling af lagring i Spanien med henblik på at mobilisere og integrere forskellige virksomheder i energisektoren og andre industrisektorer omkring lagring og dermed styrke landets industrielle og teknologiske kapacitet.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Den foreslåede investering skal støttes inden for de rammer, der er fastlagt i reformerne af denne komponent, navnlig reformerne C8.R1 og C8.R2, som udgør det retlige og strategiske grundlag for en effektiv anvendelse af energilagring.</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Foranstaltningen gennemføres gennem innovative oplagringsprojekter, der bidrager til energiomstillingen, navnlig for at give energisektoren ny fleksibilitet, herunder integration af vedvarende energikilder. Mindst fem innovative oplagringsprojekter skal være operationelle, eller der skal installeres en samlet kapacitet på mindst 600 MW (eller tilsvarende samlet energiforsyning (MWh)).</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Gennemførelsen af investeringen skal være afsluttet senest den 30. juni 2026.  </w:t>
      </w:r>
    </w:p>
    <w:p>
      <w:pPr>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Investering 2 (C8.I2) — Digitalisering af net</w:t>
      </w:r>
    </w:p>
    <w:p>
      <w:pPr>
        <w:spacing w:before="120" w:after="120" w:line="240" w:lineRule="auto"/>
        <w:jc w:val="both"/>
        <w:rPr>
          <w:rFonts w:ascii="Times New Roman" w:eastAsiaTheme="minorEastAsia" w:hAnsi="Times New Roman" w:cs="Times New Roman"/>
          <w:iCs/>
          <w:noProof/>
          <w:sz w:val="24"/>
        </w:rPr>
      </w:pPr>
      <w:r>
        <w:rPr>
          <w:rFonts w:ascii="Times New Roman" w:hAnsi="Times New Roman"/>
          <w:iCs/>
          <w:noProof/>
          <w:sz w:val="24"/>
        </w:rPr>
        <w:t xml:space="preserve">Denne foranstaltning yder støtte til investeringer i forbindelse med digitalisering af distributionsnet med det formål at bringe dem i overensstemmelse med de krav, der er nødvendige for at gennemføre energiomstillingen. </w:t>
      </w:r>
      <w:r>
        <w:rPr>
          <w:rFonts w:ascii="Times New Roman" w:hAnsi="Times New Roman"/>
          <w:noProof/>
          <w:sz w:val="24"/>
        </w:rPr>
        <w:t>Behovet for digitalisering af elektricitetsnettene er en del af Europa-Parlamentets og Rådets direktiv 2019/944/EU af 5. juni 2019 om fælles regler for det indre marked for elektricitet, hvori det hedder, at medlemsstaterne bør tilskynde til modernisering af nettene, f.eks. ved at indføre intelligente net.</w:t>
      </w:r>
      <w:r>
        <w:rPr>
          <w:rFonts w:ascii="Times New Roman" w:hAnsi="Times New Roman"/>
          <w:iCs/>
          <w:noProof/>
          <w:sz w:val="24"/>
        </w:rPr>
        <w:t xml:space="preserve"> Digitaliseringen af nettene er nødvendig for at fremme omstillingen af energisystemet med en større tilstedeværelse af vedvarende energi for at have et sikkert og modstandsdygtigt elektricitetssystem. Det er særlig vigtigt i ikke-halvøområder, der er kendetegnet ved større sårbarhed og energiafhængighed. </w:t>
      </w:r>
    </w:p>
    <w:p>
      <w:pPr>
        <w:spacing w:before="120" w:after="120" w:line="240" w:lineRule="auto"/>
        <w:jc w:val="both"/>
        <w:rPr>
          <w:rFonts w:ascii="Times New Roman" w:eastAsiaTheme="minorEastAsia" w:hAnsi="Times New Roman" w:cs="Times New Roman"/>
          <w:iCs/>
          <w:noProof/>
          <w:sz w:val="24"/>
        </w:rPr>
      </w:pPr>
      <w:r>
        <w:rPr>
          <w:rFonts w:ascii="Times New Roman" w:hAnsi="Times New Roman"/>
          <w:iCs/>
          <w:noProof/>
          <w:sz w:val="24"/>
        </w:rPr>
        <w:t>Det overordnede mål med foranstaltningen er at øge elsektorens konkurrenceevne og fremskynde elektrificeringen af økonomien. Med henblik herpå skal foranstaltningen omfatte en indledende støttemekanisme for at maksimere det potentiale, der ligger i digitaliseringen af netværk, ved at: i) reduktion af tab og udslip fra produktion af vedvarende energi, ii) fremme af efterspørgselsdeltagelse i elsystemforvaltning og iii) optimering af netkonfigurationen.</w:t>
      </w:r>
    </w:p>
    <w:p>
      <w:pPr>
        <w:spacing w:before="120" w:after="120" w:line="240" w:lineRule="auto"/>
        <w:jc w:val="both"/>
        <w:rPr>
          <w:rFonts w:ascii="Times New Roman" w:eastAsiaTheme="minorEastAsia" w:hAnsi="Times New Roman" w:cs="Times New Roman"/>
          <w:iCs/>
          <w:noProof/>
          <w:sz w:val="24"/>
        </w:rPr>
      </w:pPr>
      <w:r>
        <w:rPr>
          <w:rFonts w:ascii="Times New Roman" w:hAnsi="Times New Roman"/>
          <w:noProof/>
          <w:sz w:val="24"/>
        </w:rPr>
        <w:t>Foranstaltningen omfatter tildeling af mindst 35 innovative digitaliseringsprojekter (til intelligent eldistribution) til distributionsselskaber.</w:t>
      </w:r>
    </w:p>
    <w:p>
      <w:pPr>
        <w:spacing w:before="120" w:after="120" w:line="240" w:lineRule="auto"/>
        <w:jc w:val="both"/>
        <w:rPr>
          <w:rFonts w:ascii="Times New Roman" w:eastAsiaTheme="minorEastAsia" w:hAnsi="Times New Roman" w:cs="Times New Roman"/>
          <w:iCs/>
          <w:noProof/>
          <w:sz w:val="24"/>
        </w:rPr>
      </w:pPr>
      <w:r>
        <w:rPr>
          <w:rFonts w:ascii="Times New Roman" w:hAnsi="Times New Roman"/>
          <w:iCs/>
          <w:noProof/>
          <w:sz w:val="24"/>
        </w:rPr>
        <w:t xml:space="preserve">Gennemførelsen af investeringen skal være afsluttet senest den 31. december 2023. </w:t>
      </w:r>
    </w:p>
    <w:p>
      <w:pPr>
        <w:keepNext/>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Investering 3 (C8.I3) — Nye forretningsmodeller i energiomstillingen</w:t>
      </w:r>
    </w:p>
    <w:p>
      <w:pPr>
        <w:keepNext/>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Denne foranstaltning skal omfatte investeringer og støttemekanismer, der har til formål at fremme nye forretningsmodeller for overgangen i forbindelse med anvendelse af energilagring samt forvaltning og genanvendelse heraf, efterspørgselsstyring, aggregatorer, fleksibilitetstjenester, dataadgang og sandkasser. Foranstaltningen skal navnlig omfatte: </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Støtte til udbredelse af aggregatorer på det nationale elmarked med særligt fokus på uafhængige aggregatorer gennem installation af tidstro måleudstyr (fordelingsmåling) og kontrol- og kommunikationscentre samt fremme af samleplatforme</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Indførelse af lagring i hele værdikæden</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Støtte til efterspørgselsstyringsprojekter i forskellige forbrugerprofiler (store virksomheder, SMV'er, VE-fællesskaber/borgerenergifællesskaber, aggregatorer osv.)</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Opfordrer til, at der indgives ansøgninger om gennemførelse af reguleringsmæssige test i form af direkte, konkurrenceprægede bistands- eller samarbejdsaftaler; og</w:t>
      </w:r>
    </w:p>
    <w:p>
      <w:pPr>
        <w:numPr>
          <w:ilvl w:val="0"/>
          <w:numId w:val="57"/>
        </w:numPr>
        <w:spacing w:before="120" w:after="120" w:line="259" w:lineRule="auto"/>
        <w:ind w:left="425" w:hanging="425"/>
        <w:jc w:val="both"/>
        <w:rPr>
          <w:rFonts w:ascii="Times New Roman" w:eastAsia="Times New Roman" w:hAnsi="Times New Roman" w:cs="Times New Roman"/>
          <w:noProof/>
          <w:sz w:val="24"/>
        </w:rPr>
      </w:pPr>
      <w:r>
        <w:rPr>
          <w:rFonts w:ascii="Times New Roman" w:hAnsi="Times New Roman"/>
          <w:noProof/>
          <w:sz w:val="24"/>
        </w:rPr>
        <w:t>Støtte til nystartede virksomheder eller innovative initiativer på energiområdet.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Investeringen er tæt forbundet med reformen C8.R4, som har til formål at udvikle reguleringsmæssige sandkasser til innovative projekter. Den bygger også på den strategiske og lovgivningsmæssige ramme, der er fastlagt i de andre reformer, navnlig reform C8.R3.</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Det forventes, at der vil blive tildelt ca. 20 projekter til fremme af nye forretningsmodeller for energiomstillingen, herunder intelligent måling, lagring, efterspørgselsreaktion, fleksibilitetstjenester og data.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Gennemførelsen af investeringen skal være afsluttet senest den 31. december 2023.</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H.2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b/>
          <w:noProof/>
          <w:sz w:val="24"/>
          <w:u w:val="single"/>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medmindre andet er angivet i beskrivelsen af foranstaltningen. Beløbene i tabellen omfatter ikke moms.</w:t>
      </w:r>
    </w:p>
    <w:p>
      <w:pPr>
        <w:spacing w:before="120" w:after="120" w:line="240" w:lineRule="auto"/>
        <w:jc w:val="both"/>
        <w:rPr>
          <w:rFonts w:ascii="Times New Roman" w:hAnsi="Times New Roman" w:cs="Times New Roman"/>
          <w:i/>
          <w:noProof/>
          <w:sz w:val="24"/>
          <w:lang w:val="en-IE"/>
        </w:rPr>
      </w:pPr>
    </w:p>
    <w:p>
      <w:pPr>
        <w:spacing w:before="120" w:after="120" w:line="240" w:lineRule="auto"/>
        <w:ind w:left="709"/>
        <w:jc w:val="both"/>
        <w:rPr>
          <w:rFonts w:ascii="Times New Roman" w:hAnsi="Times New Roman" w:cs="Times New Roman"/>
          <w:noProof/>
          <w:sz w:val="24"/>
          <w:lang w:val="en-IE"/>
        </w:rPr>
        <w:sectPr>
          <w:headerReference w:type="even" r:id="rId103"/>
          <w:headerReference w:type="default" r:id="rId104"/>
          <w:footerReference w:type="even" r:id="rId105"/>
          <w:footerReference w:type="default" r:id="rId106"/>
          <w:headerReference w:type="first" r:id="rId107"/>
          <w:footerReference w:type="first" r:id="rId10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410"/>
        <w:gridCol w:w="1134"/>
        <w:gridCol w:w="851"/>
        <w:gridCol w:w="567"/>
        <w:gridCol w:w="567"/>
        <w:gridCol w:w="567"/>
        <w:gridCol w:w="567"/>
        <w:gridCol w:w="623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41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1985"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623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41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623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Godkendelse af den langsigtede dekarboniseringsstrategi ("ELP2050").</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Godkendelse af den langsigtede dekarboniseringsstrategi ("ELP2050"). ELP50 danner grundlag for fastlæggelsen af den strategiske og lovgivningsmæssige ramme for effektiv integration af vedvarende energi i et fleksibelt og intelligent energisystem, der skal læses i sammenhæng med den bredere tilgang, der er fastlagt i den nationale energi- og klimaplan.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planlægnings-, lovgivnings- og reguleringsreformer med henblik på at fremme udviklingen af energilagringsløsninger.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Bestemmelser i love og administrative bestemmelser om ikrafttræden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Vedtagelse og ikrafttræden af følgende planlægnings-, lovgivnings- og reguleringsreformer med henblik på at fremme udviklingen af energilagringsløsninger: a) Godkendelse i Energioplagringsrådets Ministerråd med det formål at fremme udbredelsen af energilagring gennem 66 specifikke foranstaltninger, der er grupperet i strategiens 10 aktionslinjer. Målet er, at der skal være 20 GW energilagring til rådighed i 2030 og 30 GW i 2050. b) offentliggørelse i EFT af kongeligt dekret nr. 1183/2020 for at regulere adgangen til nettet for lagerfaciliteter.c) Offentliggørelse i EUT af cirkulære nr. 1/2021 foretaget af </w:t>
            </w:r>
            <w:r>
              <w:rPr>
                <w:rFonts w:ascii="Times New Roman" w:hAnsi="Times New Roman"/>
                <w:i/>
                <w:noProof/>
                <w:color w:val="000000"/>
                <w:sz w:val="18"/>
                <w:szCs w:val="18"/>
              </w:rPr>
              <w:t>Comisión Nacional de los Mercados y la Competencia</w:t>
            </w:r>
            <w:r>
              <w:rPr>
                <w:rFonts w:ascii="Times New Roman" w:hAnsi="Times New Roman"/>
                <w:noProof/>
                <w:color w:val="000000"/>
                <w:sz w:val="18"/>
                <w:szCs w:val="18"/>
              </w:rPr>
              <w:t xml:space="preserve"> med henblik på at fastlægge metoder og betingelser for adgang til og tilslutning til elproduktionsanlæggenes transmissions- og distributionsnet. d) offentliggørelse i EUT af beslutning af 10. december 2020 om energilageranlægs deltagelse i leveringen af hjælpefunktioner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lovgivningsmæssige foranstaltninger til integration af fleksibilitet og efterspørgselsreaktion.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love og administrative bestemmelser om ikrafttræden</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Udvikling af de lovgivningsmæssige rammer for integration af fleksibilitet og efterspørgselsreaktion gennem følgende foranstaltninger. a) Offentliggørelse af resolution af 2020. december 10 fra </w:t>
            </w:r>
            <w:r>
              <w:rPr>
                <w:rFonts w:ascii="Times New Roman" w:hAnsi="Times New Roman"/>
                <w:i/>
                <w:noProof/>
                <w:color w:val="000000"/>
                <w:sz w:val="18"/>
                <w:szCs w:val="18"/>
              </w:rPr>
              <w:t>Comisión Nacional de los Mercados y la Competencia</w:t>
            </w:r>
            <w:r>
              <w:rPr>
                <w:rFonts w:ascii="Times New Roman" w:hAnsi="Times New Roman"/>
                <w:noProof/>
                <w:color w:val="000000"/>
                <w:sz w:val="18"/>
                <w:szCs w:val="18"/>
              </w:rPr>
              <w:t xml:space="preserve"> om tilpasning af visse operationelle procedurer for deltagelse i balanceringstjenester. b) vedtagelse af lovgivning, der fuldt ud gennemfører direktiv 2019/944 c) Vedtagelse af RDL23/2020 for at skabe status som uafhængig aggregator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Iværksættelse af foranstaltninger til fremme af reguleringsmæssige sandkasser for at fremme forskning og innovation i elsektoren.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den kongelige anordning om ikrafttræden</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kongeligt dekret om udvikling af reguleringsmæssige sandkasser for at muliggøre udvikling af nye pilotprojekter med det formål at fremme forskning og innovation i elsektoren. Lovgivningen skal sætte industrien i stand til at afprøve nye teknologier, systemer og tjenester i forbindelse med fleksibilitet, prisfleksibelt elforbrug og energilagring i et sikkert og gunstigt rum, hvor interesserede parter kan opleve innovative løsninger uden at være underlagt gældende lovkrav. Dette skal desuden tilvejebringe en tovejsdialog om regulering mellem administrationen og tilsynsmyndigheden, som skal fremskynde og lette revisionen af eksisterende bestemmelser og tilpasse dem til nye agenters adgang til markedet og tilskynde til oprettelse af teknologiske nystartede virksomheder ved at give dem mulighed for at afprøve deres forretningsmodeller.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Tildelte innovative oplagringsprojekter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fem innovative oplagringsprojekter, der tildeles, svarende til en samlet installeret kapacitet på mindst 600 MW eller tilsvarende samlet energiforsyning (MWh).</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Innovative oplagringsprojekter er operationelle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fem innovative oplagringsprojekter er operationelle, svarende til en samlet installeret kapacitet på mindst 600 MW eller tilsvarende samlet energiforsyning (MWh).</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Innovative digitaliseringsprojekter til eldistribution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35</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35 innovative digitaliseringsprojekter (herunder automatisering af nettet) tildelt distributionsselskaber i overensstemmelse med de karakteristika og definitioner, der er fastsat i cirkulære 6/2019 fra Comisión Nacional de los Mercados y la Competencia.</w:t>
            </w:r>
            <w:r>
              <w:rPr>
                <w:rFonts w:ascii="Times New Roman" w:hAnsi="Times New Roman"/>
                <w:i/>
                <w:noProof/>
                <w:color w:val="000000"/>
                <w:sz w:val="18"/>
                <w:szCs w:val="18"/>
              </w:rPr>
              <w:t xml:space="preserv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C8.I3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Projekter til fremme af nye forretningsmodeller for energiomstillingen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18</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18 projekter blev tildelt til fremme af nye forretningsmodeller for energiomstillingen, herunder intelligent måling, lagring, efterspørgselsreaktion, fleksibilitetstjenester og data.</w:t>
            </w:r>
          </w:p>
        </w:tc>
      </w:tr>
    </w:tbl>
    <w:p>
      <w:pPr>
        <w:spacing w:before="120" w:after="120" w:line="240" w:lineRule="auto"/>
        <w:ind w:left="709"/>
        <w:jc w:val="both"/>
        <w:rPr>
          <w:rFonts w:ascii="Times New Roman" w:hAnsi="Times New Roman" w:cs="Times New Roman"/>
          <w:noProof/>
          <w:sz w:val="24"/>
        </w:rPr>
        <w:sectPr>
          <w:headerReference w:type="even" r:id="rId109"/>
          <w:headerReference w:type="default" r:id="rId110"/>
          <w:footerReference w:type="even" r:id="rId111"/>
          <w:footerReference w:type="default" r:id="rId112"/>
          <w:headerReference w:type="first" r:id="rId113"/>
          <w:footerReference w:type="first" r:id="rId114"/>
          <w:pgSz w:w="16839" w:h="11907" w:orient="landscape"/>
          <w:pgMar w:top="1417" w:right="1134" w:bottom="1417" w:left="1134" w:header="709" w:footer="709" w:gutter="0"/>
          <w:cols w:space="720"/>
          <w:docGrid w:linePitch="360"/>
        </w:sectPr>
      </w:pPr>
    </w:p>
    <w:p>
      <w:pPr>
        <w:pStyle w:val="Heading1"/>
        <w:rPr>
          <w:noProof/>
        </w:rPr>
      </w:pPr>
      <w:r>
        <w:rPr>
          <w:noProof/>
        </w:rPr>
        <w:t>I. KOMPONENT 09: Vedvarende brint</w:t>
      </w:r>
    </w:p>
    <w:p>
      <w:pPr>
        <w:spacing w:before="100" w:beforeAutospacing="1"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Spaniens nationale energi- og klimaplan for 2021-2030 har til formål at reducere drivhusgasemissionerne med 23 % i forhold til 1990. I denne forbindelse er hovedformålet med komponent 9 i den spanske genopretnings- og resiliensplan at udvikle hydrogenteknologier for vedvarende energi:</w:t>
      </w:r>
    </w:p>
    <w:p>
      <w:pPr>
        <w:numPr>
          <w:ilvl w:val="0"/>
          <w:numId w:val="59"/>
        </w:numPr>
        <w:spacing w:before="120" w:after="100" w:afterAutospacing="1" w:line="240" w:lineRule="auto"/>
        <w:ind w:left="714" w:hanging="357"/>
        <w:jc w:val="both"/>
        <w:rPr>
          <w:rFonts w:ascii="Times New Roman" w:eastAsia="Times New Roman" w:hAnsi="Times New Roman" w:cs="Times New Roman"/>
          <w:noProof/>
          <w:color w:val="000000"/>
          <w:sz w:val="24"/>
          <w:szCs w:val="24"/>
        </w:rPr>
      </w:pPr>
      <w:r>
        <w:rPr>
          <w:rFonts w:ascii="Times New Roman" w:hAnsi="Times New Roman"/>
          <w:noProof/>
          <w:sz w:val="24"/>
          <w:szCs w:val="24"/>
        </w:rPr>
        <w:t>Som et middel til at lagre energi for at håndtere forskelle mellem udbud og efterspørgsel af elektricitet og dermed give elsystemet fleksibilitet.</w:t>
      </w:r>
    </w:p>
    <w:p>
      <w:pPr>
        <w:numPr>
          <w:ilvl w:val="0"/>
          <w:numId w:val="59"/>
        </w:numPr>
        <w:spacing w:before="100" w:beforeAutospacing="1" w:after="100" w:afterAutospacing="1"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Ved at fremme deres udvikling og konsolidering i den industrielle værdikæde, eftersom disse teknologier i øjeblikket ikke er klar til at fungere på markedsvilkår</w:t>
      </w:r>
    </w:p>
    <w:p>
      <w:pPr>
        <w:numPr>
          <w:ilvl w:val="0"/>
          <w:numId w:val="59"/>
        </w:numPr>
        <w:spacing w:before="100" w:beforeAutospacing="1" w:after="100" w:afterAutospacing="1"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Ved at støtte deres integration i slutanvendelserne, herunder med henblik på at erstatte fossilbaseret brint i industrien og</w:t>
      </w:r>
    </w:p>
    <w:p>
      <w:pPr>
        <w:numPr>
          <w:ilvl w:val="0"/>
          <w:numId w:val="59"/>
        </w:numPr>
        <w:spacing w:before="100" w:beforeAutospacing="1" w:after="100" w:afterAutospacing="1"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Ved at udvikle grønne færdigheder.</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Denne komponent i den spanske genopretnings- og resiliensplan omhandler de landespecifikke henstillinger om fremme af investeringer i innovation og energieffektivitet (landespecifik henstilling nr. 3 fra 2019) og fremme af den grønne omstilling (landespecifik henstilling nr. 3 fra 2020).</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Komponenten er en del af strategien for vedvarende energi, der understøtter komponent 1 og komponent 6 (brug af brint til mobilitet &amp; transportformål), komponent 7 (produktion af vedvarende energi) og komponent 8 (lagring og intelligente net) i den spanske genopretnings- og resiliensplan.</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DNSH-princippet(2021/C58/01).</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I.1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Reform 1 (C9.R1) — Køreplan for brint</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foranstaltning udgør en ramme for udvikling af vedvarende brint i Spanien ("hydrogenkøreplanen"). Med henblik herpå fastlægges de mål, der skal nås inden 2030 med hensyn til installeret kapacitet pr. sektor (industri og transport). Hydrogenkøreplanen blev godkendt af Ministerrådet i oktober 2020. Foranstaltningen fastsætter også et konkret middel til at støtte gennemførelsen af køreplanen ved at sikre, at brintelektrolysatorer forsynes med vedvarende energi. De relaterede reguleringsforanstaltninger omfatter i) oprettelse af et reguleringsinstrument, der omfatter udpegelse og forvaltning af de nationale organer, der udsteder oprindelsesgarantier for vedvarende gasser, herunder vedvarende brint, og ii) en reguleringsmekanisme, der fastsætter, hvordan brint stammer fra vedvarende energikilder.</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Denne reform skal være afsluttet senest den 30. juni 2022.</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Investering 1 (C9.I1) — Vedvarende brint, et landeprojekt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foranstaltning har til formål at bidrage til gennemførelsen af brintkøreplanen i fire aktionslinjer.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Det første er at styrke Spaniens viden og innovative værdikæde, navnlig med hensyn til SMV'er.</w:t>
      </w:r>
      <w:r>
        <w:rPr>
          <w:rFonts w:ascii="Times New Roman" w:hAnsi="Times New Roman"/>
          <w:noProof/>
          <w:color w:val="000000"/>
          <w:sz w:val="24"/>
          <w:szCs w:val="24"/>
        </w:rPr>
        <w:t xml:space="preserve"> </w:t>
      </w:r>
      <w:r>
        <w:rPr>
          <w:rFonts w:ascii="Times New Roman" w:hAnsi="Times New Roman"/>
          <w:noProof/>
          <w:sz w:val="24"/>
          <w:szCs w:val="24"/>
        </w:rPr>
        <w:t>På grund af denne teknologis lave grad af teknologisk modenhed indebærer denne foranstaltning et behov for at støtte mindst 10 SMV'er for at styrke og forstærke den eksisterende spanske værdikæde ved at forbedre en eller flere af følgende aktiviteter: produktionskapacitet, færdigheder, konkurrenceevne, viden- og teknologioverførsel og/eller international dimension. Spanien fokuserer også på fem teknologiske udviklinger eller prototyper (f.eks. elektrolysatorer, kompressorer, lagerfartøjer, brændselsceller og H2-baserede transportsystemer), herunder "første af en slags" til støtte for valideringen af nye opgraderede design eller prototyper, der er knyttet til enten produktion, distributionslogistik eller forbrug af brint. Desuden planlægger Spanien mindst ti foranstaltninger rettet mod forbedring af testfaciliteter eller gennemførelse af nye produktionslinjer for centrale støtteteknologier eller -systemer i brintforsyningskæden, f.eks. elektrolysatorer eller brændselsceller. Disse skal enten: i) forbedre F &amp; D &amp; I-prøvningsfaciliteter eller -laboratorier og/eller beslægtet udstyr eller ii) forbedre faciliteter og/eller indkøb af nyt udstyr (f.eks. værktøjsmaskiner) til fremstilling af brint- og brændselscellerelaterede systemer, udstyr eller komponenter.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Den anden aktionslinje har til formål at etablere to vedvarende brintklynger, der integrerer produktion, forarbejdning og forbrug i stor skala. Målet med mindst én af disse klynger er at integrere en højkapacitetsbaseret hydrogenelektrolyser med høj kapacitet, der leverer hydrogen direkte til lokale industrielle forbrugere. Elektrolysatoren skal forsynes med elektricitet fra vedvarende energikilder. Den deraf følgende hydrogenproduktion skal integreres i virksomheders industrielle processer og forsyningskæder (herunder tilpasning og flytning af forretningsmodeller væk fra forbrug af fossilt baseret brint) for at erstatte mindst 5 % af deres årlige forbrug af fossilt baseret brint. Den samlede produktionskapacitet for alle elektrolysatorer vil være på mindst 500 MW.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Den tredje aktionslinje forventes at støtte udbredelsen af brint i en række (mindst ti) andre pionerprojekter med en mindre størrelse end klyngen.</w:t>
      </w:r>
      <w:r>
        <w:rPr>
          <w:rFonts w:ascii="Times New Roman" w:hAnsi="Times New Roman"/>
          <w:noProof/>
          <w:color w:val="000000" w:themeColor="text1"/>
          <w:sz w:val="24"/>
        </w:rPr>
        <w:t xml:space="preserve"> </w:t>
      </w:r>
      <w:r>
        <w:rPr>
          <w:rFonts w:ascii="Times New Roman" w:hAnsi="Times New Roman"/>
          <w:noProof/>
          <w:sz w:val="24"/>
        </w:rPr>
        <w:t>Disse skal indføre vedvarende brint ud over et enkelt industriknudepunkt til isolerede energisystemer, der gør det muligt at integrere vedvarende brint på områder som f.eks. transport.</w:t>
      </w:r>
      <w:r>
        <w:rPr>
          <w:rFonts w:ascii="Times New Roman" w:hAnsi="Times New Roman"/>
          <w:noProof/>
          <w:color w:val="000000" w:themeColor="text1"/>
          <w:sz w:val="24"/>
        </w:rPr>
        <w:t xml:space="preserve"> Disse interventioner forventes at omfatte produktion, distribution og forbrug af vedvarende brint, hvilket fremmer dækningen på tværs af forskellige sektorer og dele af det spanske område.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Endelig sigter Spanien mod at fremme brint som led i en bredere EU-strategi for udvikling af en EU-værdikæde. Som følge heraf kan nogle af de virksomheder, der støttes gennem foranstaltningen, blive en del af et planlagt IPCEI for brint sammen med virksomheder fra andre medlemsstater på grundlag af passende rammer for samarbejde inden for Unionen om at integrere nationale værdikæder for at styrke konkurrenceevnen.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Det forventes, at denne foranstaltning ikke skader miljømålene i væsentlig grad, jf. artikel 17 i forordning (EU) 2020/852, under hensyntagen til beskrivelsen af foranstaltningen og de afhjælpende foranstaltninger, der er fastsat i genopretnings- og resiliensplanen i overensstemmelse med den tekniske vejledning om DNSH-princippet (2021/C58/01). Navnlig skal integrationen af vedvarende hydrogen fremme elektrificering af industrielle processer.</w:t>
      </w:r>
    </w:p>
    <w:p>
      <w:pPr>
        <w:spacing w:before="120" w:after="120" w:line="240" w:lineRule="auto"/>
        <w:jc w:val="both"/>
        <w:rPr>
          <w:rFonts w:ascii="Times New Roman" w:hAnsi="Times New Roman" w:cs="Times New Roman"/>
          <w:noProof/>
          <w:sz w:val="24"/>
        </w:rPr>
      </w:pPr>
      <w:r>
        <w:rPr>
          <w:rFonts w:ascii="Times New Roman" w:hAnsi="Times New Roman"/>
          <w:noProof/>
          <w:sz w:val="24"/>
        </w:rPr>
        <w:t>Foranstaltningerne under denne investering skal være afsluttet senest den 30. juni 2026.</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I.2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medmindre andet er angivet i beskrivelsen af foranstaltningen. Beløbene i tabellen omfatter ikke moms.</w:t>
      </w:r>
    </w:p>
    <w:p>
      <w:pPr>
        <w:spacing w:before="120" w:after="120" w:line="240" w:lineRule="auto"/>
        <w:ind w:left="709"/>
        <w:jc w:val="both"/>
        <w:rPr>
          <w:rFonts w:ascii="Times New Roman" w:hAnsi="Times New Roman" w:cs="Times New Roman"/>
          <w:noProof/>
          <w:sz w:val="24"/>
        </w:rPr>
        <w:sectPr>
          <w:headerReference w:type="even" r:id="rId115"/>
          <w:headerReference w:type="default" r:id="rId116"/>
          <w:footerReference w:type="even" r:id="rId117"/>
          <w:footerReference w:type="default" r:id="rId118"/>
          <w:headerReference w:type="first" r:id="rId119"/>
          <w:footerReference w:type="first" r:id="rId12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560"/>
        <w:gridCol w:w="1275"/>
        <w:gridCol w:w="851"/>
        <w:gridCol w:w="567"/>
        <w:gridCol w:w="567"/>
        <w:gridCol w:w="425"/>
        <w:gridCol w:w="567"/>
        <w:gridCol w:w="7088"/>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Milepæl</w:t>
            </w:r>
            <w:r>
              <w:rPr>
                <w:rFonts w:ascii="Times New Roman" w:hAnsi="Times New Roman"/>
                <w:b/>
                <w:noProof/>
                <w:color w:val="000000"/>
                <w:sz w:val="18"/>
                <w:szCs w:val="18"/>
              </w:rPr>
              <w:t xml:space="preserve"> </w:t>
            </w:r>
            <w:r>
              <w:rPr>
                <w:rFonts w:ascii="Times New Roman" w:hAnsi="Times New Roman"/>
                <w:b/>
                <w:bCs/>
                <w:noProof/>
                <w:color w:val="000000"/>
                <w:sz w:val="18"/>
                <w:szCs w:val="18"/>
              </w:rPr>
              <w:t xml:space="preserve"> / Mål</w:t>
            </w:r>
          </w:p>
        </w:tc>
        <w:tc>
          <w:tcPr>
            <w:tcW w:w="156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Betegnelse</w:t>
            </w:r>
          </w:p>
        </w:tc>
        <w:tc>
          <w:tcPr>
            <w:tcW w:w="127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Kvalitativ indikator for milepæle</w:t>
            </w:r>
          </w:p>
        </w:tc>
        <w:tc>
          <w:tcPr>
            <w:tcW w:w="1985"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Tid</w:t>
            </w:r>
          </w:p>
        </w:tc>
        <w:tc>
          <w:tcPr>
            <w:tcW w:w="7088"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56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Enhed</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Reference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Målsætning</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År</w:t>
            </w:r>
          </w:p>
        </w:tc>
        <w:tc>
          <w:tcPr>
            <w:tcW w:w="7088"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129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C9.R1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Køreplan for brint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 af brintkøreplanen. Køreplanen for brint fastlægger de retningslinjer, som Spanien har fastlagt for udviklingen af sektoren for vedvarende brint. Med henblik herpå fastlægges de mål, der skal nås med hensyn til installeret kapacitet, industri og mobilitet inden 2030.</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C9.R1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forordningen om oprindelsesgarantier for gasser fra vedvarende energikilder</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forordningen om forordningens ikrafttræden</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forordningen om oprettelse af et nationalt system med oprindelsesgarantier for vedvarende gasser, herunder vedvarende brint, der sikrer 100 % af den vedvarende energi. Det system, der indføres ved retsakten, skal omfatte udpegelse af nationale udstedende organer og vedtagelse af deres forvaltning og en reguleringsmekanisme, der fastsætter, hvordan brintens vedvarende oprindelse verificeres.</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Finansiering af SMV'er for at styrke værdikæden for brint</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Mindst 10 SMV'er, der finansieres for at styrke og forstærke den eksisterende spanske værdikæde for brint ved at forbedre et eller flere af følgende forhold: produktionskapacitet, færdigheder, konkurrenceevne, viden- og teknologioverførsel, international dimension.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Teknologisk udvikling i værdikæden for vedvarende brint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Mindst fem teknologiske udviklinger eller prototyper i hele værdikæden for vedvarende brint, der finansieres. Disse (f.eks. elektrolysatorer, kompressorer, lagertanke, brændselsceller og brintbaserede transportsystemer) kan omfatte "første af en slags" udvikling for at gøre det muligt at validere en ny opskaleret konstruktion eller prototype i forbindelse med produktion, logistik og brintforbrug.</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133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Vedvarende brintklynger (eller dale) </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lang w:val="en-IE"/>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Mindst to vedvarende brintklynger (eller dale) til den finansierede sektorintegration. Klynger eller store brintdale koncentrerer og integrerer lokalt udbud, distribution (logistik) og efterspørgsel efter vedvarende brint på bestemte steder for at fortrænge grå brint og fossile brændstoffer.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134</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 xml:space="preserve">Brintpionerprojekter </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lang w:val="en-IE"/>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Finansiering af mindst ti enkeltstående pionerprojekter. Disse omfatter integrerede projekter, der omfatter produktion, distribution og forbrug af vedvarende brint på andre lokaliteter end klyngerne. Projekterne kan omfatte integration af andre nødvendige aktiviteter, såsom videnbaseret forskning og kapacitet.</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135</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Prøvningsfaciliteter eller nye produktionslinjer.</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lang w:val="en-IE"/>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Mindst ti interventioner finansieret med henblik på forbedring af forsøgslaboratorier eller indførelse af nye produktionslinjer. Interventionerne skal enten: 1) forbedre F &amp; D &amp; I-relaterede testfaciliteter eller laboratorier og/eller beslægtet udstyr eller 2) forbedre faciliteter og/eller indkøb af nyt udstyr (f.eks. værktøjsmaskiner) eller teknikker til fremstilling af brint- og brændselscellerelaterede systemer, udstyr eller komponenter.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136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560"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Tilladt elektrolyserkapacitet</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lang w:val="en-IE"/>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500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szCs w:val="18"/>
              </w:rPr>
              <w:t>Mindst 500 MW af den samlede tilladte elektrolyserkapacitet, herunder supplerende infrastruktur. Akkreditering på en af følgende tre måder: indførelse i registret af det nationale system for oprindelsesgarantier for gasser fra vedvarende energikilder eller administrativ godkendelse af anlægget udstedt af det kompetente organ eller den endelige investeringsbeslutning (FID) fra støttemodtageren.</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121"/>
          <w:headerReference w:type="default" r:id="rId122"/>
          <w:footerReference w:type="even" r:id="rId123"/>
          <w:footerReference w:type="default" r:id="rId124"/>
          <w:headerReference w:type="first" r:id="rId125"/>
          <w:footerReference w:type="first" r:id="rId126"/>
          <w:pgSz w:w="16839" w:h="11907" w:orient="landscape"/>
          <w:pgMar w:top="1417" w:right="1134" w:bottom="1417" w:left="1134" w:header="709" w:footer="709" w:gutter="0"/>
          <w:cols w:space="720"/>
          <w:docGrid w:linePitch="360"/>
        </w:sectPr>
      </w:pPr>
    </w:p>
    <w:p>
      <w:pPr>
        <w:pStyle w:val="Heading1"/>
        <w:rPr>
          <w:noProof/>
        </w:rPr>
      </w:pPr>
      <w:r>
        <w:rPr>
          <w:noProof/>
        </w:rPr>
        <w:t>J. KOMPONENT 10: Retfærdig omstilling</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Denne komponent i den spanske genopretnings- og resiliensplan omhandler de økonomiske og sociale virkninger i de geografiske områder, der er berørt af lukningen af kulminer og kulkraftværker/kernekraftværker, som er blevet yderligere forværret af virkningerne af covid-pandemien og lukningen af termiske kraftværker. Et yderligere mål er at ændre produktionsmodellen og fremme omstilling til støtte for en mere modstandsdygtig økonomisk og social model for områderne i fremtiden. Strategien er udformet parallelt med den spanske territoriale plan for Fonden for Retfærdig Omstilling (FRO), som har til formål at have et bredere anvendelsesområde, en længere varighed og et mere strategisk fokus på virksomhedsudvikling og -støtte.</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Komponenten bidrager til at adressere de landespecifikke henstillinger vedrørende støtte til beskæftigelse gennem foranstaltninger til bevarelse af arbejdspladser, effektive incitamenter til ansættelse og udvikling af færdigheder (landespecifik henstilling nr. 2 fra 2020) at fremme offentlige og private investeringer, der fremmer den grønne omstilling (landespecifik henstilling nr. 3 fra 2020) og at styrke samarbejdet på tværs af forvaltningsniveauer (landespecifik henstilling nr. 4 fra 2019).</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J.1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Reform 1 (C10.R1) — Protokoller om retfærdig omstilling</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I februar 2020 godkendte regeringen strategien for retfærdig omstilling som afspejlet i den nationale energi- og klimaplan. Inden for rammerne af denne strategi </w:t>
      </w:r>
      <w:r>
        <w:rPr>
          <w:rStyle w:val="normaltextrun"/>
          <w:rFonts w:ascii="Times New Roman" w:hAnsi="Times New Roman"/>
          <w:noProof/>
          <w:color w:val="000000"/>
          <w:sz w:val="24"/>
          <w:szCs w:val="24"/>
          <w:shd w:val="clear" w:color="auto" w:fill="FFFFFF"/>
        </w:rPr>
        <w:t>og i henhold til den spanske genopretnings- og resiliensplan</w:t>
      </w:r>
      <w:r>
        <w:rPr>
          <w:rFonts w:ascii="Times New Roman" w:hAnsi="Times New Roman"/>
          <w:noProof/>
          <w:color w:val="000000"/>
          <w:sz w:val="24"/>
          <w:szCs w:val="24"/>
          <w:shd w:val="clear" w:color="auto" w:fill="FFFFFF"/>
        </w:rPr>
        <w:t xml:space="preserve"> skal denne reform indeholde 12 protokoller om retfærdig omstilling for hvert område, der er berørt af lukningen af kulminer og kulfyrede kraftværker. Hver af protokollerne om Fonden for Retfærdig Omstilling skal som minimum dække et område, der er berørt af lukningen af et kulfyret kraftværk. Protokollerne skal indeholde omfattende og detaljerede territoriale handlingsplaner som redskaber for miljømæssig, økonomisk og social bæredygtighed i de berørte områder. Der fokuseres bl.a. på at bevare og skabe arbejdspladser, at fremme diversificering og specialisering, at gøre områderne mere attraktive for at bekæmpe affolkning og at genoprette miljøet. Disse protokoller skal omfatte samarbejde mellem relevante lokale aktører (offentlige og private, herunder virksomheder, arbejdsmarkedets parter, uddannelsessektoren, ngo'er osv.).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Denne reform skal også omfatte oprettelsen af instituttet for retfærdig omstilling. Instituttets mål er at identificere og vedtage foranstaltninger, der sikrer en retfærdig behandling af arbejdstagere og territorier, der er berørt af overgangen til en lavemissionsøkonomi, minimering af de negative virkninger for beskæftigelsen og befolkningen i disse områder og optimering af mulighederne i omstillingsprocessen. Instituttets vigtigste opgaver er at fremme udformningen af industripolitikker, forskning og udvikling, fremme af økonomisk aktivitet, beskæftigelse og faglig uddannelse.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Foranstaltningen omfatter også oprettelse af et rådgivende råd bestående af repræsentanter for ministerielle afdelinger og repræsentanter for lokale og regionale myndigheder, som skal yde rådgivning og vurdere virkningen af politikker for retfærdig omstilling.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Gennemførelsen af reformerne skal være afsluttet senest den 30. juni 2023.</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Investering 1 (C10.I1) — Investeringer i en retfærdig omstilling</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Protokollerne om retfærdig omstilling ledsages af investeringer på territorierne med henblik på at: </w:t>
      </w:r>
    </w:p>
    <w:p>
      <w:pPr>
        <w:numPr>
          <w:ilvl w:val="0"/>
          <w:numId w:val="61"/>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skabe job og støtte aktiviteter på kort sigt </w:t>
      </w:r>
    </w:p>
    <w:p>
      <w:pPr>
        <w:numPr>
          <w:ilvl w:val="0"/>
          <w:numId w:val="61"/>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fremskynde forandringerne ved at fokusere på mindre pilotprojekter, som — hvis de anses for at være vellykkede — vil blive optrappet inden for rammerne af FRO og</w:t>
      </w:r>
    </w:p>
    <w:p>
      <w:pPr>
        <w:numPr>
          <w:ilvl w:val="0"/>
          <w:numId w:val="61"/>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sætte skub i den økonomiske udvikling og bidrage til social og territorial samhørighed.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Projekterne skal være rettet mod fire specifikke områder: </w:t>
      </w:r>
    </w:p>
    <w:p>
      <w:pPr>
        <w:numPr>
          <w:ilvl w:val="0"/>
          <w:numId w:val="60"/>
        </w:num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rPr>
        <w:t>Miljøgenopretningsplaner (f.eks. genplantning af skov eller fornyelse af vegetationen) for lukkede eller forladte mineområder og ødelagte arealer, der støder op til termiske kraftværker eller kernekraftværker, og som dækker mindst 2 000 hektar rehabiliteret landområde.</w:t>
      </w:r>
      <w:r>
        <w:rPr>
          <w:rFonts w:ascii="Times New Roman" w:hAnsi="Times New Roman"/>
          <w:noProof/>
          <w:sz w:val="24"/>
          <w:szCs w:val="24"/>
          <w:shd w:val="clear" w:color="auto" w:fill="FFFFFF"/>
        </w:rPr>
        <w:t xml:space="preserve"> Som led i disse planer skal anlæg og mineanlæg demonteres, og jorden skal rehabiliteres og underkastes genplantning af skov eller genplantning, anlæg til vedvarende energi eller økoalternativ økonomisk udvikling</w:t>
      </w:r>
    </w:p>
    <w:p>
      <w:pPr>
        <w:numPr>
          <w:ilvl w:val="0"/>
          <w:numId w:val="60"/>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shd w:val="clear" w:color="auto" w:fill="FFFFFF"/>
        </w:rPr>
        <w:t xml:space="preserve">Mindst 100 miljømæssige, digitale og sociale infrastrukturprojekter i kommuner og territorier, der er under omstilling til lavemissionsøkonomi, med en samlet finansiel investering på mindst 91 000 000 EUR. Projekterne skal dække en række områder, herunder: </w:t>
      </w:r>
      <w:r>
        <w:rPr>
          <w:rFonts w:ascii="Times New Roman" w:hAnsi="Times New Roman"/>
          <w:noProof/>
          <w:sz w:val="24"/>
          <w:szCs w:val="24"/>
        </w:rPr>
        <w:t>istandsættelse af infrastruktur og offentlige bygninger innovative projekter for kommunikation mellem kommuner eller isolerede befolkningsområder baseret på bæredygtige mobilitetsløsninger og genopretning og alternativ anvendelse af eksisterende transportinfrastruktur retablering af offentlig infrastruktur til støtte for den cirkulære økonomi, herunder lokale anlæg, affaldshåndteringscentre miljøprojekter til rehabilitering og forbedring af offentligt ejede områder (såsom reservater, gangstier eller kajer og naturområder) digital infrastruktur og digitale tjenester til udvikling af kooperativer af økologiske produkter eller fællesskabsordninger for fælles indkøb og salg over internettet.</w:t>
      </w:r>
    </w:p>
    <w:p>
      <w:pPr>
        <w:numPr>
          <w:ilvl w:val="0"/>
          <w:numId w:val="60"/>
        </w:num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rPr>
        <w:t>Støtte til to FUI-projekter inden for energilagring og grøn brint. Projekterne skal tilpasse CIUDEN's (</w:t>
      </w:r>
      <w:r>
        <w:rPr>
          <w:rFonts w:ascii="Times New Roman" w:hAnsi="Times New Roman"/>
          <w:i/>
          <w:noProof/>
          <w:sz w:val="24"/>
          <w:szCs w:val="24"/>
        </w:rPr>
        <w:t>Ciudad de la Energía</w:t>
      </w:r>
      <w:r>
        <w:rPr>
          <w:rFonts w:ascii="Times New Roman" w:hAnsi="Times New Roman"/>
          <w:noProof/>
          <w:sz w:val="24"/>
          <w:szCs w:val="24"/>
        </w:rPr>
        <w:t>) anlæg og laboratorier — en statslig fond for forskning, udvikling og innovation, der er oprettet i Bierzo (Leon) under instituttet for retfærdig omstilling og afhængigt af ministeriet for økologisk omstilling og demografisk forandring — til to FUI-projekter om produktion af grøn brint og energilagring. og</w:t>
      </w:r>
    </w:p>
    <w:p>
      <w:pPr>
        <w:numPr>
          <w:ilvl w:val="0"/>
          <w:numId w:val="60"/>
        </w:num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shd w:val="clear" w:color="auto" w:fill="FFFFFF"/>
        </w:rPr>
        <w:t xml:space="preserve">Støtte til omskoling og forbedring af beskæftigelsesegnetheden for arbejdstagere og personer, der er berørt af overgangen til lavemissionsøkonomi, idet mindst 4 000 personer modtager personlig hjælp til jobsøgning og omskolingsforløb. Omskolingsbistanden bør mindst omfatte følgende områder: installation og forsendelse af vedvarende energi (vind og solceller), genopretning og miljøforvaltning og/eller integreret og energimæssig rehabilitering af boliger. </w:t>
      </w:r>
    </w:p>
    <w:p>
      <w:pPr>
        <w:spacing w:before="120" w:after="120" w:line="240" w:lineRule="auto"/>
        <w:jc w:val="both"/>
        <w:rPr>
          <w:rFonts w:ascii="Times New Roman" w:hAnsi="Times New Roman" w:cs="Times New Roman"/>
          <w:b/>
          <w:bCs/>
          <w:noProof/>
          <w:sz w:val="24"/>
          <w:u w:val="single"/>
        </w:rPr>
      </w:pPr>
      <w:r>
        <w:rPr>
          <w:rFonts w:ascii="Times New Roman" w:hAnsi="Times New Roman"/>
          <w:bCs/>
          <w:noProof/>
          <w:sz w:val="24"/>
        </w:rPr>
        <w:t>Gennemførelsen af investeringen skal være afsluttet senest den 30. juni 2026.</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J.2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rPr>
          <w:rFonts w:ascii="Times New Roman" w:hAnsi="Times New Roman" w:cs="Times New Roman"/>
          <w:noProof/>
          <w:sz w:val="24"/>
          <w:szCs w:val="24"/>
        </w:rPr>
        <w:sectPr>
          <w:headerReference w:type="even" r:id="rId127"/>
          <w:headerReference w:type="default" r:id="rId128"/>
          <w:footerReference w:type="even" r:id="rId129"/>
          <w:footerReference w:type="default" r:id="rId130"/>
          <w:headerReference w:type="first" r:id="rId131"/>
          <w:footerReference w:type="first" r:id="rId132"/>
          <w:pgSz w:w="11907" w:h="16839"/>
          <w:pgMar w:top="1134" w:right="1417" w:bottom="1134" w:left="1417" w:header="709" w:footer="709" w:gutter="0"/>
          <w:cols w:space="720"/>
          <w:docGrid w:linePitch="360"/>
        </w:sect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den 1. februar 2020, medmindre andet er angivet i beskrivelsen af foranstaltningen. Beløbene i tabellen omfatter ikke moms.</w:t>
      </w: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3261"/>
        <w:gridCol w:w="992"/>
        <w:gridCol w:w="850"/>
        <w:gridCol w:w="567"/>
        <w:gridCol w:w="709"/>
        <w:gridCol w:w="425"/>
        <w:gridCol w:w="567"/>
        <w:gridCol w:w="5529"/>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Milepæl</w:t>
            </w:r>
            <w:r>
              <w:rPr>
                <w:rFonts w:ascii="Times New Roman" w:hAnsi="Times New Roman"/>
                <w:b/>
                <w:noProof/>
                <w:color w:val="000000"/>
                <w:sz w:val="18"/>
                <w:szCs w:val="18"/>
              </w:rPr>
              <w:t xml:space="preserve"> </w:t>
            </w:r>
            <w:r>
              <w:rPr>
                <w:rFonts w:ascii="Times New Roman" w:hAnsi="Times New Roman"/>
                <w:b/>
                <w:bCs/>
                <w:noProof/>
                <w:color w:val="000000"/>
                <w:sz w:val="18"/>
                <w:szCs w:val="18"/>
              </w:rPr>
              <w:t xml:space="preserve"> / Mål</w:t>
            </w:r>
          </w:p>
        </w:tc>
        <w:tc>
          <w:tcPr>
            <w:tcW w:w="326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Betegnelse</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Kvalitativ indikator for milepæle</w:t>
            </w:r>
          </w:p>
        </w:tc>
        <w:tc>
          <w:tcPr>
            <w:tcW w:w="2126"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noProof/>
                <w:sz w:val="18"/>
                <w:szCs w:val="18"/>
              </w:rPr>
            </w:pPr>
            <w:r>
              <w:rPr>
                <w:rFonts w:ascii="Times New Roman" w:hAnsi="Times New Roman"/>
                <w:b/>
                <w:bCs/>
                <w:noProof/>
                <w:color w:val="000000"/>
                <w:sz w:val="18"/>
                <w:szCs w:val="18"/>
              </w:rPr>
              <w:t>Tid</w:t>
            </w:r>
          </w:p>
        </w:tc>
        <w:tc>
          <w:tcPr>
            <w:tcW w:w="552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261"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Enhed</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Reference</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Målsætning</w:t>
            </w:r>
          </w:p>
        </w:tc>
        <w:tc>
          <w:tcPr>
            <w:tcW w:w="425"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År</w:t>
            </w:r>
          </w:p>
        </w:tc>
        <w:tc>
          <w:tcPr>
            <w:tcW w:w="552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Oprettelse af instituttet for Fonden for Retfærdig Omstilling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EUT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Ved kongeligt dekret nr. 500/2020 oprettes instituttet for Fonden for Retfærdig Omstilling. Instituttets mål er at identificere og vedtage foranstaltninger baseret på solidaritet, der sikrer en retfærdig behandling af arbejdstagere og territorier, der er berørt af overgangen til en lavemissionsøkonomi, minimering af de negative konsekvenser for beskæftigelsen og befolkningen i disse områder og optimering af mulighederne i omstillingsprocessen.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Protokoller for retfærdig omstilling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Efter en deltagelsesbaseret proces offentliggørelse på webstedet for retfærdig omstilling af 12 protokoller for retfærdig omstilling, som omfatter tilsagn om beskæftigelse, miljømæssig genopretning og økonomisk og social udvikling for lokalbefolkningen i 12 berørte områder. Hver af protokollerne om Fonden for Retfærdig Omstilling skal som minimum dække et område, der er berørt af lukningen af et kulfyret kraftværk.</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139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Uddannelsesprogram for "retfærdig omstilling" og ydelse af støtte til økonomisk udvikling i områder med retfærdig omstilling</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EUT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 af: a) Bekendtgørelse om godkendelse af de lovgivningsmæssige rammer for programmet for støtte til "retfærdig omstilling" med angivelse af støtteplanen for erhvervsuddannelse og integration på arbejdsmarkedet af arbejdstagere og personer, der er berørt af overgangen til en lavemissionsøkonomi og b) bekendtgørelse om retsgrundlaget for tildeling af støtte til økonomisk udvikling af områder med en retfærdig omstilling gennem udvikling af miljømæssig, digital og social infrastruktur i kommuner og områder, der er under omstilling til en lavemissionsøkonomi.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Støtte til miljømæssige, digitale og sociale infrastrukturprojekter.</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i Den Europæiske Unions Tidende af tildelingen af mindst 91 000 000 EUR til mindst 100 miljømæssige, digitale og sociale infrastrukturprojekter i kommuner og territorier, der er under omstilling til en lavemissionsøkonomi. De 100 miljømæssige, digitale og sociale infrastrukturprojekter skal være placeret i kommuner og territorier i områder med retfærdig omstilling.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Hjælp til jobsøgning og omskoling af arbejdsløse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4 000 personer har nydt godt af personlig hjælp til jobsøgning og individuelle omskolingsforløb for arbejdsløse i områder med retfærdig omstilling. Omskolingsvejene skal som minimum dække følgende områder: installation og forsendelse af vedvarende energi (vind og solceller), genopretning og miljøforvaltning og/eller integreret og energimæssig rehabilitering af boliger.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Investeringsprojekter med henblik på tilpasning af industrianlæg til grøn brint og energilagring.</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to investeringsprojekter med henblik på at tilpasse industrianlæg til fremtidens Infraestructura Científica y Técnica Singular (ICTP) til validering af grøn brintproduktion og energilagring. Projekterne skal tilpasse Ciudad de la Energías (CIUDEN) anlæg og laboratorier til to FUI-projekter om produktion og lagring af grøn brint.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Rehabiliterede landområder i lukkede kulminer eller områder, der støder op til kraftværker.</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Antal (hektar)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2 000 hektar rehabiliteret jord i lukkede kulmineområder eller tilstødende områder til termiske kraftværker eller atomkraftværker. Overfaldeareal af rehabiliteret jord i forurenede områder, navnlig kulmineområder eller landområder, der støder op til termiske kraftværker eller atomkraftværker, og hvor anlæg og mineanlæg nedlægges, og jorden rehabiliteres, og hvor der genplantes skov eller fornys vegetation, etableres anlæg til vedvarende energi eller økoalternativ økonomisk udvikling.</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133"/>
          <w:headerReference w:type="default" r:id="rId134"/>
          <w:footerReference w:type="even" r:id="rId135"/>
          <w:footerReference w:type="default" r:id="rId136"/>
          <w:headerReference w:type="first" r:id="rId137"/>
          <w:footerReference w:type="first" r:id="rId138"/>
          <w:pgSz w:w="16839" w:h="11907" w:orient="landscape"/>
          <w:pgMar w:top="1417" w:right="1134" w:bottom="1417" w:left="1134" w:header="709" w:footer="709" w:gutter="0"/>
          <w:cols w:space="720"/>
          <w:docGrid w:linePitch="360"/>
        </w:sectPr>
      </w:pPr>
    </w:p>
    <w:p>
      <w:pPr>
        <w:pStyle w:val="Heading1"/>
        <w:jc w:val="left"/>
        <w:rPr>
          <w:noProof/>
        </w:rPr>
      </w:pPr>
      <w:r>
        <w:rPr>
          <w:noProof/>
        </w:rPr>
        <w:t>K. KOMPONENT 11: Modernisering af den offentlige forvaltning</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Denne komponent i den spanske genopretnings- og resiliensplan omhandler udfordringer vedrørende den offentlige forvaltning, herunder retssystemets effektivitet, administrativ kapacitet og samarbejde mellem de forskellige forvaltningsniveauer. Den har til formål at modernisere Spaniens offentlige forvaltninger ved at reformere de administrative processer, offentlige indkøb, retlige anliggender, offentlig beskæftigelse, herunder politikker for menneskelige ressourcer. øge tilgængeligheden og effektiviteten af offentlige tjenester ved yderligere at digitalisere dem fremme energibesparelser, anvendelse af vedvarende energi i offentlige bygninger og infrastruktur, fremme de offentligt ansattes bæredygtige mobilitet og styrke de offentlige forvaltningers administrative kapacitet til at overvåge, kontrollere og gennemføre offentlige politikker. De vigtigste foranstaltninger til at nå disse mål er følgende:</w:t>
      </w:r>
    </w:p>
    <w:p>
      <w:pPr>
        <w:numPr>
          <w:ilvl w:val="0"/>
          <w:numId w:val="62"/>
        </w:numPr>
        <w:spacing w:before="120" w:after="120" w:line="240"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Reformere de centrale, regionale og lokale offentlige forvaltninger ved at forbedre samarbejdet mellem dem, styrke rammerne for offentlige indkøb, evaluere offentlige politikker og fremme overgangen til tidsubegrænsede kontrakter</w:t>
      </w:r>
    </w:p>
    <w:p>
      <w:pPr>
        <w:numPr>
          <w:ilvl w:val="0"/>
          <w:numId w:val="62"/>
        </w:numPr>
        <w:spacing w:before="120" w:after="120" w:line="240"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Digitalisering af forvaltninger og processer med fem prioriterede projekter på strategiske områder: retlige anliggender, offentlige arbejdsformidlinger, folkesundhedsdata, forvaltning af konsulater og territorialforvaltning</w:t>
      </w:r>
    </w:p>
    <w:p>
      <w:pPr>
        <w:numPr>
          <w:ilvl w:val="0"/>
          <w:numId w:val="62"/>
        </w:numPr>
        <w:spacing w:before="120" w:after="120" w:line="240"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Centralregeringens energiomstillingsplan</w:t>
      </w:r>
    </w:p>
    <w:p>
      <w:pPr>
        <w:numPr>
          <w:ilvl w:val="0"/>
          <w:numId w:val="62"/>
        </w:numPr>
        <w:spacing w:before="120" w:after="120" w:line="259"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Styrkelse af den administrative kapacitet.</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komponent i den spanske genopretnings- og resiliensplan omhandler de landespecifikke henstillinger om styrkelse af rammerne for offentlige indkøb (landespecifik henstilling nr. 1 fra 2019 og nr. 4 fra 2020), fremme af overgangen til tidsubegrænsede kontrakter (landespecifik henstilling nr. 2 fra 2019), fremskyndelse af offentlige investeringsprojekter og fokusering af investeringer på den grønne og digitale omstilling (landespecifik henstilling nr. 3 fra 2019 og nr. 3 fra 2020) og forbedring af samarbejdet mellem myndighederne (landespecifik henstilling nr. 4 fra 2019 og 2020).</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jc w:val="both"/>
        <w:rPr>
          <w:rFonts w:ascii="Times New Roman" w:hAnsi="Times New Roman" w:cs="Times New Roman"/>
          <w:b/>
          <w:bCs/>
          <w:i/>
          <w:iCs/>
          <w:noProof/>
          <w:color w:val="000000" w:themeColor="text1"/>
          <w:sz w:val="24"/>
        </w:rPr>
      </w:pPr>
      <w:r>
        <w:rPr>
          <w:rFonts w:ascii="Times New Roman" w:hAnsi="Times New Roman"/>
          <w:b/>
          <w:bCs/>
          <w:noProof/>
          <w:color w:val="000000" w:themeColor="text1"/>
          <w:sz w:val="24"/>
          <w:u w:val="single"/>
        </w:rPr>
        <w:t xml:space="preserve">K.1 </w:t>
      </w:r>
      <w:r>
        <w:rPr>
          <w:rFonts w:ascii="Times New Roman" w:hAnsi="Times New Roman"/>
          <w:b/>
          <w:noProof/>
          <w:color w:val="000000" w:themeColor="text1"/>
          <w:sz w:val="24"/>
          <w:u w:val="single"/>
        </w:rPr>
        <w:tab/>
      </w:r>
      <w:r>
        <w:rPr>
          <w:rFonts w:ascii="Times New Roman" w:hAnsi="Times New Roman"/>
          <w:b/>
          <w:bCs/>
          <w:noProof/>
          <w:color w:val="000000" w:themeColor="text1"/>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Reform 1 (C11.R1) — Reform med henblik på modernisering og digitalisering af administrationen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Denne foranstaltning er formuleret i flere aktionslinjer for at afhjælpe svaghederne i de offentlige forvaltningers beskæftigelsespolitikker, styrke samarbejdet og koordineringen mellem de forskellige forvaltningsniveauer og forbedre den måde, hvorpå centralregeringen gennemfører offentlige politikker. Med hensyn til beskæftigelsespolitikker er målet at nedbringe antallet af midlertidigt ansatte i de offentlige forvaltninger og styrke den offentlige beskæftigelseskapacitet ved at bevæge sig i retning af en kompetencebaseret model for menneskelige ressourcer, herunder med henblik på ansættelse. </w:t>
      </w:r>
      <w:r>
        <w:rPr>
          <w:rFonts w:ascii="Times New Roman" w:hAnsi="Times New Roman"/>
          <w:noProof/>
          <w:sz w:val="24"/>
          <w:szCs w:val="24"/>
        </w:rPr>
        <w:t>Den anden aktionslinje er at videreudvikle den forudgående politikevaluering og øge gennemsigtigheden og borgernes deltagelse i den offentlige politikudformning. Endelig skal reformen styrke de eksisterende instrumenter til samarbejde mellem forskellige forvaltningsniveauer i Spanien. Dette skal styrke den rolle, som sektorkonferencer, de eksisterende samarbejdsorganer med regioner spiller, ved at præcisere, hvornår de kan indgå aftaler om obligatorisk overholdelse. Reformen skal også styrke Formandskonferencen (hvor premierministeren og formændene for de selvstyrende regioner mødes på højeste plan). Reformen vedrører også instrumenter, der gør det muligt at samarbejde mellem de offentlige myndigheder, den etablerer digital interadministrativ sammenkobling og interoperabilitet mellem de centrale og regionale forvaltningers IT-platforme.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Gennemførelsen af denne reform skal være afsluttet senest den 31. december 2024.</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 2 (C11.R2) — Reform med henblik på at styrke retsstaten og retsvæsenets effektivitet</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Lov nr. 3/2020 af 18. september og programmet for retlige anliggender 2030 indeholder en køreplan for reform af retsplejen i Spanien. I denne forbindelse søger denne foranstaltning at modernisere retssystemet ved ikrafttrædelsen (under hensyntagen til "</w:t>
      </w:r>
      <w:r>
        <w:rPr>
          <w:rFonts w:ascii="Times New Roman" w:hAnsi="Times New Roman"/>
          <w:i/>
          <w:noProof/>
          <w:sz w:val="24"/>
          <w:szCs w:val="24"/>
        </w:rPr>
        <w:t>vacatio legis</w:t>
      </w:r>
      <w:r>
        <w:rPr>
          <w:rFonts w:ascii="Times New Roman" w:hAnsi="Times New Roman"/>
          <w:noProof/>
          <w:sz w:val="24"/>
          <w:szCs w:val="24"/>
        </w:rPr>
        <w:t xml:space="preserve">", der er fastsat i hver lov). </w:t>
      </w:r>
    </w:p>
    <w:p>
      <w:pPr>
        <w:spacing w:before="120" w:after="120" w:line="240" w:lineRule="auto"/>
        <w:jc w:val="both"/>
        <w:rPr>
          <w:rFonts w:ascii="Times New Roman" w:hAnsi="Times New Roman" w:cs="Times New Roman"/>
          <w:noProof/>
          <w:sz w:val="24"/>
        </w:rPr>
      </w:pPr>
      <w:r>
        <w:rPr>
          <w:rFonts w:ascii="Times New Roman" w:hAnsi="Times New Roman"/>
          <w:noProof/>
          <w:sz w:val="24"/>
        </w:rPr>
        <w:t>senest den 31. december 2022 af:</w:t>
      </w:r>
    </w:p>
    <w:p>
      <w:pPr>
        <w:numPr>
          <w:ilvl w:val="0"/>
          <w:numId w:val="65"/>
        </w:numPr>
        <w:spacing w:before="120" w:after="120" w:line="240" w:lineRule="auto"/>
        <w:jc w:val="both"/>
        <w:rPr>
          <w:rFonts w:ascii="Times New Roman" w:hAnsi="Times New Roman" w:cs="Times New Roman"/>
          <w:noProof/>
          <w:sz w:val="24"/>
        </w:rPr>
      </w:pPr>
      <w:r>
        <w:rPr>
          <w:rFonts w:ascii="Times New Roman" w:hAnsi="Times New Roman"/>
          <w:noProof/>
          <w:sz w:val="24"/>
        </w:rPr>
        <w:t xml:space="preserve">lov om proceduremæssig effektivitet med henblik på at afkorte varigheden af procedurer i alle jurisdiktioner, samtidig med at borgernes processuelle garantier bevares, samt indførelse af passende alternative metoder til bilæggelse af tvister </w:t>
      </w:r>
    </w:p>
    <w:p>
      <w:pPr>
        <w:numPr>
          <w:ilvl w:val="0"/>
          <w:numId w:val="65"/>
        </w:numPr>
        <w:spacing w:before="120" w:after="120" w:line="240" w:lineRule="auto"/>
        <w:jc w:val="both"/>
        <w:rPr>
          <w:rFonts w:ascii="Times New Roman" w:hAnsi="Times New Roman" w:cs="Times New Roman"/>
          <w:bCs/>
          <w:noProof/>
          <w:sz w:val="24"/>
        </w:rPr>
      </w:pPr>
      <w:r>
        <w:rPr>
          <w:rFonts w:ascii="Times New Roman" w:hAnsi="Times New Roman"/>
          <w:noProof/>
          <w:sz w:val="24"/>
        </w:rPr>
        <w:t>en reform af strafferetsplejeloven med henblik på at tildele ledelsen af den retslige efterforskning til anklagere i stedet for at blive ledet af undersøgelsesdommere</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senest den 31. december 2023 af:</w:t>
      </w:r>
    </w:p>
    <w:p>
      <w:pPr>
        <w:numPr>
          <w:ilvl w:val="0"/>
          <w:numId w:val="65"/>
        </w:num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lovgivning om digital effektivitet, fremme af en datadreven arkitektur til informationsstyring </w:t>
      </w:r>
    </w:p>
    <w:p>
      <w:pPr>
        <w:numPr>
          <w:ilvl w:val="0"/>
          <w:numId w:val="65"/>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lov om retssystemets organisatoriske effektivitet med henblik på at ændre tilrettelæggelsen af retskortet. Foranstaltningen skal erstatte det høje antal enmandsdomstole i første instans med 431 kollegiale organer (</w:t>
      </w:r>
      <w:r>
        <w:rPr>
          <w:rFonts w:ascii="Times New Roman" w:hAnsi="Times New Roman"/>
          <w:i/>
          <w:noProof/>
          <w:sz w:val="24"/>
          <w:szCs w:val="24"/>
        </w:rPr>
        <w:t>Tribunales de Instancia</w:t>
      </w:r>
      <w:r>
        <w:rPr>
          <w:rFonts w:ascii="Times New Roman" w:hAnsi="Times New Roman"/>
          <w:noProof/>
          <w:sz w:val="24"/>
          <w:szCs w:val="24"/>
        </w:rPr>
        <w:t>) og gennemføre retskontoret.</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sz w:val="24"/>
        </w:rPr>
        <w:t>Gennemførelsen af reformerne skal være afsluttet senest den 31. december 2022.</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Reform 3 (C11.R3) — Reform med henblik på at modernisere den institutionelle arkitektur for økonomisk styring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foranstaltning skal reformere aspekter af rammen for institutionel økonomisk styring, herunder ved at fremskynde og fremme digitaliseringen af processer. Dette skal omfatte: a) reform af, hvordan </w:t>
      </w:r>
      <w:r>
        <w:rPr>
          <w:rFonts w:ascii="Times New Roman" w:hAnsi="Times New Roman"/>
          <w:i/>
          <w:noProof/>
          <w:sz w:val="24"/>
          <w:szCs w:val="24"/>
        </w:rPr>
        <w:t>Caja General de Depósitos</w:t>
      </w:r>
      <w:r>
        <w:rPr>
          <w:rFonts w:ascii="Times New Roman" w:hAnsi="Times New Roman"/>
          <w:noProof/>
          <w:sz w:val="24"/>
          <w:szCs w:val="24"/>
        </w:rPr>
        <w:t xml:space="preserve"> (den almindelige indskudsgarantifond) håndterer garantier med henblik på at gøre dem elektroniske b) oprettelse af Financial Client Protection Authority med det formål at garantere finansielle kunders rettigheder c) forbedring af de institutionelle rammer for afvikling af finansielle institutioner gennem en lov om ændring af den nuværende institutionelle ramme for afvikling og d) modernisere tilsynet med finans- og revisionsområdet gennem reformen af den generelle regnskabsplan og revisionsforordningen.</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2022.</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sz w:val="24"/>
          <w:u w:val="single"/>
        </w:rPr>
        <w:t>Reform 4 (C11.R4) — National strategi for offentlige indkøb</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Denne reform skal afslutte gennemførelsen af reformen af offentlige indkøb i henhold til lov nr. 9/2017 om offentlige kontrakter (hovedretsakt om gennemførelse af Europa-Parlamentets og Rådets direktiv 2014/24/EU af 26. februar 2014 om offentlige udbud og om ophævelse af direktiv 2004/18/EF (EØS-relevant tekst)). Dette etablerer en forvaltningsstruktur for at imødekomme behovet for en sammenhængende ramme for offentlige indkøb, der sikrer gennemsigtighed, effektive kontrolmekanismer, sammenkobling af databaser over offentlige indkøb på alle forvaltningsniveauer og koordinering på tværs af forvaltningsniveauer med henblik på at: i) gøre det nationale evalueringskontor fuldt operationelt og ii) vedtage den nationale strategi for offentlige indkøb.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Spanien har allerede oprettet det uafhængige kontor for regulering af og tilsyn med offentlige indkøb og det nationale evalueringskontor. Denne reform skal også tage fat på problemer i forbindelse med den begrænsede tilvejebringelse af oplysninger om offentlige indkøb og databaser samt svagheder i strukturen for indgåelse af kontrakter om offentlige indkøb. Med henblik herpå skal reformen: a) forbedre effektiviteten af offentlige indkøb (processer, resultater, data og information) b) fremme professionaliseringen af aktørerne (i overensstemmelse med Kommissionens henstilling fra oktober 2017) c) forbedre adgangen for SMV'er og d) styrke de retlige rammer for digitale offentlige indkøb.</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2022.</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sz w:val="24"/>
          <w:u w:val="single"/>
        </w:rPr>
        <w:t>Reform 5 (C11.R5) — Administrativ kapacitet</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reform skal modernisere de offentlige forvaltningers interne funktionsmåde for at forbedre gennemførelsen af den spanske genopretnings- og resiliensplan med henblik på at få en langvarig indvirkning på den spanske offentlige forvaltnings gennemførelse af fremtidige reformer og investeringer. Overordnet set skal den sammen med investering 5 reformere de offentlige forvaltningers kapacitet til at sikre en korrekt gennemførelse af genopretnings- og resiliensplanen. Dette indebærer, at der skal oprettes et integreret informations- og forvaltningssystem; udvikle uddannelsesaktiviteter for dem, der er involveret i genopretnings- og resiliensplanen og iværksætte kommunikationsaktiviteter for at henvende sig til de potentielle deltagere og støttemodtagere i genopretnings- og resiliensplanen samt virksomheder og husholdninger generelt for at blive opmærksomme på de muligheder, som genopretnings- og resiliensplanen giver. </w:t>
      </w:r>
    </w:p>
    <w:p>
      <w:pPr>
        <w:spacing w:before="120" w:after="120" w:line="240" w:lineRule="auto"/>
        <w:jc w:val="both"/>
        <w:rPr>
          <w:rFonts w:ascii="Times New Roman" w:hAnsi="Times New Roman" w:cs="Times New Roman"/>
          <w:noProof/>
          <w:sz w:val="24"/>
        </w:rPr>
      </w:pPr>
      <w:r>
        <w:rPr>
          <w:rFonts w:ascii="Times New Roman" w:hAnsi="Times New Roman"/>
          <w:noProof/>
          <w:sz w:val="24"/>
        </w:rPr>
        <w:t>Styringen, rapporteringen og overvågningen af foranstaltningerne i genopretnings- og resiliensplanen skal anvendes via en ny model for administrativ og finansiel forvaltning for at sikre, at foranstaltningerne i genopretnings- og resiliensplanen gennemføres korrekt. Denne ensartede model skal centraliseres i generalsekretariatet for europæiske fonde og anvendes i de indberettende ministerier, deres tilsvarende IKT-enheder og eventuelt peeradministrationer i regionerne (selvstyrende regioner). Med henblik herpå vedtog centralregeringen kongeligt lovdekret 36/2020.</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Gennemførelsen af reformerne skal være afsluttet senest den 30. september 2021.</w:t>
      </w:r>
    </w:p>
    <w:p>
      <w:pPr>
        <w:spacing w:before="120" w:after="120" w:line="240" w:lineRule="auto"/>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Investering 1 (C11.I1) — Modernisering af statsforvaltningen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Aktionerne under investeringerne i C11.I1 og C11.I3 er udviklet efter de samme principper, idet I1 er rettet mod centralregeringen og I3 de regionale og lokale myndigheder. Følgende skal gennemføres for alle disse enheder:</w:t>
      </w:r>
    </w:p>
    <w:p>
      <w:pPr>
        <w:numPr>
          <w:ilvl w:val="0"/>
          <w:numId w:val="6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Borgerorienteret administration, forbedring af digitale offentlige tjenester til borgere og virksomheder og gennemførelse af foranstaltninger i overensstemmelse med den spanske digitale dagsorden 2025</w:t>
      </w:r>
    </w:p>
    <w:p>
      <w:pPr>
        <w:numPr>
          <w:ilvl w:val="0"/>
          <w:numId w:val="6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Intelligent drift og dataforvaltning, forbedring af kvaliteten og effektiviteten af forvaltningen af offentlige forvaltningstjenester (dvs. offentlige indkøb), herunder datastrømme, gennem anvendelse af intelligente automatiseringsteknologier og digitale infrastrukturer</w:t>
      </w:r>
    </w:p>
    <w:p>
      <w:pPr>
        <w:numPr>
          <w:ilvl w:val="0"/>
          <w:numId w:val="6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Digitale infrastrukturer og cybersikkerhed med det formål at tilvejebringe den spanske offentlige forvaltnings teknologiske infrastruktur, der er nødvendig for deres modernisering.</w:t>
      </w:r>
      <w:r>
        <w:rPr>
          <w:rFonts w:ascii="Times New Roman" w:hAnsi="Times New Roman"/>
          <w:b/>
          <w:bCs/>
          <w:noProof/>
          <w:sz w:val="24"/>
          <w:szCs w:val="24"/>
        </w:rPr>
        <w:t xml:space="preserve"> </w:t>
      </w:r>
      <w:r>
        <w:rPr>
          <w:rFonts w:ascii="Times New Roman" w:hAnsi="Times New Roman"/>
          <w:noProof/>
          <w:sz w:val="24"/>
          <w:szCs w:val="24"/>
        </w:rPr>
        <w:t>For så vidt angår cybersikkerhed skal denne foranstaltning oprette et operationscenter for cybersikkerhed for hele statens almindelige forvaltning og dens offentlige agenturer med henblik på beskyttelse mod cybersikkerhedstrusler</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Gennemførelsen af investeringen skal være afsluttet senest den 31. december 2025. </w:t>
      </w:r>
    </w:p>
    <w:p>
      <w:pPr>
        <w:spacing w:before="120" w:after="120" w:line="240" w:lineRule="auto"/>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Investering 2 (C11.I2) — Specifikke projekter til digitalisering af centralregeringen</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Disse investeringer skal føre til en mere generel indførelse af digitalisering og udvikling af digitale tjenester i hele den offentlige forvaltning. De politikområder, der skal gennemføre en digital omstilling, er:</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Sociale sikringsordning. Investeringen skal forbedre interoperabiliteten mellem centralregeringen og de selvstyrende regioner samt ved at fremme dataanalyse</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Retssystemet. Investeringen skal give borgerne og de juridiske aktører digitale værktøjer til bedre at forvalte deres forhold til retsplejen</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Offentlige arbejdsformidlinger. Investeringen skal ajourføre de IT-systemer, der understøtter forvaltningen af aktive arbejdsmarkedspolitikker</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Inklusion, social sikring og migration. Investeringen skal udstyre det kompetente ministerium med digitale værktøjer, der letter gennemførelsen af relevante politikker for de dårligst stillede grupper samt anvendelsen af oplysninger til at udvikle yderligere korrigerende eller afhjælpende foranstaltninger</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Konsulære tjenester. Investeringen skal forbedre adgangen til den spanske offentlige forvaltnings digitale tjenester for både spaniere med bopæl i udlandet og udenlandske statsborgere, der bor i Spanien.</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szCs w:val="24"/>
        </w:rPr>
        <w:t>Pilotinitiativer inden for sikkerhed og landbrugskulturer.</w:t>
      </w:r>
    </w:p>
    <w:p>
      <w:pPr>
        <w:spacing w:before="120" w:after="120" w:line="240" w:lineRule="auto"/>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rPr>
        <w:t xml:space="preserve">Gennemførelsen af investeringen skal være afsluttet senest den 31. december 2025.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Investering 3 (C11.I3) — Digital omstilling og modernisering af ministeriet for territorial politik og den offentlige forvaltning og af forvaltningen i de selvstyrende regioner og de lokale myndigheder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Foranstaltningerne under denne investering følger de samme principper som dem, der er beskrevet i C11.I1, og som er rettet mod de regionale og lokale myndigheder.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4 (C11.I4) — Energiomstillingsplan i den almindelige statsforvaltning</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Foranstaltningen skal fremme energibesparelser og -effektivitet i statens bygninger og infrastruktur. Foranstaltningen skal i gennemsnit opnå en reduktion af primærenergiefterspørgslen på mindst 30 %, der verificeres ved energiattester. Navnlig med hensyn til energibesparelser skal investeringen bidrage til renovering af etagearealet i bygninger for at øge antallet af anlæg med høj energiklassificering og navnlig næsten energineutrale bygninger. Investeringen skal også fremme indførelsen af solcellesystemer eller andre vedvarende energikilder på centraladministrationens anlæg. Foranstaltningen tilskynder også til omdannelse af vognparken</w:t>
      </w:r>
      <w:r>
        <w:rPr>
          <w:rFonts w:ascii="Times New Roman" w:hAnsi="Times New Roman"/>
          <w:noProof/>
          <w:sz w:val="24"/>
        </w:rPr>
        <w:t xml:space="preserve"> af offentlige køretøjer til køretøjer med nulemission eller lave emissioner</w:t>
      </w:r>
      <w:r>
        <w:rPr>
          <w:rFonts w:ascii="Times New Roman" w:hAnsi="Times New Roman" w:cs="Times New Roman"/>
          <w:bCs/>
          <w:noProof/>
          <w:sz w:val="24"/>
          <w:vertAlign w:val="superscript"/>
          <w:lang w:val="en-IE"/>
        </w:rPr>
        <w:footnoteReference w:id="14"/>
      </w:r>
      <w:r>
        <w:rPr>
          <w:rFonts w:ascii="Times New Roman" w:hAnsi="Times New Roman"/>
          <w:noProof/>
          <w:sz w:val="24"/>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szCs w:val="24"/>
        </w:rPr>
        <w:t xml:space="preserve">Det forventes, at denne foranstaltning ikke skader miljømålene i væsentlig grad, jf. artikel 17 i forordning (EU) 2020/852, under hensyntagen til beskrivelsen af foranstaltningen og de afhjælpende foranstaltninger, der er fastsat i genopretnings- og resiliensplanen i overensstemmelse med den tekniske vejledning om DNSH-princippet (2021/C58/01). </w:t>
      </w:r>
      <w:r>
        <w:rPr>
          <w:rFonts w:ascii="Times New Roman" w:hAnsi="Times New Roman"/>
          <w:noProof/>
          <w:sz w:val="24"/>
        </w:rPr>
        <w:t>Navnlig skal omstillingen af køretøjsflåden af offentlige køretøjer kun understøtte nulemissionskøretøjer eller lavemissionskøretøjer</w:t>
      </w:r>
      <w:r>
        <w:rPr>
          <w:rFonts w:ascii="Times New Roman" w:hAnsi="Times New Roman" w:cs="Times New Roman"/>
          <w:bCs/>
          <w:noProof/>
          <w:sz w:val="24"/>
          <w:vertAlign w:val="superscript"/>
          <w:lang w:val="en-IE"/>
        </w:rPr>
        <w:footnoteReference w:id="15"/>
      </w:r>
      <w:r>
        <w:rPr>
          <w:rFonts w:ascii="Times New Roman" w:hAnsi="Times New Roman"/>
          <w:noProof/>
          <w:sz w:val="24"/>
        </w:rPr>
        <w:t>.</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Investeringen skal omfatte både</w:t>
      </w:r>
      <w:r>
        <w:rPr>
          <w:rFonts w:ascii="Times New Roman" w:hAnsi="Times New Roman"/>
          <w:noProof/>
          <w:sz w:val="24"/>
        </w:rPr>
        <w:t xml:space="preserve"> investeringer i fast kapital (infrastruktur og offentlige bygninger) og i naturkapital (alle tiltag bidrager til at reducere drivhusgasemissionerne).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Gennemførelsen af investeringen skal være afsluttet senest den 30. juni 2026.</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5 (C11.I5) — Omstilling af administrationen med henblik på gennemførelsen af den spanske genopretnings- og resiliensplan</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Denne investering er knyttet til reform R5 af denne komponent. Den skal tilpasse den offentlige forvaltnings funktionsmåde til at imødegå udfordringerne i forbindelse med gennemførelsen og overvågningen af genopretnings- og resiliensplanen. Foranstaltningen skal modernisere informationssystemet og kommunikationskanalerne med henblik på at dele oplysninger på tværs af forvaltningsniveauer og med borgere, virksomheder og potentielle støttemodtagere. Foranstaltningen skal også omfatte målrettede kurser for det personale i den offentlige forvaltning, der anslås at nå op på mindst 3 150 personer under hele gennemførelsen af genopretnings- og resiliensplanen.</w:t>
      </w:r>
    </w:p>
    <w:p>
      <w:pPr>
        <w:spacing w:before="120" w:after="120" w:line="240" w:lineRule="auto"/>
        <w:jc w:val="both"/>
        <w:rPr>
          <w:rFonts w:ascii="Times New Roman" w:hAnsi="Times New Roman" w:cs="Times New Roman"/>
          <w:b/>
          <w:bCs/>
          <w:noProof/>
          <w:sz w:val="24"/>
          <w:u w:val="single"/>
        </w:rPr>
      </w:pPr>
      <w:r>
        <w:rPr>
          <w:rFonts w:ascii="Times New Roman" w:hAnsi="Times New Roman"/>
          <w:noProof/>
          <w:color w:val="000000" w:themeColor="text1"/>
          <w:sz w:val="24"/>
        </w:rPr>
        <w:t xml:space="preserve">Gennemførelsen af investeringen skal være afsluttet senest den 31. august 2026. </w:t>
      </w:r>
    </w:p>
    <w:p>
      <w:pPr>
        <w:keepNext/>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K.2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keepNext/>
        <w:spacing w:before="120" w:after="120" w:line="240" w:lineRule="auto"/>
        <w:rPr>
          <w:rFonts w:ascii="Times New Roman" w:hAnsi="Times New Roman" w:cs="Times New Roman"/>
          <w:i/>
          <w:noProof/>
          <w:color w:val="000000"/>
          <w:sz w:val="24"/>
          <w:szCs w:val="24"/>
        </w:rPr>
        <w:sectPr>
          <w:headerReference w:type="even" r:id="rId139"/>
          <w:headerReference w:type="default" r:id="rId140"/>
          <w:footerReference w:type="even" r:id="rId141"/>
          <w:footerReference w:type="default" r:id="rId142"/>
          <w:headerReference w:type="first" r:id="rId143"/>
          <w:footerReference w:type="first" r:id="rId144"/>
          <w:pgSz w:w="11907" w:h="16839"/>
          <w:pgMar w:top="1134" w:right="1417" w:bottom="1134" w:left="1417" w:header="709" w:footer="709" w:gutter="0"/>
          <w:cols w:space="720"/>
          <w:docGrid w:linePitch="360"/>
        </w:sect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den 1. februar 2020, medmindre andet er angivet i beskrivelsen af foranstaltningen. Beløbene i tabellen omfatter ikke moms.</w:t>
      </w:r>
    </w:p>
    <w:tbl>
      <w:tblPr>
        <w:tblW w:w="1519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5"/>
        <w:gridCol w:w="845"/>
        <w:gridCol w:w="844"/>
        <w:gridCol w:w="2710"/>
        <w:gridCol w:w="1370"/>
        <w:gridCol w:w="704"/>
        <w:gridCol w:w="704"/>
        <w:gridCol w:w="844"/>
        <w:gridCol w:w="422"/>
        <w:gridCol w:w="563"/>
        <w:gridCol w:w="5486"/>
      </w:tblGrid>
      <w:tr>
        <w:trPr>
          <w:trHeight w:val="309"/>
          <w:tblHeader/>
        </w:trPr>
        <w:tc>
          <w:tcPr>
            <w:tcW w:w="70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Nummer</w:t>
            </w:r>
          </w:p>
        </w:tc>
        <w:tc>
          <w:tcPr>
            <w:tcW w:w="84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Foranstaltning</w:t>
            </w:r>
          </w:p>
        </w:tc>
        <w:tc>
          <w:tcPr>
            <w:tcW w:w="84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Milepæl</w:t>
            </w:r>
            <w:r>
              <w:rPr>
                <w:rFonts w:ascii="Times New Roman" w:hAnsi="Times New Roman"/>
                <w:noProof/>
                <w:sz w:val="18"/>
                <w:szCs w:val="18"/>
              </w:rPr>
              <w:t xml:space="preserve"> </w:t>
            </w:r>
            <w:r>
              <w:rPr>
                <w:rFonts w:ascii="Times New Roman" w:hAnsi="Times New Roman"/>
                <w:b/>
                <w:bCs/>
                <w:noProof/>
                <w:color w:val="000000" w:themeColor="text1"/>
                <w:sz w:val="18"/>
                <w:szCs w:val="18"/>
              </w:rPr>
              <w:t xml:space="preserve"> / Mål</w:t>
            </w:r>
          </w:p>
        </w:tc>
        <w:tc>
          <w:tcPr>
            <w:tcW w:w="271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Betegnelse</w:t>
            </w:r>
          </w:p>
        </w:tc>
        <w:tc>
          <w:tcPr>
            <w:tcW w:w="137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Kvalitativ indikator for milepæle</w:t>
            </w:r>
          </w:p>
        </w:tc>
        <w:tc>
          <w:tcPr>
            <w:tcW w:w="2252"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Kvantitativ indikator for målet</w:t>
            </w:r>
          </w:p>
        </w:tc>
        <w:tc>
          <w:tcPr>
            <w:tcW w:w="985"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Tid</w:t>
            </w:r>
          </w:p>
        </w:tc>
        <w:tc>
          <w:tcPr>
            <w:tcW w:w="548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sz w:val="18"/>
                <w:szCs w:val="18"/>
              </w:rPr>
              <w:t>Beskrivelse af hver milepæl og hvert mål</w:t>
            </w:r>
          </w:p>
        </w:tc>
      </w:tr>
      <w:tr>
        <w:trPr>
          <w:trHeight w:val="309"/>
          <w:tblHeader/>
        </w:trPr>
        <w:tc>
          <w:tcPr>
            <w:tcW w:w="70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4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4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71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37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704"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Enhed</w:t>
            </w:r>
          </w:p>
        </w:tc>
        <w:tc>
          <w:tcPr>
            <w:tcW w:w="704"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Reference</w:t>
            </w:r>
          </w:p>
        </w:tc>
        <w:tc>
          <w:tcPr>
            <w:tcW w:w="844"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Målsætning</w:t>
            </w:r>
          </w:p>
        </w:tc>
        <w:tc>
          <w:tcPr>
            <w:tcW w:w="422"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Q</w:t>
            </w:r>
          </w:p>
        </w:tc>
        <w:tc>
          <w:tcPr>
            <w:tcW w:w="563"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År</w:t>
            </w:r>
          </w:p>
        </w:tc>
        <w:tc>
          <w:tcPr>
            <w:tcW w:w="548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144</w:t>
            </w:r>
          </w:p>
        </w:tc>
        <w:tc>
          <w:tcPr>
            <w:tcW w:w="84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en retsakt med henblik på at reducere antallet af midlertidigt ansatte i offentlige forvaltninger</w:t>
            </w:r>
          </w:p>
        </w:tc>
        <w:tc>
          <w:tcPr>
            <w:tcW w:w="137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den lovgivningsmæssige retsakt, der angiver retsaktens ikrafttræden</w:t>
            </w:r>
          </w:p>
        </w:tc>
        <w:tc>
          <w:tcPr>
            <w:tcW w:w="704"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en lov, der fastsætter foranstaltninger til begrænsning af midlertidig ansættelse i offentligt ansatte og effektive bestemmelser til forebyggelse og sanktionering af misbrug, herunder forpligtelsen til at offentliggøre alle opfordringer til stabiliseringsprocedurer for midlertidigt ansatte senest den 31. december 2022. Denne lov finder anvendelse på statslige, regionale og lokale offentlige forvaltninger.</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145</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Ikrafttrædelsen af ændringerne af lov nr. 40/2015 om styrkelse af det interterritoriale samarbejde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retsakten om reformens ikrafttræden</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Ikrafttrædelsen af ændringerne af lov nr. 40/2015 for at styrke det interterritoriale samarbejde med målene om i) at muliggøre oprettelse af multisektorielle konferencer, ii) at præcisere beslutningsprocedurerne på sektorkonferencerne, herunder når de skaber aftaler om obligatorisk overholdelse, iii) styrkelse af Formandskonferencen gennem oprettelse af et permanent sekretariat; iv) bestemmelser om obligatorisk udarbejdelse, godkendelse og offentliggørelse af flerårige politiske mål og resultatindikatorer samt gennemsigtige overvågnings- og evalueringsmekanismer og v) etablering af digital interadministrativ sammenkobling og interoperabilitet mellem de centrale og regionale forvaltningers IT-platforme.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146</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Lovens ikrafttræden med henblik på at styrke evalueringen af offentlige politikker</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loven, der angiver lovens ikrafttræden</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Ikrafttrædelsen af evalueringsloven med en række foranstaltninger til styrkelse af offentlige politikker baseret på forudgående evaluering. Målsætningerne er: i) at styrke ordningen for det nuværende nationale evalueringsinstitut (Instituto de Evaluación de Políticas Públicas) for at give det organisatorisk og funktionel uafhængighed; ii) at give instituttet kapacitet og midler til at udøve sine funktioner iii) herunder princippet om systematisk forudgående evaluering af politikker og iv) bevare mandatet for andre organer og agenturer, herunder AIReF.</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147</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 af reformen af lov 7/1985 om lokale administrative ordninger</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loven om gennemførelse af reformen med angivelse af reformens ikrafttræden</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Ikrafttrædelsen af reformen af lov 7/1985 om lokale administrative ordninger. Dette skal have til formål at i) fremskynde og udvide udbredelsen af lokale offentlige tjenester, herunder ved hjælp af digitale midler såsom apps, ii) støtte til små byer i deres levering af offentlige tjenester. Reformen ledsages af en konsekvensanalyse, herunder aspekter vedrørende den finanspolitiske holdbarhed.</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148</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 af Ley de Función Pública de la Administración del Estado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Bestemmelse i loven om gennemførelse af reformen med angivelse af reformens ikrafttræden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 af loven om centralregeringens offentlige tjeneste (Ley de Función Pública de la Administración del Estado). Disse skal styrke administrationens evne til at tiltrække og fastholde det talent, der er nødvendigt for at udføre sine nuværende opgaver, herunder på informations- og telekommunikationsområdet. Den omfatter følgende elementer: i) revitalisering af instrumenterne til planlægning, organisation og forvaltning af menneskelige ressourcer ii) garanti for effektiviteten af principperne om lighed, fortjeneste og adgang samt gennemsigtighed og smidighed i udvælgelsesprocesserne iii) regulering af vurdering og resultater i henhold til en kompetencebaseret ramme, herunder for nyansættelser og iv) adgang til ledende tjenestemandsstillinger (dvs. directores generales og subdirectores generales) baseret på fortjeneste og konkurrence.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149</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Vedtægter for det nye offentlige evalueringsorgan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Bestemmelse i det kongelige dekret om ikrafttrædelse af det kongelige dekret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Ikrafttræden af et kongeligt vedtægtsdekret fra det nye nationale offentlige evalueringsorgan. Formålet med dette kongelige dekret er: ii) at give det nationale offentlige evalueringsorgan kapacitet og midler til at udøve sine funktioner med hensyn til metodologisk standardisering med henblik på forudgående evaluering af offentlige politikker ii) gennemførelse af evalueringer af offentlige politikker og iii) herunder princippet om systematisk forudgående politikevaluering med de undtagelser, der er fastsat i loven.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150</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Stabilisering af beskæftigelsen i den offentlige sektor</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Nummer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0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300 000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ansættelsesprocedurer med henblik på at stabilisere beskæftigelsen (via tidsubegrænsede kontrakter eller vedtægtsomfattede stillinger), der omfatter mindst 300 000 stillinger (herunder dem, der stammer fra stabiliseringsprocedurerne for 2017 og 2018)</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151</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Ikrafttræden af lov nr. 3/2020 om proceduremæssige og organisatoriske foranstaltninger på det retlige område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loven, der angiver lovens ikrafttræden</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2020</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Ikrafttræden af lov nr. 3/2020 af 18. september om proceduremæssige og organisatoriske foranstaltninger til håndtering af covid-19 inden for retsvæsenet.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152</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 af loven om forbedring af de retslige procedurers effektivitet</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loven, der angiver lovens ikrafttræden</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Ikrafttrædelsen af loven om forbedring af effektiviteten af procedurerne i det nationale retssystem (Ley de Eficiencia Procesal), herunder ved i) at gøre mere intensiv brug af teknologi for at sikre en effektiv offentlig service af høj kvalitet, ii) at indføre reformer af retsplejereglerne for at øge tempoet i procedurerne iii) indførelse af alternative metoder til bilæggelse af tvister iv) at indføre reformer af de retsplejeregler, der skal løse tvister, inden de når frem til domstolene v) at opnå en mere effektiv ledelse og en hurtigere reaktion på borgernes og virksomhedernes krav vi) generelt at opnå en mere fleksibel, effektiv, borgervenlig, bæredygtig og gennemsigtig retspleje.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153</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 af kongeligt dekret nr. 937/2020 om regulering af Caja General de Depósitos</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dekretet om dekretets ikrafttræden</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2020</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 af kongeligt dekret nr. 937/2020 af 27. oktober om godkendelse af regulering vedrørende Caja General de Depósitos' indførelse af digital forvaltning af garantier og indskud, hvorved fysisk dokumentation afskaffes. Den kongelige anordning ajourfører proceduren for stiftelse, annullering og fuldbyrdelse af garantier og afdrag på kontanter, der er deponeret i Caja. Den skal også fremme gennemførelsen af elektroniske procedurer i Caja ved at fastlægge regler og kanaler for fremsendelse af elektroniske dokumenter og tilvejebringe de nødvendige retlige rammer for digitalisering af proceduren.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154</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 af kongeligt dekret om godkendelse af forskriften om gennemførelse af lov nr. 22/2015 af 20. juli om revision af regnskaber</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det kongelige dekret om ikrafttrædelse af det kongelige dekret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 af kongeligt dekret om godkendelse af forskriften om gennemførelse af lov nr. 22/2015 af 20. juli 2015 om revision af regnskaber. Denne reform har til formål at skabe de retlige rammer for revisionsaktiviteten med større retssikkerhed, således at revisionsaktivitetens kvalitet opnås. Revisorer, revisionsfirmaer og alle de områder, der berøres af denne forordning, får derfor en højere garanti og sikkerhed, når de fortolker og anvender bestemmelserne i loven om revision, samtidig med at de fører til bedre udførelse af revisioner og opfylder de forpligtelser, der er indeholdt i lovgivningen.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155</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Ikrafttrædelse af ministeriel afgørelse om oprettelse af det nationale evalueringskontor </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Bestemmelse i den ministerielle bekendtgørelse om bekendtgørelsens ikrafttræden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 af den ministerielle afgørelse om oprettelse af det nationale evalueringskontor (</w:t>
            </w:r>
            <w:r>
              <w:rPr>
                <w:rFonts w:ascii="Times New Roman" w:hAnsi="Times New Roman"/>
                <w:i/>
                <w:noProof/>
                <w:color w:val="000000"/>
                <w:sz w:val="18"/>
                <w:szCs w:val="18"/>
              </w:rPr>
              <w:t>Oficina Nacional de Evaluación</w:t>
            </w:r>
            <w:r>
              <w:rPr>
                <w:rFonts w:ascii="Times New Roman" w:hAnsi="Times New Roman"/>
                <w:noProof/>
                <w:color w:val="000000"/>
                <w:sz w:val="18"/>
                <w:szCs w:val="18"/>
              </w:rPr>
              <w:t>) under det uafhængige kontor for regulering af og tilsyn med offentlige indkøb (OIReScon). I overensstemmelse med artikel 333 i lov nr. 9/2017 om offentlige udbud skal dette kontor vurdere koncessionskontrakternes finansielle bæredygtighed som defineret i artikel 14 og 15 i lov nr. 9/2017 om offentlige udbud. Den ministerielle afgørelse giver kontoret beføjelse og midler til at udøve sine funktioner.</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156</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National udbudsstrategi</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Vedtaget af det uafhængige kontor for regulering af og tilsyn med offentlige indkøb gennem den nationale udbudsstrategi</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 overensstemmelse med kravene i artikel 334 i Ley 9/2017 skal den nationale udbudsstrategi have til formål at forbedre effektiviteten og bæredygtigheden af offentlige indkøb. Strategien skal omfatte følgende elementer: i) fremme af strategiske offentlige indkøb ii) professionalisering iii) lette SMV'ers adgang til offentlige udbud iv) forbedring af de tilgængelige data v) at fremme effektiviteten i forbindelse med offentlige indkøb vi) fuld digital omstilling af offentlige indkøb vii) forbedring af retssikkerheden viii) forbedring af tilsynet med og kontrollen med offentlige indkøb, herunder forebyggelse af korruption på grundlag af et kort over identificerede risici.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157</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Ikrafttræden af kongeligt lovdekret nr. 36/2020 om gennemførelse af planen for genopretning, omstilling og modstandsdygtighed</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det kongelige dekret om ikrafttrædelse af det kongelige dekret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Ikrafttrædelsen af det kongelige lovdekret nr. 36/2020 af 30. december om godkendelse af hasteforanstaltninger til modernisering af den offentlige forvaltning og til gennemførelse af den spanske genopretnings- og resiliensplan, som giver de offentlige myndigheder i Spanien midler, herunder retlige instrumenter, til at gennemføre genopretnings- og resiliensplanen rettidigt og i overensstemmelse med EU-retten, herunder forordningen om genopretnings- og resiliensfaciliteten. Det kongelige lovdekret skal indføre lovgivningsmæssige reformer, der fremskynder gennemførelsen af projekter og muliggør større effektivitet i de offentlige udgifter, og som til enhver tid opretholder de garantier og kontroller, der kræves i henhold til EU's regelsæt.</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158</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Oprettelse af nye organer i centralregeringen til opfølgning af gennemførelsen, kontrollen og revisionen af planen.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Offentliggørelse i EUT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Oprettelse af generalsekretariatet for europæiske fonde (Secretaría General de Fondos Europeos) og nye afdelinger i kontoret for budgetinformatik (Oficina de Informática Presupuestaria) og i det nationale revisionskontor (Oficina Nacional de Auditoría) under statsadministrationen (Intervención General de la Administración del Estado) for at fremme en langsigtet resultatbaseret planlægning og kontrol af den administrative kultur gennem erfaring med forvaltning og kontrol af planen i overensstemmelse med bestemmelserne i det kongelige dekret 1182/2020.</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159</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C11.R5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Bekendtgørelse om fastlæggelse af procedurer og format for de oplysninger, der skal udveksles med henblik på overvågning af RRP'en og den regnskabsmæssige gennemførelse af udgifterne</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bekendtgørelsen om bekendtgørelsens ikrafttræden</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Ikrafttræden af bekendtgørelsen, der fastlægger procedurerne for og formatet for de oplysninger, der skal udveksles med henblik på overvågning af RRP'en og den regnskabsmæssige gennemførelse af udgifterne</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160</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Sammenkobling af nationale platforme for offentlige indkøb</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Centrale og regionale offentlige forvaltninger leverer underskrevne certifikater, der bekræfter platformens funktioner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Yderligere sammenkobling (udveksling af data) mellem alle eksisterende platforme for offentlige indkøb (centrale og regionale myndigheder): mindst 142 åbne datafelter 52 aggregerede data på den centrale forvaltningsplatform. Antal åbne datafelter på den centrale forvaltningsplatform i januar 2021: 119 Antal aggregerede data på den centrale forvaltningsplatform i januar 2021: 43</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161</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Tildeling af projekter til støtte for den digitale omstilling af den centrale offentlige forvaltning</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Mio. EUR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960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Offentliggørelse i EUT eller platformen for offentlige indkøb af en tildeling på mindst 960 000 000 EUR til projekter inden for følgende områder: Digital omstilling med hensyn til proaktivitet, mobilitet og brugeroplevelse — Digital omstilling med hensyn til automatisering og datacentreret offentlig forvaltning — Digital omstilling med hensyn til fysisk, logisk infrastruktur og software - Digital omstilling med hensyn til cybersikkerhed.</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162</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projekter til støtte for den digitale omstilling af den centrale offentlige forvaltning</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Attester underskrevet af den kompetente myndighed, der bekræfter, at projekterne er afsluttet og er operationelle</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2025</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projekter tildelt i overensstemmelse med mål afslå 161</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163</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Interoperable platforme til udveksling af socialsikrings- og sundhedsdata</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Centrale og regionale socialsikringsadministrationer leverer underskrevne attester, der bekræfter platformens funktioner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Den centrale forvaltning og regionerne skal have fuldt interoperable platforme, der muliggør udveksling af socialsikringsdata og -oplysninger på følgende områder: i) primær sundhedspleje, ii) hospitalsindlæggelse, iii) sundhedsprofessionelle, lægemiddelordinering/dispensation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164</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Retslig procedure, der skal gennemføres elektronisk</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70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70 % af de 4 056 eksisterende retslige organer skal have den nødvendige infrastruktur til at muliggøre elektronisk opbevaring af mindst 30 % af sagerne. Dette indebærer gennemførelse af telematikretlige foranstaltninger i de forskellige domstolsorganer med fuld retssikkerhed. For at nå dette mål skal alle deltagere have adgang til retssalen via videokonference. Desuden skal det gøre det muligt at skabe fuldt virtuelle retssale, som alle deltagere kan få adgang til via videokonference. Der skal oprettes en platform for umiddelbar nærhed med henblik på at etablere nye modeller for relationer og behandling uden direkte kontakt. Dette skal forbedre borgernes fjernadgang til de tjenester, der leveres af den offentlige forvaltning.</w:t>
            </w:r>
          </w:p>
        </w:tc>
      </w:tr>
      <w:tr>
        <w:trPr>
          <w:trHeight w:val="343"/>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165</w:t>
            </w:r>
          </w:p>
        </w:tc>
        <w:tc>
          <w:tcPr>
            <w:tcW w:w="84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C11.I2</w:t>
            </w:r>
          </w:p>
        </w:tc>
        <w:tc>
          <w:tcPr>
            <w:tcW w:w="84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Tildeling af projekter til støtte for den centrale offentlige forvaltnings projekter som drivkraft for digitalisering</w:t>
            </w:r>
          </w:p>
        </w:tc>
        <w:tc>
          <w:tcPr>
            <w:tcW w:w="137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Mio. EUR</w:t>
            </w:r>
          </w:p>
        </w:tc>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1 205</w:t>
            </w:r>
          </w:p>
        </w:tc>
        <w:tc>
          <w:tcPr>
            <w:tcW w:w="42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Offentliggørelse i EUT eller platformen for offentlige indkøb af tildelingen af projekter inden for følgende områder: Digital omstilling i sundhedssektoren — Den digitale omstilling af justitsforvaltningen — Digital omstilling med hensyn til beskæftigelse Digital omstilling med hensyn til inklusion, social sikring og migration — Den konsulære digitaliseringsplan - Digital omstilling i andre områder af statsforvaltningen.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166</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projekter til støtte for den centrale offentlige forvaltnings projekter som drivkraft for digitalisering</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Attester underskrevet af den kompetente myndighed, der bekræfter, at projekterne er afsluttet og er operationelle</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2025</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projekter tildelt i overensstemmelse med mål afslå 165</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167</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Digitalisering af regionale og lokale enheder</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Ministeriet for Territorial Politik og Offentlig Forvaltning fremlægger en underskrevet attest, der bekræfter, at målet er nået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Selvstyrende regioner og lokale myndigheder har afsluttet projekter inden for de strategiske linjer i den digitale strategi 2025, digitaliseringsplanen for offentlige myndigheder og resten af de moderniseringstiltag, der er planlagt for den offentlige sektor. Navnlig: a) hver selvstyrende region har fuldført mindst ét projekt på en af fem strategiske linjer (1. Administration rettet mod borgerne, 2. Smart drift, 3. En offentlig forvaltning og service, 4. Digitale infrastrukturer og/eller 5. Cybersikkerhed) b) 60 % af de regionale myndigheders digitale procedurer (</w:t>
            </w:r>
            <w:r>
              <w:rPr>
                <w:rFonts w:ascii="Times New Roman" w:hAnsi="Times New Roman"/>
                <w:i/>
                <w:noProof/>
                <w:color w:val="000000"/>
                <w:sz w:val="18"/>
                <w:szCs w:val="18"/>
              </w:rPr>
              <w:t>Comunidades Autónomas</w:t>
            </w:r>
            <w:r>
              <w:rPr>
                <w:rFonts w:ascii="Times New Roman" w:hAnsi="Times New Roman"/>
                <w:noProof/>
                <w:color w:val="000000"/>
                <w:sz w:val="18"/>
                <w:szCs w:val="18"/>
              </w:rPr>
              <w:t xml:space="preserve">) tillader, at de anvendes mobilt (nuværende: 48 %).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168</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Tildeling af projekter til støtte for den digitale omstilling i de regionale og lokale offentlige forvaltninger og ministeriet for territorial politik og offentlig forvaltning</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Mio. EUR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2025</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Offentliggørelse i EUT eller platformen for offentlige indkøb af tildelingen af projekter inden for følgende områder: Digital omstilling med hensyn til proaktivitet, mobilitet og brugeroplevelse — Digital omstilling med hensyn til automatisering og datacentreret offentlig forvaltning — Digital omstilling med hensyn til fysisk, logisk infrastruktur og software - Digital omstilling med hensyn til cybersikkerhed.</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169</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alle projekter til støtte for den digitale omstilling i de regionale og lokale offentlige forvaltninger og ministeriet for territorial politik og offentlig forvaltning</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Attester underskrevet af den kompetente myndighed, der bekræfter, at projekterne er afsluttet og er operationelle</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alle projekter, der dækker følgende områder (i overensstemmelse med mål #168) — digital omstilling med hensyn til proaktivitet, mobilitet, brugeroplevelse — digital omstilling i form af automatisering og datacentreret offentlig forvaltning — digital omstilling i form af fysisk, logisk infrastruktur og software. - Digital omstilling med hensyn til cybersikkerhed.</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170</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Renovering af køretøjer i den offentlige forvaltning</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7 000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7 000 nulemissionskøretøjer eller køretøjer med lave CO2-emissioner (BEV, REEV, PHEV, FCEV), der erstatter køretøjer baseret på fossile brændstoffer, der anvendes i den offentlige forvaltning.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171</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-Energirenovering af offentlige bygninger (140 000 m</w:t>
            </w:r>
            <w:r>
              <w:rPr>
                <w:rFonts w:ascii="Times New Roman" w:hAnsi="Times New Roman"/>
                <w:noProof/>
                <w:color w:val="000000"/>
                <w:sz w:val="18"/>
                <w:szCs w:val="18"/>
                <w:vertAlign w:val="superscript"/>
              </w:rPr>
              <w:t>2</w:t>
            </w:r>
            <w:r>
              <w:rPr>
                <w:rFonts w:ascii="Times New Roman" w:hAnsi="Times New Roman"/>
                <w:noProof/>
                <w:color w:val="000000"/>
                <w:sz w:val="18"/>
                <w:szCs w:val="18"/>
              </w:rPr>
              <w:t>)</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Antal (m</w:t>
            </w:r>
            <w:r>
              <w:rPr>
                <w:rFonts w:ascii="Times New Roman" w:hAnsi="Times New Roman"/>
                <w:noProof/>
                <w:color w:val="000000"/>
                <w:sz w:val="18"/>
                <w:szCs w:val="18"/>
                <w:vertAlign w:val="superscript"/>
              </w:rPr>
              <w:t>2</w:t>
            </w:r>
            <w:r>
              <w:rPr>
                <w:rFonts w:ascii="Times New Roman" w:hAnsi="Times New Roman"/>
                <w:noProof/>
                <w:color w:val="000000"/>
                <w:sz w:val="18"/>
                <w:szCs w:val="18"/>
              </w:rPr>
              <w: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140 000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Mindst 140 000 m² energirenovering på offentlige bygninger, hvorved der opnås en gennemsnitlig reduktion af primærenergiefterspørgslen på mindst 30 %.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172</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-Energirenovering i offentlige bygninger (1 000 000 m</w:t>
            </w:r>
            <w:r>
              <w:rPr>
                <w:rFonts w:ascii="Times New Roman" w:hAnsi="Times New Roman"/>
                <w:noProof/>
                <w:color w:val="000000"/>
                <w:sz w:val="18"/>
                <w:szCs w:val="18"/>
                <w:vertAlign w:val="superscript"/>
              </w:rPr>
              <w:t>2</w:t>
            </w:r>
            <w:r>
              <w:rPr>
                <w:rFonts w:ascii="Times New Roman" w:hAnsi="Times New Roman"/>
                <w:noProof/>
                <w:color w:val="000000"/>
                <w:sz w:val="18"/>
                <w:szCs w:val="18"/>
              </w:rPr>
              <w:t>)</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Antal (m</w:t>
            </w:r>
            <w:r>
              <w:rPr>
                <w:rFonts w:ascii="Times New Roman" w:hAnsi="Times New Roman"/>
                <w:noProof/>
                <w:color w:val="000000"/>
                <w:sz w:val="18"/>
                <w:szCs w:val="18"/>
                <w:vertAlign w:val="superscript"/>
              </w:rPr>
              <w:t>2</w:t>
            </w:r>
            <w:r>
              <w:rPr>
                <w:rFonts w:ascii="Times New Roman" w:hAnsi="Times New Roman"/>
                <w:noProof/>
                <w:color w:val="000000"/>
                <w:sz w:val="18"/>
                <w:szCs w:val="18"/>
              </w:rPr>
              <w: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140 000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1 000 000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1 000 000 m² energirenovering i offentlige bygninger, hvorved der opnås en gennemsnitlig reduktion af primærenergiefterspørgslen på mindst 30 %. (referenceniveau: 31. december 2024).</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173</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Integreret informationssystem for genopretnings- og resiliensfaciliteten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Revisionsrapport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Gennemførelse af et system, der skal muliggøre a) upload af genopretnings- og resiliensplanen og af oplysninger om gennemførelse og overvågning af opfyldelsen af delmål og mål b) til udarbejdelse af forvaltningserklæringer og revisionsresuméer samt betalingsanmodninger og c) at indsamle og lagre data om støttemodtagere, kontrahenter, underleverandører og reelle ejere i overensstemmelse med artikel 22 i forordningen om genopretnings- og resiliensfaciliteten. Der skal udarbejdes en særlig revisionsrapport om det anvendte system. Hvis der i rapporten konstateres svagheder, skal der i revisionsrapporten anbefales korrigerende foranstaltninger.</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174</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Nye kommunikationsværktøjer og -aktiviteter</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2 fællesskabsledere rekrutterede for at øge tilstedeværelsen af sociale medier og øge antallet af potentielle deltagere og støttemodtagere i planen for at få kendskab til planens muligheder og 2 websteder er operationelle med henblik på at bidrage til at maksimere absorptionen af ressourcer.</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175</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C11.I5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Personale fra den offentlige forvaltning uddannet </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3 150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Mindst 3 150 ansatte i den offentlige forvaltning er blevet uddannet i områder vedrørende gennemførelse, kontrol og revision af genopretnings- og resiliensplanen (RRP) </w:t>
            </w:r>
          </w:p>
        </w:tc>
      </w:tr>
    </w:tbl>
    <w:p>
      <w:pPr>
        <w:spacing w:before="120" w:after="120" w:line="240" w:lineRule="auto"/>
        <w:ind w:left="709"/>
        <w:jc w:val="both"/>
        <w:rPr>
          <w:rFonts w:ascii="Times New Roman" w:hAnsi="Times New Roman" w:cs="Times New Roman"/>
          <w:noProof/>
          <w:sz w:val="24"/>
        </w:rPr>
        <w:sectPr>
          <w:headerReference w:type="even" r:id="rId145"/>
          <w:headerReference w:type="default" r:id="rId146"/>
          <w:footerReference w:type="even" r:id="rId147"/>
          <w:footerReference w:type="default" r:id="rId148"/>
          <w:headerReference w:type="first" r:id="rId149"/>
          <w:footerReference w:type="first" r:id="rId150"/>
          <w:pgSz w:w="16839" w:h="11907" w:orient="landscape"/>
          <w:pgMar w:top="1417" w:right="1134" w:bottom="1417" w:left="1134" w:header="709" w:footer="709" w:gutter="0"/>
          <w:cols w:space="720"/>
          <w:docGrid w:linePitch="360"/>
        </w:sectPr>
      </w:pPr>
    </w:p>
    <w:p>
      <w:pPr>
        <w:pStyle w:val="Heading1"/>
        <w:rPr>
          <w:noProof/>
        </w:rPr>
      </w:pPr>
      <w:r>
        <w:rPr>
          <w:noProof/>
        </w:rPr>
        <w:t>L. KOMPONENT 12: Industripolitik</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komponent 12 i den spanske genopretnings- og resiliensplan er at fremme moderniseringen og produktiviteten af det spanske økosystem for industritjenester gennem en hurtigere indførelse af den digitale og grønne omstilling.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komponent i den spanske genopretnings- og resiliensplan bidrager til at efterkomme den landespecifikke henstilling nr. 3 fra 2019 om fremme af investeringer i innovation og energieffektivitet. Den er også i overensstemmelse med den landespecifikke henstilling nr. 3 fra 2020 (ved at fremme offentlige og private investeringer og ved at fremme den grønne omstilling). Komponenten skal også bidrage til at efterkomme den landespecifikke henstilling nr. 2 fra 2019 om fremme af samarbejdet mellem erhvervslivet og uddannelse med henblik på at tilvejebringe arbejdsmarkedsrelevante kvalifikationer og den landespecifikke henstilling nr. 1 fra 2020 om styrkelse af sundhedssystemets modstandsdygtighed.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Et af målene med de foranstaltninger, der indgår i komponenten, er at gøre det lettere for spanske virksomheder at deltage i planlagte vigtige projekter af fælleseuropæisk interesse.</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L.1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1 (C12.R1) — Spaniens strategi til fremme af industrien 2030</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 spanske strategi for at sætte skub i Industri 2030 er at tilpasse de lovgivningsmæssige rammer for at hjælpe industrien med at klare udfordringerne i forbindelse med servitisering digitalisering, miljømæssig bæredygtighed og den cirkulære økonomi. Strategien skal navnlig omfatte en reform af industriloven fra 1992. Formålet med foranstaltningen er at forbedre koordineringsmekanismerne mellem de forskellige forvaltningsniveauer inden for industripolitik og forbedre industriens kvalitet og sikkerhed gennem et styrket markedstilsynssystem i overensstemmelse med Europa-Parlamentets og Rådets forordning (EU) 2019/1020 af 20. juni 2019 om markedsovervågning og produktoverensstemmelse og om ændring af direktiv 2004/42/EF og forordning (EF) nr. 765/2008 og (EU) nr. 305/2011[</w:t>
      </w:r>
      <w:r>
        <w:rPr>
          <w:rStyle w:val="FootnoteReference"/>
          <w:rFonts w:ascii="Times New Roman" w:hAnsi="Times New Roman" w:cs="Times New Roman"/>
          <w:noProof/>
          <w:sz w:val="24"/>
          <w:szCs w:val="24"/>
          <w:lang w:val="en-IE"/>
        </w:rPr>
        <w:footnoteReference w:id="16"/>
      </w:r>
      <w:r>
        <w:rPr>
          <w:rFonts w:ascii="Times New Roman" w:hAnsi="Times New Roman"/>
          <w:noProof/>
          <w:sz w:val="24"/>
          <w:szCs w:val="24"/>
        </w:rPr>
        <w:t>]. Endelig skal definitionen af overtrædelser inden for industripolitikken revideres, og sanktionsniveauet skal ajourføres.</w:t>
      </w:r>
    </w:p>
    <w:p>
      <w:pPr>
        <w:spacing w:before="120" w:after="120" w:line="240" w:lineRule="auto"/>
        <w:jc w:val="both"/>
        <w:rPr>
          <w:rFonts w:ascii="Times New Roman" w:hAnsi="Times New Roman" w:cs="Times New Roman"/>
          <w:noProof/>
          <w:sz w:val="24"/>
        </w:rPr>
      </w:pPr>
      <w:r>
        <w:rPr>
          <w:rFonts w:ascii="Times New Roman" w:hAnsi="Times New Roman"/>
          <w:bCs/>
          <w:noProof/>
          <w:sz w:val="24"/>
        </w:rPr>
        <w:t>Gennemførelsen af reformerne skal være afsluttet senest den 31. december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2 (C12.R2) — Affaldspolitik og fremme af den cirkulære økonomi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foranstaltningen er at fremme produktions- og forbrugsmodeller, der bevarer produkter, materialer og naturressourcer i økonomien så længe som muligt. Målet er at reducere affaldsproduktionen til et minimum og sikre fuld udnyttelse af affald, som ikke må undgås. Denne reform omfatter godkendelse af en spansk strategi for den cirkulære økonomi i juni 2020 i overensstemmelse med EU's handlingsplaner for den cirkulære økonomi.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Foranstaltningen omfatter også en pakke af retsakter om den cirkulære økonomi med henblik på at regulere overførsel og bortskaffelse af affald og håndtering af udtjente dæk samt foranstaltninger vedrørende udrangerede køretøjer. Med henblik herpå blev kongeligt dekret 553/2020 af 2. juni 2020, 646/2020 af 7. juli 2020 og 731/2020 af 4. august 2020 og kongeligt dekret 27/2021 af 19. januar og 265/2021 af 13. april godkendt. Reformen skal desuden omfatte ministerrådets godkendelse af reguleringsforanstaltninger vedrørende emballage og emballageaffald i løbet af 2022.</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Endelig skal foranstaltningen omfatte ikrafttrædelsen af en lov om affald og forurenet jord senest den 31. december 2022. Loven skal indeholde: </w:t>
      </w:r>
    </w:p>
    <w:p>
      <w:pPr>
        <w:numPr>
          <w:ilvl w:val="0"/>
          <w:numId w:val="66"/>
        </w:num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rammedirektivet om affald og direktivet om engangsplast samt en tilpasning af de spanske bestemmelser i lyset af erfaringerne fra de seneste ti år </w:t>
      </w:r>
    </w:p>
    <w:p>
      <w:pPr>
        <w:numPr>
          <w:ilvl w:val="0"/>
          <w:numId w:val="66"/>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Indførelse af EU's mål for affald og forpligtelser til særskilt indsamling, der følger af EU-lovgivningen, og foregriber gennemførelsen heraf i bioaffald i kommuner med over 5 000 indbyggere. Desuden indfører foranstaltningen særskilte indsamlingsforpligtelser, der går videre end de krav, der er fastsat i EU-retten.</w:t>
      </w:r>
    </w:p>
    <w:p>
      <w:pPr>
        <w:numPr>
          <w:ilvl w:val="0"/>
          <w:numId w:val="66"/>
        </w:numPr>
        <w:spacing w:before="120" w:after="120" w:line="240" w:lineRule="auto"/>
        <w:jc w:val="both"/>
        <w:rPr>
          <w:rFonts w:ascii="Times New Roman" w:hAnsi="Times New Roman" w:cs="Times New Roman"/>
          <w:noProof/>
          <w:sz w:val="24"/>
        </w:rPr>
      </w:pPr>
      <w:r>
        <w:rPr>
          <w:rFonts w:ascii="Times New Roman" w:hAnsi="Times New Roman"/>
          <w:noProof/>
          <w:sz w:val="24"/>
        </w:rPr>
        <w:t>Revision af forordningen om udvidet producentansvar og etablering af et nyt regelsæt (som kræves i henhold til EU "s forordninger og yderligere forordninger) og</w:t>
      </w:r>
    </w:p>
    <w:p>
      <w:pPr>
        <w:numPr>
          <w:ilvl w:val="0"/>
          <w:numId w:val="66"/>
        </w:numPr>
        <w:spacing w:before="120" w:after="120" w:line="240" w:lineRule="auto"/>
        <w:jc w:val="both"/>
        <w:rPr>
          <w:rFonts w:ascii="Times New Roman" w:hAnsi="Times New Roman" w:cs="Times New Roman"/>
          <w:noProof/>
          <w:sz w:val="24"/>
        </w:rPr>
      </w:pPr>
      <w:r>
        <w:rPr>
          <w:rFonts w:ascii="Times New Roman" w:hAnsi="Times New Roman"/>
          <w:noProof/>
          <w:sz w:val="24"/>
        </w:rPr>
        <w:t>Indførelse af statsbeskatning af affald (herunder deponering, forbrænding og kombineret forbrænding og engangsplastbeholdere).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31. december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Investeringer (C12.I1) — Sektordataområder til digitalisering af strategiske produktionssektorer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Formålet med denne foranstaltning er at skabe sikre og store dataområder i strategiske industrisektorer såsom landbrugsfødevarer, bæredygtig mobilitet, sundhed og den kommercielle sektor. Innovation, effektivitet og stordriftsfordele skal fremmes gennem udvikling af fælles komponenter (byggesten) og gennem deling af fælles infrastrukturer og data (cloudplatforme, supercomputer- og lagringsnetværk, big data-analyse og kunstig intelligens). </w:t>
      </w:r>
    </w:p>
    <w:p>
      <w:pPr>
        <w:spacing w:before="120" w:after="120" w:line="240" w:lineRule="auto"/>
        <w:jc w:val="both"/>
        <w:rPr>
          <w:rFonts w:ascii="Times New Roman" w:hAnsi="Times New Roman" w:cs="Times New Roman"/>
          <w:noProof/>
          <w:sz w:val="24"/>
        </w:rPr>
      </w:pPr>
      <w:r>
        <w:rPr>
          <w:rFonts w:ascii="Times New Roman" w:hAnsi="Times New Roman"/>
          <w:bCs/>
          <w:noProof/>
          <w:sz w:val="24"/>
        </w:rPr>
        <w:t>Forvaltningsstrukturerne styrkes med henblik på at udforme offentlig-privat samarbejde om udvikling af dataområder. Desuden skal der fastlægges mekanismer til sikring af interoperabilitet, og der skal udvikles passende regler og mekanismer til fremme af dataudveksling mellem virksomheder. Investeringen vil blive gennemført i overensstemmelse med Europa-Kommissionens meddelelse "En europæisk datastrategi" [</w:t>
      </w:r>
      <w:r>
        <w:rPr>
          <w:rStyle w:val="FootnoteReference"/>
          <w:rFonts w:ascii="Times New Roman" w:hAnsi="Times New Roman" w:cs="Times New Roman"/>
          <w:bCs/>
          <w:noProof/>
          <w:sz w:val="24"/>
          <w:lang w:val="en-IE"/>
        </w:rPr>
        <w:footnoteReference w:id="17"/>
      </w:r>
      <w:r>
        <w:rPr>
          <w:rFonts w:ascii="Times New Roman" w:hAnsi="Times New Roman"/>
          <w:bCs/>
          <w:noProof/>
          <w:sz w:val="24"/>
        </w:rPr>
        <w:t>] og de foranstaltninger, der er fastsat heri, navnlig den kommende datalov og forvaltningsforordning [</w:t>
      </w:r>
      <w:r>
        <w:rPr>
          <w:rStyle w:val="FootnoteReference"/>
          <w:rFonts w:ascii="Times New Roman" w:hAnsi="Times New Roman" w:cs="Times New Roman"/>
          <w:bCs/>
          <w:noProof/>
          <w:sz w:val="24"/>
          <w:lang w:val="en-IE"/>
        </w:rPr>
        <w:footnoteReference w:id="18"/>
      </w:r>
      <w:r>
        <w:rPr>
          <w:rFonts w:ascii="Times New Roman" w:hAnsi="Times New Roman"/>
          <w:bCs/>
          <w:noProof/>
          <w:sz w:val="24"/>
        </w:rPr>
        <w:t xml:space="preserve">] samt EU Cloud Federation. Synergier skal sikre komplementaritet med programmet for et digitalt Europa [ </w:t>
      </w:r>
      <w:r>
        <w:rPr>
          <w:rStyle w:val="FootnoteReference"/>
          <w:rFonts w:ascii="Times New Roman" w:hAnsi="Times New Roman" w:cs="Times New Roman"/>
          <w:bCs/>
          <w:noProof/>
          <w:sz w:val="24"/>
          <w:lang w:val="en-IE"/>
        </w:rPr>
        <w:footnoteReference w:id="19"/>
      </w:r>
      <w:r>
        <w:rPr>
          <w:rFonts w:ascii="Times New Roman" w:hAnsi="Times New Roman"/>
          <w:bCs/>
          <w:noProof/>
          <w:sz w:val="24"/>
        </w:rPr>
        <w:t>]. Investeringen vil også blive tilpasset de vigtigste referencer og standarder, f.eks. dem, der fremmes af International Data Spaces Association (IDS).</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Der er planlagt mindst fire sektorspecifikke og interoperable dataområder af høj værdi inden den 31. december 2023 i landbrugsfødevaresektoren, sektoren for bæredygtig mobilitet, sundhedssektoren og handelssektoren.</w:t>
      </w:r>
      <w:r>
        <w:rPr>
          <w:rFonts w:ascii="Times New Roman" w:hAnsi="Times New Roman"/>
          <w:noProof/>
          <w:sz w:val="24"/>
          <w:u w:val="single"/>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Gennemførelsen af investeringen skal være afsluttet senest den 30. juni 2026.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Investeringer 2 (C12.I2) — Program til fremme af konkurrenceevne og industriel bæredygtighed </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Formålet med denne foranstaltning er at fremme omstillingen af strategiske sektorer, der er afgørende for den industrielle omstilling i Spanien, såsom bil- og elkøretøjer, landbrugsfødevarer, sundhed, luftfarts- og flådesektoren, industrisektorer, der er knyttet til vedvarende energi, og kapacitet til design og produktion af processorer og halvlederteknologier. Der ydes som minimum støtte til store strategiske projekter under denne aktion (såkaldte "PERTE-projekter"), der omfatter hele værdikæden i den relevante sektor, herunder støtte til SMV'er. </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foranstaltning skal også finansiere mindre projekter, såsom industriel simulering, avancerede materialer, virtual reality og kollaborativ og kognitiv robotteknologi. Foranstaltningen skal yderligere støtte bæredygtige industrielle infrastrukturer såsom industriparker eller logistikområder. Som led i dette element i foranstaltningen skal den spanske genopretnings- og resiliensplan finansiere mindst 78 innovative projekter, der omfatter en væsentlig industriel omstilling med hensyn til energieffektivitet, bæredygtighed og digital omstilling.</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Når Ministerrådet har godkendt et PERTE-projekt, iværksætter det relevante ministerium en indkaldelse af bud med det formål at modtage specifikke forslag, der skal udvikles under det godkendte PERTE-projekt. Gennemførelsen af støtteforanstaltninger, der kan udgøre statsstøtte i overensstemmelse med artikel 107 i TEUF, og som kan kræve forudgående anmeldelse til Kommissionen, må ikke finde sted, før Spanien har fået Kommissionens godkendelse af statsstøtte. </w:t>
      </w:r>
    </w:p>
    <w:p>
      <w:pPr>
        <w:pStyle w:val="Text1"/>
        <w:ind w:left="0"/>
        <w:rPr>
          <w:noProof/>
        </w:rPr>
      </w:pPr>
      <w:r>
        <w:rPr>
          <w:noProof/>
        </w:rPr>
        <w:t>Ministerrådets afgørelse om godkendelse af et PERTE-projekt skal indeholde detaljerede udvælgelseskriterier for at sikre overholdelse af den tekniske vejledning om DNSH-princippet (2021/C58/01). 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20"/>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21"/>
      </w:r>
      <w:r>
        <w:rPr>
          <w:noProof/>
        </w:rPr>
        <w:t xml:space="preserve"> iii) kompensation for indirekte ETS-omkostninger iv) aktiviteter i forbindelse med affaldsdeponeringsanlæg</w:t>
      </w:r>
      <w:r>
        <w:rPr>
          <w:rStyle w:val="FootnoteReference"/>
          <w:noProof/>
          <w:lang w:val="en-IE"/>
        </w:rPr>
        <w:footnoteReference w:id="22"/>
      </w:r>
      <w:r>
        <w:rPr>
          <w:noProof/>
        </w:rPr>
        <w:t>, forbrændingsanlæg og anlæg til mekanisk-biologisk behandling</w:t>
      </w:r>
      <w:r>
        <w:rPr>
          <w:rStyle w:val="FootnoteReference"/>
          <w:noProof/>
          <w:lang w:val="en-IE"/>
        </w:rPr>
        <w:footnoteReference w:id="23"/>
      </w:r>
      <w:r>
        <w:rPr>
          <w:noProof/>
        </w:rPr>
        <w:t xml:space="preserve"> og v) aktiviteter, hvor langsigtet bortskaffelse af affald kan skade miljøet. Mandatet skal desuden kræve, at kun aktiviteter, der er i overensstemmelse med relevant EU- og national miljølovgivning, kan udvælges. </w:t>
      </w:r>
    </w:p>
    <w:p>
      <w:pPr>
        <w:pStyle w:val="Text1"/>
        <w:ind w:left="0"/>
        <w:rPr>
          <w:iCs/>
          <w:noProof/>
          <w:highlight w:val="green"/>
        </w:rPr>
      </w:pPr>
      <w:r>
        <w:rPr>
          <w:noProof/>
        </w:rPr>
        <w:t>Følgende F &amp; D &amp; I-aktioner under denne investering anses for at være i overensstemmelse med den tekniske vejledning om DNSH-princippet (2021/C58/01): F &amp; D &amp; I-aktioner under denne investering, der har til formål i væsentlig grad at øge virksomhedernes miljømæssige bæredygtighed (f.eks. dekarbonisering, reduktion af forurening og den cirkulære økonomi), hvis det primære fokus for F &amp; D &amp; I-aktioner under denne investering er at udvikle eller tilpasse alternativer med de lavest mulige miljøvirkninger i sektoren.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Udvælgelseskriterierne skal sikre, at mindst 455 000 000 EUR bidrager til klimamålene med en klimakoefficient på 100 % og mindst 1 500 000 000 EUR med en klimakoefficient på 40 % i overensstemmelse med bilag VI til Europa-Parlamentets og Rådets forordning (EU) 2021/241 af 12. februar 2021 om oprettelse af genopretnings- og resiliensfaciliteten[</w:t>
      </w:r>
      <w:r>
        <w:rPr>
          <w:rStyle w:val="FootnoteReference"/>
          <w:rFonts w:ascii="Times New Roman" w:hAnsi="Times New Roman" w:cs="Times New Roman"/>
          <w:noProof/>
          <w:sz w:val="24"/>
          <w:szCs w:val="24"/>
          <w:lang w:val="en-IE"/>
        </w:rPr>
        <w:footnoteReference w:id="24"/>
      </w:r>
      <w:r>
        <w:rPr>
          <w:rFonts w:ascii="Times New Roman" w:hAnsi="Times New Roman"/>
          <w:noProof/>
          <w:sz w:val="24"/>
          <w:szCs w:val="24"/>
        </w:rPr>
        <w:t>]. Alternativt skal udvælgelseskriterierne, hvis det er velbegrundet ved at give en forklaring på årsagerne til, at den alternative tilgang måske ikke er mulig, sikre, at mindst 2 531 500 000 EUR bidrager til klimamålene med en gennemsnitlig klimakoefficient på mindst 40 % i overensstemmelse med bilag VI til forordning (EU) 2021/241.</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Gennemførelsen af investeringen skal være afsluttet senest den 30. juni 2026.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3 (C12.I3) — plan til støtte for gennemførelsen af affaldslovgivningen og fremme af den cirkulære økonomi</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Formålet med denne foranstaltning er at bidrage til at fremme den cirkulære økonomi i Spanien ved at finansiere projekter, der har til formål at gennemføre den nationale ramme for affaldsregulering og nå EU's mål på affaldsområdet, samt innovative projekter inden for den cirkulære økonomi i den private sektor for at lette overgangen til den cirkulære økonomi. </w:t>
      </w:r>
    </w:p>
    <w:p>
      <w:pPr>
        <w:spacing w:before="120" w:after="120" w:line="240" w:lineRule="auto"/>
        <w:jc w:val="both"/>
        <w:rPr>
          <w:rFonts w:ascii="Times New Roman" w:hAnsi="Times New Roman" w:cs="Times New Roman"/>
          <w:noProof/>
          <w:sz w:val="24"/>
        </w:rPr>
      </w:pPr>
      <w:r>
        <w:rPr>
          <w:rFonts w:ascii="Times New Roman" w:hAnsi="Times New Roman"/>
          <w:noProof/>
          <w:sz w:val="24"/>
        </w:rPr>
        <w:t>Foranstaltningen skal støtte opgraderingen af eksisterende særskilte affaldsindsamlingssystemer, foranstaltninger under denne investering i indsamlingssteder med henblik på at fremme genanvendelse, opførelse af nye affaldsbehandlingsanlæg og forøgelse af ressourceeffektiviteten i eksisterende anlæg til mekanisk-biologisk behandling uden at øge deres levetid eller kapacitet, hvilket skal verificeres på anlægsniveau. Målet med foranstaltningen skal også omfatte digitale løsninger på området og fremme af den cirkulære økonomi på virksomhedsniveau. Det foreslåede mål er at have gennemført mindst 30 af de planlagte projekter. Foranstaltningen skal nå op på mindst 30 % af særskilt indsamlet kommunalt affald som en andel af det samlede kommunale affald, der blev produceret i 2024 (2024 data skal foreligge i 2026) i overensstemmelse med direktiv 2008/98/EF.</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25"/>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26"/>
      </w:r>
      <w:r>
        <w:rPr>
          <w:noProof/>
        </w:rPr>
        <w:t xml:space="preserve"> iii) Aktiviteter i forbindelse med affaldsdeponeringsanlæg, forbrændingsanlæg</w:t>
      </w:r>
      <w:r>
        <w:rPr>
          <w:rStyle w:val="FootnoteReference"/>
          <w:noProof/>
          <w:lang w:val="en-IE"/>
        </w:rPr>
        <w:footnoteReference w:id="27"/>
      </w:r>
      <w:r>
        <w:rPr>
          <w:noProof/>
        </w:rPr>
        <w:t xml:space="preserve"> og anlæg til mekanisk-biologisk behandling</w:t>
      </w:r>
      <w:r>
        <w:rPr>
          <w:rStyle w:val="FootnoteReference"/>
          <w:noProof/>
          <w:lang w:val="en-IE"/>
        </w:rPr>
        <w:footnoteReference w:id="28"/>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vil være afsluttet senest den 30. juni 2026. </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noProof/>
          <w:sz w:val="24"/>
          <w:u w:val="single"/>
        </w:rPr>
        <w:t xml:space="preserve">L.2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sz w:val="24"/>
          <w:u w:val="single"/>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medmindre andet er angivet i beskrivelsen af foranstaltningen. Beløbene i tabellen omfatter ikke moms.</w:t>
      </w:r>
    </w:p>
    <w:p>
      <w:pPr>
        <w:spacing w:before="120" w:after="120" w:line="240" w:lineRule="auto"/>
        <w:ind w:left="709"/>
        <w:jc w:val="both"/>
        <w:rPr>
          <w:rFonts w:ascii="Times New Roman" w:hAnsi="Times New Roman" w:cs="Times New Roman"/>
          <w:noProof/>
          <w:sz w:val="24"/>
          <w:lang w:val="en-IE"/>
        </w:rPr>
      </w:pPr>
    </w:p>
    <w:p>
      <w:pPr>
        <w:spacing w:before="120" w:after="120" w:line="240" w:lineRule="auto"/>
        <w:jc w:val="both"/>
        <w:rPr>
          <w:rFonts w:ascii="Times New Roman" w:hAnsi="Times New Roman" w:cs="Times New Roman"/>
          <w:noProof/>
          <w:sz w:val="24"/>
          <w:lang w:val="en-IE"/>
        </w:rPr>
        <w:sectPr>
          <w:headerReference w:type="even" r:id="rId151"/>
          <w:headerReference w:type="default" r:id="rId152"/>
          <w:footerReference w:type="even" r:id="rId153"/>
          <w:footerReference w:type="default" r:id="rId154"/>
          <w:headerReference w:type="first" r:id="rId155"/>
          <w:footerReference w:type="first" r:id="rId156"/>
          <w:pgSz w:w="11907" w:h="16839"/>
          <w:pgMar w:top="1134" w:right="1417" w:bottom="1134" w:left="1417" w:header="709" w:footer="709" w:gutter="0"/>
          <w:cols w:space="720"/>
          <w:docGrid w:linePitch="360"/>
        </w:sectPr>
      </w:pPr>
    </w:p>
    <w:tbl>
      <w:tblPr>
        <w:tblW w:w="1519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323"/>
        <w:gridCol w:w="1087"/>
        <w:gridCol w:w="851"/>
        <w:gridCol w:w="425"/>
        <w:gridCol w:w="567"/>
        <w:gridCol w:w="425"/>
        <w:gridCol w:w="567"/>
        <w:gridCol w:w="7542"/>
      </w:tblGrid>
      <w:tr>
        <w:trPr>
          <w:trHeight w:val="309"/>
          <w:tblHeader/>
        </w:trPr>
        <w:tc>
          <w:tcPr>
            <w:tcW w:w="709"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both"/>
              <w:rPr>
                <w:rFonts w:ascii="Times New Roman" w:hAnsi="Times New Roman" w:cs="Times New Roman"/>
                <w:noProof/>
                <w:color w:val="000000"/>
                <w:sz w:val="18"/>
                <w:szCs w:val="18"/>
              </w:rPr>
            </w:pPr>
            <w:r>
              <w:rPr>
                <w:rFonts w:ascii="Times New Roman" w:hAnsi="Times New Roman"/>
                <w:b/>
                <w:noProof/>
                <w:color w:val="000000"/>
                <w:sz w:val="18"/>
                <w:szCs w:val="18"/>
              </w:rPr>
              <w:t>Nummer</w:t>
            </w:r>
          </w:p>
        </w:tc>
        <w:tc>
          <w:tcPr>
            <w:tcW w:w="851"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Foranstaltning</w:t>
            </w:r>
          </w:p>
        </w:tc>
        <w:tc>
          <w:tcPr>
            <w:tcW w:w="850"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Milepæl/mål</w:t>
            </w:r>
          </w:p>
        </w:tc>
        <w:tc>
          <w:tcPr>
            <w:tcW w:w="1323"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Betegnelse</w:t>
            </w:r>
          </w:p>
        </w:tc>
        <w:tc>
          <w:tcPr>
            <w:tcW w:w="108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lang w:val="en-IE"/>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Kvantitativ indikator for målet</w:t>
            </w:r>
          </w:p>
        </w:tc>
        <w:tc>
          <w:tcPr>
            <w:tcW w:w="99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Tid</w:t>
            </w:r>
          </w:p>
        </w:tc>
        <w:tc>
          <w:tcPr>
            <w:tcW w:w="7542"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p>
          <w:p>
            <w:pPr>
              <w:spacing w:after="0" w:line="240" w:lineRule="auto"/>
              <w:jc w:val="center"/>
              <w:rPr>
                <w:rFonts w:ascii="Times New Roman" w:hAnsi="Times New Roman" w:cs="Times New Roman"/>
                <w:noProof/>
                <w:color w:val="000000"/>
                <w:sz w:val="18"/>
                <w:szCs w:val="18"/>
              </w:rPr>
            </w:pPr>
            <w:r>
              <w:rPr>
                <w:rFonts w:ascii="Times New Roman" w:hAnsi="Times New Roman"/>
                <w:b/>
                <w:noProof/>
                <w:sz w:val="18"/>
                <w:szCs w:val="18"/>
              </w:rPr>
              <w:t>Beskrivelse af hver milepæl og hvert mål</w:t>
            </w:r>
          </w:p>
        </w:tc>
      </w:tr>
      <w:tr>
        <w:trPr>
          <w:trHeight w:val="309"/>
          <w:tblHeader/>
        </w:trPr>
        <w:tc>
          <w:tcPr>
            <w:tcW w:w="709"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851"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850"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1323"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108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szCs w:val="18"/>
              </w:rPr>
              <w:t>Kvalitativ indikator for milepæle</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7542"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lang w:val="en-IE"/>
              </w:rPr>
            </w:pP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176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C12.R1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Industrilovens ikrafttræden</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 i loven, der angiver lovens ikrafttræden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Loven har til formål at forbedre koordineringsmekanismerne mellem de forskellige forvaltningsniveauer inden for industripolitik og forbedre industriens kvalitet og sikkerhed gennem et styrket markedstilsynssystem i overensstemmelse med Europa-Parlamentets og Rådets forordning (EU) 2019/1020 af 20. juni 2019 om markedsovervågning og produktoverensstemmelse og om ændring af direktiv 2004/42/EF og forordning (EF) nr. 765/2008 og (EU) nr. 305/2011. Endelig revideres definitionen af overtrædelser på området, og sanktionsniveauet ajourføres.</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177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Spansk strategi for den cirkulære økonomi (EEEC)</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Godkendelse af den spanske strategi for den cirkulære økonomi (EEEC). Det danner grundlag for at fremme en ny produktions- og forbrugsmodel, hvor værdien af produkter, materialer og ressourcer opretholdes så længe som muligt, hvor affaldsproduktionen minimeres, og det affald, der ikke kan undgås, udnyttes fuldt ud.</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178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de retsakter, der indgår i politikpakken om cirkulær økonomi</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den kongelige anordning om lovens ikrafttræden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Pakken om cirkulær økonomi omfatter: Kongeligt dekret 731/2020 af 4. august om ændring af kongeligt dekret 1619/2005 af 30. december om forvaltning af udtjente dæk. Kongeligt dekret 646/2020 af 7. juli om deponering af affald. Kongeligt dekret nr. 553/2020 af 2. juni om overførsel af affald inden for statens område. Kongeligt dekret 27/2021 af 19. januar og 265/2021 af 13. april. Ministerrådets kommende godkendelse af reguleringsforanstaltninger vedrørende emballage og emballageaffald i løbet af 2022.</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179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loven om affald og forurenet jord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Bestemmelse i loven, der angiver lovens ikrafttræden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Loven skal indeholde: i) Gennemførelsen af rammedirektivet om affald og direktivet om engangsplast samt ajourføring af de spanske bestemmelser i lyset af erfaringerne fra de seneste ti år ii) Indførelse af EU-mål vedrørende affald og forpligtelser til særskilt indsamling, der følger af EU-lovgivningen, og foregriber gennemførelsen heraf i bioaffald i kommuner med over 5 000 indbyggere. Desuden indfører foranstaltningen særskilte indsamlingsforpligtelser, der går videre end de krav, der er fastsat i EU-retten. iii) Revision af forordningen om udvidet producentansvar og indførelse af nye bestemmelser, der går ud over, hvad der kræves i henhold til EU-retten iv) Indførelse af statsbeskatning af affald (herunder deponering, forbrænding og kombineret forbrænding og engangsplastbeholdere).</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Sektorspecifikke og interoperable dataområder af høj værdi</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Store sektorspecifikke og interoperable dataområder af høj værdi, der er oprettet i strategiske sektorer. Mindst fire inden for landbrugsfødevaresektoren, sektoren for bæredygtig mobilitet, sundhedssektoren og handelssektoren i overensstemmelse med den tekniske vejledning om DNSH-princippet (2021/C58/01) gennem anvendelse af en udelukkelsesliste og kravet om overholdelse af den relevante EU-lovgivning og nationale miljølovgivning. Budgetgennemførelsen til dette formål skal beløbe sig til mindst 400 000 000 EUR.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181</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 for at sætte skub i bilindustriens værdikæde hen imod bæredygtig og forbundet mobilitet</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Ministerrådets godkendelse af planen om at sætte skub i bilindustriens værdikæde hen imod bæredygtig og forbunden mobilitet.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182</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PERTE på området for elektriske køretøjer</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 af et strategisk projekt med henblik på økonomisk genopretning og omstilling (PERTE) inden for det strategiske område elektriske køretøjer og tildeling af mindst 400 000 000 EUR i støtte. Afgørelsen om godkendelse af PERTE skal indeholde detaljerede udvælgelseskriterier for at sikre overensstemmelse med den tekniske vejledning om DNSH-princippet(2021/C58/01) gennem anvendelse af en udelukkelsesliste og kravet om overholdelse af den relevante EU-miljølovgivning og national miljølovgivning. Udvælgelseskriterierne skal desuden afspejle kravene på de relevante interventionsområder for klimaændringsmål i overensstemmelse med bilag VI til Europa-Parlamentets og Rådets forordning (EU) 2021/241 af 12. februar 2021 om oprettelse af genopretnings- og resiliensfaciliteten.</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183</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PERTE-projekter i strategiske områder defineret i planen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lang w:val="en-IE" w:eastAsia="en-GB"/>
              </w:rPr>
            </w:pP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Ministerrådets godkendelse af mindst to PERTE-projekter og en samlet tildeling på mindst 400 000 000 EUR i støtte til hver af dem inden for andre strategiske områder såsom landbrugsfødevarer, sundhed, luftfarts- og flådesektoren og industrisektorer, der er knyttet til vedvarende energi, og kapacitet til design og produktion af processorer og halvlederteknologier. Afgørelsen om godkendelse af PERTE skal indeholde detaljerede udvælgelseskriterier for at sikre overensstemmelse med den tekniske vejledning om DNSH-princippet(2021/C58/01) gennem anvendelse af en udelukkelsesliste og kravet om overholdelse af den relevante EU-miljølovgivning og national miljølovgivning. Udvælgelseskriterierne skal desuden afspejle kravene på de relevante interventionsområder for klimaændringsmål i overensstemmelse med bilag VI til Europa-Parlamentets og Rådets forordning (EU) 2021/241 af 12. februar 2021 om oprettelse af genopretnings- og resiliensfaciliteten.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184</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Innovative projekter til omstilling af industrien med hensyn til energieffektivitet, bæredygtighed og digitalisering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78</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Tildeling af mindst 1 200 000 000 EUR fra industriministeren til mindst 78 innovative projekter, herunder dem, der er knyttet til godkendte PERTE-projekter (mindst 3), som indebærer en væsentlig omlægning af industrien med hensyn til energieffektivitet, bæredygtighed og digital omstilling. Udvælgelse af projekter efter en indkaldelse offentliggjort i EUT og baseret på udvælgelseskriterier for overensstemmelse med den tekniske vejledning "ingen væsentlig skade" (2021/C58/01) gennem anvendelse af en udelukkelsesliste og krav om overholdelse af den relevante EU-miljølovgivning og national miljølovgivning. Udvælgelseskriterierne skal desuden afspejle kravene på de relevante interventionsområder for klimaændringsmål i overensstemmelse med bilag VI til Europa-Parlamentets og Rådets forordning (EU) 2021/241 af 12. februar 2021 om oprettelse af genopretnings- og resiliensfaciliteten.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185</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Budgetgennemførelse for PERTE-projekter og innovative projekter til omstilling af industrien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EURO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2 531 500 000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Gennemførelse af budgettet på mindst 2 531 500 000 EUR mobiliseret i 210 innovative projekter, herunder projekter, der er knyttet til godkendte PERTE-projekter (mindst 3), og som indebærer en reel omstilling af industrien med hensyn til energieffektivitet, bæredygtighed og digital omstilling i overensstemmelse med den tekniske vejledning om DNSH-princippet (2021/C58/01) gennem anvendelse af en udelukkelsesliste og krav om overholdelse af den relevante EU- og nationale miljølovgivning. Udvælgelseskriterierne skal sikre, at mindst 455 000 000 EUR bidrager til klimamålene med en klimakoefficient på 100 % og mindst 1 500 000 EUR med en klimakoefficient på 40 % i overensstemmelse med bilag VI til Europa-Parlamentets og Rådets forordning (EU) 2021/241 af 12. februar 2021 om oprettelse af genopretnings- og resiliensfaciliteten. Alternativt skal udvælgelseskriterierne, hvis det er velbegrundet ved at give en forklaring på årsagerne til, at den alternative tilgang måske ikke er gennemførlig, sikre, at mindst 2 531 500 000 EUR bidrager til klimamålene med en gennemsnitlig klimakoefficient på mindst 40 % i overensstemmelse med bilag VI til Europa-Parlamentets og Rådets forordning (EU) 2021/241 af 12. februar 2021 om oprettelse af genopretnings- og resiliensfaciliteten. Mindst 3 800 000 000 EUR i private investeringer skal mobiliseres med midlerne fra genopretnings- og resiliensfaciliteten, og multiplikatoreffekten af den supplerende finansiering til disse fonde på private investeringer skal være den samme på datoen for milepælen, også i overensstemmelse med den tekniske vejledning om DNSH-princippet(2021/C58/01) gennem anvendelse af en udelukkelsesliste og kravet om overholdelse af den relevante EU- og nationale miljølovgivning. Dette mål anses ikke for at være nået, hvis nogen af de foranstaltninger, for hvilke der er indgået budgetforpligtelser, skulle udgøre statsstøtte i overensstemmelse med artikel 107 i TEUF, skulle anmeldes til Kommissionen og ikke var blevet godkendt af Kommissionen senest den 31. december 2023.</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Færdiggørelse af PERTE-projekter og innovative projekter til omstilling af industrien</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Nummer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210 innovative projekter, herunder dem, der er knyttet til godkendte PERTE-projekter (mindst 3), som indebærer en reel omstilling af industrien med hensyn til energieffektivitet, bæredygtighed og digital omstilling i overensstemmelse med den tekniske vejledning om DNSH-princippet (2021/C58/01) gennem anvendelse af en udelukkelsesliste og krav om overholdelse af den relevante EU- og nationale miljølovgivning.</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C12.I3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projekter til støtte for gennemførelsen af affaldslovgivningen og fremme af den cirkulære økonomi i virksomheden</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Afslutning af mindst 30 projekter godkendt af MITERD til støtte for gennemførelsen af affaldslovgivningen og fremme af den cirkulære økonomi i virksomheden i overensstemmelse med den tekniske vejledning "ingen væsentlig skade" (2021/C58/01) gennem anvendelse af en udelukkelsesliste og krav om overholdelse af den relevante EU- og nationale miljølovgivning. Aktioner under denne investering i forbindelse med anlæg til mekanisk-biologisk behandling må kun finde sted i eksisterende anlæg til mekanisk-biologisk behandling, hvor foranstaltningerne under denne investering har til formål at øge ressourceeffektiviteten eller opgradere særskilt affald til genanvendelsesoperationer med henblik på kompostering af bioaffald og anaerob nedbrydning af bioaffald, forudsat at sådanne foranstaltninger under denne investering ikke medfører en forøgelse af anlæggets kapacitet til behandling af affald eller en forlængelse af anlæggenes levetid, der er verificeret på anlægsniveau.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188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C12.I3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Forøgelse af særskilt indsamlet kommunalt affald</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af særskilt indsamlet kommunalt affald</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21</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Opnå mindst 30 % af særskilt indsamlet kommunalt affald som en andel af det samlede kommunale affald, der blev produceret i 2024 (data for 2024 skal foreligge i 2026), jf. direktiv 2008/98/EF. "Særskilt indsamling": indsamling, hvor en affaldsstrøm skal holdes adskilt efter type og art for at lette en specifik behandling. Dataene indsamles i overensstemmelse med materialefordelingen i henhold til bilag V til Kommissionens gennemførelsesafgørelse 019/1004/EF. (referenceniveau: 31. december 2018.)</w:t>
            </w:r>
          </w:p>
        </w:tc>
      </w:tr>
    </w:tbl>
    <w:p>
      <w:pPr>
        <w:spacing w:before="120" w:after="120" w:line="240" w:lineRule="auto"/>
        <w:ind w:left="709"/>
        <w:jc w:val="both"/>
        <w:rPr>
          <w:rFonts w:ascii="Times New Roman" w:hAnsi="Times New Roman" w:cs="Times New Roman"/>
          <w:noProof/>
          <w:sz w:val="24"/>
          <w:lang w:val="en-IE"/>
        </w:rPr>
        <w:sectPr>
          <w:headerReference w:type="even" r:id="rId157"/>
          <w:headerReference w:type="default" r:id="rId158"/>
          <w:footerReference w:type="even" r:id="rId159"/>
          <w:footerReference w:type="default" r:id="rId160"/>
          <w:headerReference w:type="first" r:id="rId161"/>
          <w:footerReference w:type="first" r:id="rId162"/>
          <w:pgSz w:w="16839" w:h="11907" w:orient="landscape"/>
          <w:pgMar w:top="1417" w:right="1134" w:bottom="1417" w:left="1134" w:header="709" w:footer="709" w:gutter="0"/>
          <w:cols w:space="720"/>
          <w:docGrid w:linePitch="360"/>
        </w:sectPr>
      </w:pPr>
    </w:p>
    <w:p>
      <w:pPr>
        <w:pStyle w:val="Heading1"/>
        <w:rPr>
          <w:noProof/>
        </w:rPr>
      </w:pPr>
      <w:r>
        <w:rPr>
          <w:noProof/>
        </w:rPr>
        <w:t xml:space="preserve">M. KOMPONENT 13: Støtte til SMV'er </w:t>
      </w:r>
    </w:p>
    <w:p>
      <w:pPr>
        <w:pStyle w:val="Text1"/>
        <w:ind w:left="0"/>
        <w:rPr>
          <w:noProof/>
        </w:rPr>
      </w:pPr>
      <w:r>
        <w:rPr>
          <w:noProof/>
        </w:rPr>
        <w:t xml:space="preserve">Små og mellemstore virksomheder (SMV'er) spiller en central rolle i EU's og Spaniens økonomi, navnlig når SMV'er yder et større bidrag til det nationale BNP, og hvor virksomhedernes gennemsnitlige størrelse er mindre end EU-gennemsnittet. </w:t>
      </w:r>
    </w:p>
    <w:p>
      <w:pPr>
        <w:pStyle w:val="Text1"/>
        <w:ind w:left="0"/>
        <w:rPr>
          <w:noProof/>
        </w:rPr>
      </w:pPr>
      <w:r>
        <w:rPr>
          <w:noProof/>
        </w:rPr>
        <w:t>Denne komponent i den spanske genopretnings- og resiliensplan tager fat på de udfordringer, som små og mellemstore virksomheder (SMV'er) (herunder selvstændige) står over for med henblik på at styrke den spanske økonomis konkurrenceevne og fremme vækst og beskæftigelse. Disse udfordringer er: den vanskelige adgang til finansiering for iværksætteri, virksomhedsvækst og innovation manglen på digitale færdigheder og indførelsen af digitale teknologier, der hæmmer SMV'ers produktivitet og konkurrenceevne; virksomhedernes begrænsede størrelse, hvilket hæmmer udnyttelsen af stordriftsfordele og internationalisering og den store sårbarhed over for eksterne chok og lave stordriftsfordele, der hæmmer investeringer og innovation.</w:t>
      </w:r>
    </w:p>
    <w:p>
      <w:pPr>
        <w:pStyle w:val="Text1"/>
        <w:ind w:left="0"/>
        <w:rPr>
          <w:noProof/>
        </w:rPr>
      </w:pPr>
      <w:r>
        <w:rPr>
          <w:noProof/>
        </w:rPr>
        <w:t>Formålet med denne komponent er at indføre reformer og investeringer, der har til formål at lette virksomhedsetablering, vækst og omstrukturering, forbedre erhvervsklimaet (navnlig ved at styrke det spanske indre markeds funktion) samt yderligere fremme de vigtige processer for produktivitetsgevinster gennem digitalisering, innovation og internationalisering. Denne komponent fokuserer i høj grad på digitalisering med en horisontal tilgang til at levere en grundlæggende digitaliseringspakke til en betydelig procentdel af SMV'erne og en vertikal tilgang til at fremme digitaliseringen af processer og teknologisk innovation i SMV'er.</w:t>
      </w:r>
    </w:p>
    <w:p>
      <w:pPr>
        <w:pStyle w:val="Text1"/>
        <w:ind w:left="0"/>
        <w:rPr>
          <w:noProof/>
        </w:rPr>
      </w:pPr>
      <w:r>
        <w:rPr>
          <w:noProof/>
        </w:rPr>
        <w:t>Denne komponent vedrører delvis de landespecifikke henstillinger om fremskridt med hensyn til gennemførelsen af loven om markedsenhed (landespecifik henstilling nr. 4 fra 2019) og om sikring af en effektiv gennemførelse af foranstaltninger, der har til formål at stille likviditet til rådighed for SMV'er og selvstændige, navnlig ved at undgå forsinkede betalinger (landespecifik henstilling nr. 3 fra 2020). Den omhandler også de landespecifikke henstillinger om at fokusere investeringer på den digitale omstilling (landespecifik henstilling nr. 3 fra 2020) og om at forbedre adgangen til digital læring (landespecifik henstilling nr. 2 fra 2020).</w:t>
      </w:r>
    </w:p>
    <w:p>
      <w:pPr>
        <w:pStyle w:val="Text1"/>
        <w:ind w:left="0"/>
        <w:rPr>
          <w:noProof/>
        </w:rPr>
      </w:pPr>
      <w:r>
        <w:rPr>
          <w:noProof/>
          <w:color w:val="000000" w:themeColor="text1"/>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r>
        <w:rPr>
          <w:noProof/>
        </w:rPr>
        <w:t xml:space="preserve"> </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M.1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pStyle w:val="Text1"/>
        <w:ind w:left="0"/>
        <w:rPr>
          <w:noProof/>
          <w:u w:val="single"/>
        </w:rPr>
      </w:pPr>
      <w:r>
        <w:rPr>
          <w:noProof/>
          <w:u w:val="single"/>
        </w:rPr>
        <w:t>Reform 1 (C13.R1) — Forbedring af erhvervsreguleringen og klimaet</w:t>
      </w:r>
    </w:p>
    <w:p>
      <w:pPr>
        <w:pStyle w:val="Text1"/>
        <w:ind w:left="0"/>
        <w:rPr>
          <w:noProof/>
        </w:rPr>
      </w:pPr>
      <w:r>
        <w:rPr>
          <w:noProof/>
        </w:rPr>
        <w:t xml:space="preserve">Formålet med reformen er at forbedre rammerne for den økonomiske aktivitet ved at sikre et bedre regulerings- og erhvervsklima, der letter oprettelse og vækst af virksomheder og om nødvendigt omstrukturering af dem gennem vedtagelse af en række foranstaltninger. </w:t>
      </w:r>
    </w:p>
    <w:p>
      <w:pPr>
        <w:pStyle w:val="Text1"/>
        <w:ind w:left="0"/>
        <w:rPr>
          <w:noProof/>
        </w:rPr>
      </w:pPr>
      <w:r>
        <w:rPr>
          <w:noProof/>
        </w:rPr>
        <w:t>Reformen består af:</w:t>
      </w:r>
    </w:p>
    <w:p>
      <w:pPr>
        <w:pStyle w:val="Text1"/>
        <w:numPr>
          <w:ilvl w:val="0"/>
          <w:numId w:val="67"/>
        </w:numPr>
        <w:rPr>
          <w:noProof/>
        </w:rPr>
      </w:pPr>
      <w:r>
        <w:rPr>
          <w:noProof/>
        </w:rPr>
        <w:t>Vedtagelse af loven om virksomhedsetablering og vækst. Formålet med denne lovgivning er at:</w:t>
      </w:r>
    </w:p>
    <w:p>
      <w:pPr>
        <w:pStyle w:val="Text1"/>
        <w:numPr>
          <w:ilvl w:val="1"/>
          <w:numId w:val="67"/>
        </w:numPr>
        <w:rPr>
          <w:noProof/>
        </w:rPr>
      </w:pPr>
      <w:r>
        <w:rPr>
          <w:noProof/>
        </w:rPr>
        <w:t xml:space="preserve">Forenkle procedurerne for virksomhedsetablering. Dette skal opnås ved at reducere minimumskapitalkravet for at oprette en virksomhed og styrke crowdfundingplatformene og andre offentlige finansieringsinstrumenter </w:t>
      </w:r>
    </w:p>
    <w:p>
      <w:pPr>
        <w:pStyle w:val="Text1"/>
        <w:numPr>
          <w:ilvl w:val="1"/>
          <w:numId w:val="67"/>
        </w:numPr>
        <w:rPr>
          <w:noProof/>
        </w:rPr>
      </w:pPr>
      <w:r>
        <w:rPr>
          <w:noProof/>
        </w:rPr>
        <w:t>Retlige foranstaltninger til fremme af en kultur med tidlig betaling. Denne lov skal gøre gennemførelsen af direktiv 2011/7/EU om bekæmpelse af forsinket betaling i handelstransaktioner mere effektiv. Loven forventes at reducere de gennemsnitlige betalingsfrister i handelstransaktioner. Dette vil bidrage til at tackle de likviditetsproblemer, som kreditor-SMV'er, som ikke betales rettidigt, står over for, med positive afsmittende virkninger på deres aktiviteter og vækst. Eksempler på foranstaltninger, der skal gennemføres for at fremme en kultur med tidlig betaling, omfatter retningslinjer for offentliggørelse og gennemsigtighed af betalingsperioder, bedste forretningspraksis og mekanismer til bedre håndhævelse såsom et udenretligt tvistbilæggelsessystem.</w:t>
      </w:r>
    </w:p>
    <w:p>
      <w:pPr>
        <w:pStyle w:val="Text1"/>
        <w:numPr>
          <w:ilvl w:val="1"/>
          <w:numId w:val="67"/>
        </w:numPr>
        <w:rPr>
          <w:noProof/>
        </w:rPr>
      </w:pPr>
      <w:r>
        <w:rPr>
          <w:noProof/>
        </w:rPr>
        <w:t>Ændre visse bestemmelser i loven om markedsenhed for at skabe yderligere klarhed på områder, hvor uklarheder har ført til gennemførelsesproblemer. Formålet med loven om markedsenhed er at fjerne unødvendige, uforholdsmæssige eller diskriminerende hindringer for adgang til og udøvelse af erhvervsvirksomhed og for etableringsfriheden i hele landet. Formålet med denne reform er også at øge effektiviteten og gennemsigtigheden af de mekanismer, der er fastsat i loven om markedsenhed, for at beskytte operatører, hvis aktiviteter påvirkes af hindringer pålagt af den offentlige forvaltning. Desuden skal reformen styrke samarbejdet for at fremme bedre lovgivning i hele landet.</w:t>
      </w:r>
    </w:p>
    <w:p>
      <w:pPr>
        <w:pStyle w:val="Text1"/>
        <w:numPr>
          <w:ilvl w:val="0"/>
          <w:numId w:val="67"/>
        </w:numPr>
        <w:rPr>
          <w:noProof/>
        </w:rPr>
      </w:pPr>
      <w:r>
        <w:rPr>
          <w:noProof/>
        </w:rPr>
        <w:t>Der skal oprettes en ny sektorkonference for forbedring af lovgivningen og erhvervsklima. Den har til formål at lette den korrekte anvendelse af principperne for god regulering i alle offentlige forvaltninger og at sikre en optimal koordinering mellem de forskellige forvaltninger, herunder foranstaltninger, der skal ledsage inddrivelsen. Sektorkonferencen skal også følge op på arbejdet inden for andre sektorkonferencer, som skal muliggøre en bedre koordinering, overvågning og fremme af bedre regulering med både horisontalt og sektorspecifikt fokus.</w:t>
      </w:r>
    </w:p>
    <w:p>
      <w:pPr>
        <w:pStyle w:val="Text1"/>
        <w:numPr>
          <w:ilvl w:val="0"/>
          <w:numId w:val="67"/>
        </w:numPr>
        <w:rPr>
          <w:noProof/>
        </w:rPr>
      </w:pPr>
      <w:r>
        <w:rPr>
          <w:noProof/>
        </w:rPr>
        <w:t>Reform af insolvenslovgivningen med henblik på gennemførelse af direktiv (EU) 2019/1023 om rammer for forebyggende rekonstruktion, gældssanering og rettighedsfrakendelser og om foranstaltninger med henblik på at gøre insolvensprocedurerne mere effektive og om ændring af direktiv (EU) 2017/1132 (direktivet om omstrukturering og insolvens). Reformen skal omfatte indførelse af en mere effektiv procedure for en ny chance for fysiske personer, der giver mulighed for gældssanering uden forudgående likvidation af den insolvente parts aktiver. Desuden skal de rekonstruktionsplaner, der kræves i henhold til direktiv (EU) 2019/1023 om insolvens, indføres som et nyt instrument før insolvens, der forbedrer effektiviteten af de nuværende instrumenter forud for insolvens med henblik på at forebygge insolvens og efterfølgende konkurs. Endelig indføres der en særlig procedure for mikrovirksomheder og små og mellemstore virksomheder, der behandles fuldt ud elektronisk, for at reducere processens varighed og omkostninger.</w:t>
      </w:r>
    </w:p>
    <w:p>
      <w:pPr>
        <w:pStyle w:val="Text1"/>
        <w:numPr>
          <w:ilvl w:val="0"/>
          <w:numId w:val="67"/>
        </w:numPr>
        <w:rPr>
          <w:noProof/>
        </w:rPr>
      </w:pPr>
      <w:r>
        <w:rPr>
          <w:noProof/>
        </w:rPr>
        <w:t xml:space="preserve">Endelig skal denne reform også bestå i vedtagelse af en lov om ændring af tre lovtekster, navnlig lov nr. 34/2006, vedrørende advokaters og procesfuldmægtiges udøvelse af advokatvirksomhed. Et nyt system skal give adgang til erhverv som advokat og procesfuldmægtige, da de samme kvalifikationer giver adgang til udøvelse af begge erhverv. Tværfaglige faglige selskaber skal have mulighed for i fællesskab at tilbyde juridisk forsvar og repræsentation i retten. Den takstordning, der finder anvendelse på tjenesteydelser fra </w:t>
      </w:r>
      <w:r>
        <w:rPr>
          <w:i/>
          <w:noProof/>
        </w:rPr>
        <w:t>procuradores</w:t>
      </w:r>
      <w:r>
        <w:rPr>
          <w:noProof/>
        </w:rPr>
        <w:t xml:space="preserve">, ændres ligeledes: der fastsættes maksimale gebyrer, men ikke et minimum for at sikre, at tjenestemodtagere kan få adgang til tjenester, der tilbydes til konkurrencedygtige priser. Med denne reform sikrer Spanien, at lovgivningen på dette område er i overensstemmelse med artikel 15, 16 og 25 i Europa-Parlamentets og Rådets direktiv 2006/123/C om tjenesteydelser i det indre marked og med artikel 49 og 56 i traktaten om Den Europæiske Unions funktionsmåde. Med hensyn til denne reform godkendte Ministerrådet ovennævnte udkast til lovgivningsforslag i september 2020. </w:t>
      </w:r>
    </w:p>
    <w:p>
      <w:pPr>
        <w:pStyle w:val="Text1"/>
        <w:ind w:left="0"/>
        <w:rPr>
          <w:noProof/>
        </w:rPr>
      </w:pPr>
      <w:r>
        <w:rPr>
          <w:noProof/>
        </w:rPr>
        <w:t xml:space="preserve">Denne reform vil også blive suppleret med vedtagelsen af en lov til gennemførelse af digitaliseringsdirektivet (2019/1151), som fremmer innovation og digitalisering både i administrationen og i erhvervsmiljøet og sikrer digitalisering af hele processen med at oprette en virksomhed. Denne lov er et af de reguleringsinstrumenter, der er nødvendige for gennemførelsen af komponent 11 (C11.R2-reformen til fremme af retsstatsprincippet og effektiviteten af den offentlige tjeneste i retsvæsenet). </w:t>
      </w:r>
    </w:p>
    <w:p>
      <w:pPr>
        <w:autoSpaceDE w:val="0"/>
        <w:autoSpaceDN w:val="0"/>
        <w:spacing w:before="40" w:after="40" w:line="240" w:lineRule="auto"/>
        <w:jc w:val="both"/>
        <w:rPr>
          <w:rFonts w:ascii="Times New Roman" w:hAnsi="Times New Roman" w:cs="Times New Roman"/>
          <w:noProof/>
        </w:rPr>
      </w:pPr>
      <w:r>
        <w:rPr>
          <w:rFonts w:ascii="Times New Roman" w:hAnsi="Times New Roman"/>
          <w:noProof/>
          <w:sz w:val="24"/>
          <w:szCs w:val="24"/>
        </w:rPr>
        <w:t>Gennemførelsen af reformerne skal være afsluttet senest den 31. december 2022.</w:t>
      </w:r>
    </w:p>
    <w:p>
      <w:pPr>
        <w:pStyle w:val="Text1"/>
        <w:keepNext/>
        <w:ind w:left="0"/>
        <w:rPr>
          <w:noProof/>
          <w:u w:val="single"/>
        </w:rPr>
      </w:pPr>
      <w:r>
        <w:rPr>
          <w:noProof/>
          <w:u w:val="single"/>
        </w:rPr>
        <w:t>Reform 2 (C13.R2) — Strategi for Spaniens iværksætterånd</w:t>
      </w:r>
    </w:p>
    <w:p>
      <w:pPr>
        <w:pStyle w:val="Text1"/>
        <w:keepNext/>
        <w:ind w:left="0"/>
        <w:rPr>
          <w:noProof/>
        </w:rPr>
      </w:pPr>
      <w:r>
        <w:rPr>
          <w:noProof/>
        </w:rPr>
        <w:t>Formålet med foranstaltningen er at fremme den spanske iværksætterstrategi. Reformen består i at vedtage en lov om opstart, skabe gunstige rammer for oprettelse og vækst af meget innovative nystartede virksomheder og oprette en offentlig-privat NEXT-TECH-fond til opskalering af nystartede virksomheder inden for disruptive teknologier.</w:t>
      </w:r>
    </w:p>
    <w:p>
      <w:pPr>
        <w:pStyle w:val="Text1"/>
        <w:ind w:left="0"/>
        <w:rPr>
          <w:noProof/>
        </w:rPr>
      </w:pPr>
      <w:r>
        <w:rPr>
          <w:noProof/>
        </w:rPr>
        <w:t>Vedtagelsen af en lov om opstartsvirksomheder inden udgangen af 2022 skal: give en juridisk definition af opstart identificere skattemæssige incitamenter til at fremme dens oprettelse og tiltrække talenter fastsætte foranstaltninger, der skal gøre det lettere for udenlandske investorer og iværksættere at tiltrække sig og vedtage mekanismer til at lette gennemførelsen af loven og dens forbindelse med foranstaltningerne vedrørende det digitale iværksætterøkosystem.</w:t>
      </w:r>
    </w:p>
    <w:p>
      <w:pPr>
        <w:pStyle w:val="Text1"/>
        <w:ind w:left="0"/>
        <w:rPr>
          <w:noProof/>
        </w:rPr>
      </w:pPr>
      <w:r>
        <w:rPr>
          <w:noProof/>
        </w:rPr>
        <w:t>Gennemførelsen af reformerne skal være afsluttet senest den 31. december 2022.</w:t>
      </w:r>
    </w:p>
    <w:p>
      <w:pPr>
        <w:pStyle w:val="Text1"/>
        <w:ind w:left="0"/>
        <w:rPr>
          <w:noProof/>
          <w:u w:val="single"/>
        </w:rPr>
      </w:pPr>
      <w:r>
        <w:rPr>
          <w:noProof/>
          <w:u w:val="single"/>
        </w:rPr>
        <w:t xml:space="preserve">Investering 1 (C13.I1) — Iværksætteri </w:t>
      </w:r>
    </w:p>
    <w:p>
      <w:pPr>
        <w:pStyle w:val="Text1"/>
        <w:ind w:left="0"/>
        <w:rPr>
          <w:noProof/>
        </w:rPr>
      </w:pPr>
      <w:r>
        <w:rPr>
          <w:noProof/>
        </w:rPr>
        <w:t>Formålet med investeringen er at sætte skub i iværksætterøkosystemet for at gøre det mere modstandsdygtigt og konkurrencedygtigt for at tackle udfordringerne i forbindelse med den grønne og den digitale omstilling.</w:t>
      </w:r>
    </w:p>
    <w:p>
      <w:pPr>
        <w:pStyle w:val="Text1"/>
        <w:ind w:left="0"/>
        <w:rPr>
          <w:noProof/>
        </w:rPr>
      </w:pPr>
      <w:r>
        <w:rPr>
          <w:noProof/>
        </w:rPr>
        <w:t>Investeringen består af fire hovedforanstaltninger:</w:t>
      </w:r>
    </w:p>
    <w:p>
      <w:pPr>
        <w:pStyle w:val="Text1"/>
        <w:ind w:left="0"/>
        <w:rPr>
          <w:noProof/>
        </w:rPr>
      </w:pPr>
      <w:r>
        <w:rPr>
          <w:noProof/>
        </w:rPr>
        <w:t xml:space="preserve">1) styrkelse af iværksætterfærdigheder, herunder opkvalificering og omskoling og støtte til iværksættere i overensstemmelse med EU's prioriteter for den grønne og digitale tostrengede omstilling. Som led i denne aktion skal mindst 6 900 iværksættere drage fordel af programmet for iværksætterfærdigheder, og mindst 800 iværksættere skal støttes af "Kvindetalentprogrammet". </w:t>
      </w:r>
    </w:p>
    <w:p>
      <w:pPr>
        <w:pStyle w:val="Text1"/>
        <w:ind w:left="0"/>
        <w:rPr>
          <w:noProof/>
        </w:rPr>
      </w:pPr>
      <w:r>
        <w:rPr>
          <w:noProof/>
        </w:rPr>
        <w:t>2) at tilvejebringe værktøjer til at støtte virksomhedsetablering og virksomhedsledelse og til at styrke SMV'er, herunder støtte fra mindst 12 000 aktive brugere i platformen for det virtuelle nationale iværksætterkontor ("ONE") inden for rammerne af strategirammen for SMV-politik 2030, den spanske iværksætterstrategi og Spaniens digitale dagsorden 2025;</w:t>
      </w:r>
    </w:p>
    <w:p>
      <w:pPr>
        <w:pStyle w:val="Text1"/>
        <w:ind w:left="0"/>
        <w:rPr>
          <w:noProof/>
        </w:rPr>
      </w:pPr>
      <w:r>
        <w:rPr>
          <w:noProof/>
        </w:rPr>
        <w:t>3) formidlings- og kommunikationskampagner med henblik på at skabe, udvikle eller tiltrække internationale arrangementer til Spanien med fokus på innovative virksomheder og programmer til at tiltrække kvindelige talenter. Dette skal omfatte mindst 20 arrangementer om iværksætteri, der er udviklet under "flagprogrammet" og mindst 260 kommunikationstiltag (200 mediearrangementer og 60 arrangementer) under "Spaniens iværksætternetværk"; og</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4) finansiering af en budgetpost til støtte for iværksætteri og SMV'er gennem programmet til støtte for kvindelige iværksættere. Dette omfatter støtte til mindst 200 kvindelige iværksættere gennem deltagelsesbaserede lån ydet af Empresa Nacional de Innovación, S.A. </w:t>
      </w:r>
    </w:p>
    <w:p>
      <w:pPr>
        <w:pStyle w:val="Text1"/>
        <w:ind w:left="0"/>
        <w:rPr>
          <w:noProof/>
        </w:rPr>
      </w:pPr>
      <w:r>
        <w:rPr>
          <w:noProof/>
        </w:rPr>
        <w:t xml:space="preserve">For så vidt angår finansielle instrumenter skal den retlige aftale mellem de spanske myndigheder og den bemyndigede enhed eller den finansielle formidler med ansvar for det finansielle instrument og den efterfølgende investeringspolitik for det finansielle instrument for at sikre, at foranstaltningen er i overensstemmelse med den tekniske vejledning om DNSH-princippet (2021/C58/01) </w:t>
      </w:r>
    </w:p>
    <w:p>
      <w:pPr>
        <w:pStyle w:val="Text1"/>
        <w:numPr>
          <w:ilvl w:val="0"/>
          <w:numId w:val="153"/>
        </w:numPr>
        <w:rPr>
          <w:noProof/>
        </w:rPr>
      </w:pPr>
      <w:r>
        <w:rPr>
          <w:noProof/>
        </w:rPr>
        <w:t>kræve anvendelse af Kommissionens tekniske vejledning om bæredygtighedskontrol for InvestEU-fonden</w:t>
      </w:r>
    </w:p>
    <w:p>
      <w:pPr>
        <w:pStyle w:val="Text1"/>
        <w:numPr>
          <w:ilvl w:val="0"/>
          <w:numId w:val="153"/>
        </w:numPr>
        <w:rPr>
          <w:noProof/>
        </w:rPr>
      </w:pPr>
      <w:r>
        <w:rPr>
          <w:noProof/>
        </w:rPr>
        <w:t>udelukke følgende liste over aktiviteter og aktiver fra støtteberettigelse: i) aktiviteter og aktiver i forbindelse med fossile brændstoffer, herunder downstream-anvendelse</w:t>
      </w:r>
      <w:r>
        <w:rPr>
          <w:noProof/>
          <w:vertAlign w:val="superscript"/>
          <w:lang w:val="en-IE"/>
        </w:rPr>
        <w:footnoteReference w:id="29"/>
      </w:r>
      <w:r>
        <w:rPr>
          <w:noProof/>
        </w:rPr>
        <w:t xml:space="preserve"> ii) aktiviteter og aktiver under EU's emissionshandelssystem (ETS) med henblik på at opnå forventede drivhusgasemissioner, der ikke er lavere end de relevante benchmarks</w:t>
      </w:r>
      <w:r>
        <w:rPr>
          <w:noProof/>
          <w:vertAlign w:val="superscript"/>
          <w:lang w:val="en-IE"/>
        </w:rPr>
        <w:footnoteReference w:id="30"/>
      </w:r>
      <w:r>
        <w:rPr>
          <w:noProof/>
        </w:rPr>
        <w:t xml:space="preserve"> iii) Aktiviteter og aktiver i forbindelse med affaldsdeponeringsanlæg, forbrændingsanlæg</w:t>
      </w:r>
      <w:r>
        <w:rPr>
          <w:noProof/>
          <w:vertAlign w:val="superscript"/>
          <w:lang w:val="en-IE"/>
        </w:rPr>
        <w:footnoteReference w:id="31"/>
      </w:r>
      <w:r>
        <w:rPr>
          <w:noProof/>
        </w:rPr>
        <w:t xml:space="preserve"> og anlæg til mekanisk-biologisk behandling</w:t>
      </w:r>
      <w:r>
        <w:rPr>
          <w:noProof/>
          <w:vertAlign w:val="superscript"/>
          <w:lang w:val="en-IE"/>
        </w:rPr>
        <w:footnoteReference w:id="32"/>
      </w:r>
      <w:r>
        <w:rPr>
          <w:noProof/>
        </w:rPr>
        <w:t xml:space="preserve"> og iv) aktiviteter og aktiver, hvor langsigtet bortskaffelse af affald kan skade miljøet og</w:t>
      </w:r>
    </w:p>
    <w:p>
      <w:pPr>
        <w:pStyle w:val="Text1"/>
        <w:numPr>
          <w:ilvl w:val="0"/>
          <w:numId w:val="153"/>
        </w:numPr>
        <w:rPr>
          <w:noProof/>
        </w:rPr>
      </w:pPr>
      <w:r>
        <w:rPr>
          <w:noProof/>
        </w:rPr>
        <w:t>kræve, at den bemyndigede enhed/finansielle formidler verificerer den bemyndigede enheds/finansielle formidlers overholdelse af den relevante EU-lovgivning og nationale miljølovgivning for alle transaktioner, herunder dem, der er undtaget fra bæredygtighedskontrol.</w:t>
      </w:r>
    </w:p>
    <w:p>
      <w:pPr>
        <w:pStyle w:val="Text1"/>
        <w:ind w:left="0"/>
        <w:rPr>
          <w:iCs/>
          <w:noProof/>
          <w:highlight w:val="green"/>
        </w:rPr>
      </w:pPr>
      <w:r>
        <w:rPr>
          <w:noProof/>
        </w:rPr>
        <w:t>For at sikre, at foranstaltningen er i overensstemmelse med den tekniske vejledning om DNSH-princippet (2021/C58/01), skal de kriterier for støtteberettigelse, der er fastsat i udbudsbetingelserne for kommende indkaldelser af projekter, i forbindelse med udbud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33"/>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34"/>
      </w:r>
      <w:r>
        <w:rPr>
          <w:noProof/>
        </w:rPr>
        <w:t xml:space="preserve"> iii) Aktiviteter i forbindelse med affaldsdeponeringsanlæg, forbrændingsanlæg</w:t>
      </w:r>
      <w:r>
        <w:rPr>
          <w:rStyle w:val="FootnoteReference"/>
          <w:noProof/>
          <w:lang w:val="en-IE"/>
        </w:rPr>
        <w:footnoteReference w:id="35"/>
      </w:r>
      <w:r>
        <w:rPr>
          <w:noProof/>
        </w:rPr>
        <w:t xml:space="preserve"> og anlæg til mekanisk-biologisk behandling</w:t>
      </w:r>
      <w:r>
        <w:rPr>
          <w:rStyle w:val="FootnoteReference"/>
          <w:noProof/>
          <w:lang w:val="en-IE"/>
        </w:rPr>
        <w:footnoteReference w:id="36"/>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Gennemførelsen af investeringen skal være afsluttet senest den 31. december 2023. </w:t>
      </w:r>
    </w:p>
    <w:p>
      <w:pPr>
        <w:pStyle w:val="Text1"/>
        <w:ind w:left="0"/>
        <w:rPr>
          <w:noProof/>
          <w:u w:val="single"/>
        </w:rPr>
      </w:pPr>
      <w:r>
        <w:rPr>
          <w:noProof/>
          <w:u w:val="single"/>
        </w:rPr>
        <w:t xml:space="preserve">Investeringer 2 (C13.I2) — Vækst </w:t>
      </w:r>
    </w:p>
    <w:p>
      <w:pPr>
        <w:pStyle w:val="Text1"/>
        <w:ind w:left="0"/>
        <w:rPr>
          <w:noProof/>
        </w:rPr>
      </w:pPr>
      <w:r>
        <w:rPr>
          <w:noProof/>
        </w:rPr>
        <w:t xml:space="preserve">Formålet med foranstaltningen er at fremme SMV'ernes vækst. </w:t>
      </w:r>
    </w:p>
    <w:p>
      <w:pPr>
        <w:pStyle w:val="Text1"/>
        <w:ind w:left="0"/>
        <w:rPr>
          <w:noProof/>
        </w:rPr>
      </w:pPr>
      <w:r>
        <w:rPr>
          <w:noProof/>
        </w:rPr>
        <w:t>Investeringen består af foranstaltninger vedrørende:</w:t>
      </w:r>
    </w:p>
    <w:p>
      <w:pPr>
        <w:pStyle w:val="Text1"/>
        <w:ind w:left="0"/>
        <w:rPr>
          <w:noProof/>
        </w:rPr>
      </w:pPr>
      <w:r>
        <w:rPr>
          <w:noProof/>
        </w:rPr>
        <w:t>1) støtte til 11 000) individuelle SMV'er under programmet "kvalifikationer for vækst i SMV'er". Formålet med dette program er at give virksomhederne de færdigheder, der er nødvendige for at vokse og blive mere konkurrencedygtige, ændre deres forretningsmodeller og bidrage til den dobbelte omstilling.</w:t>
      </w:r>
    </w:p>
    <w:p>
      <w:pPr>
        <w:pStyle w:val="Text1"/>
        <w:ind w:left="0"/>
        <w:rPr>
          <w:noProof/>
        </w:rPr>
      </w:pPr>
      <w:r>
        <w:rPr>
          <w:noProof/>
        </w:rPr>
        <w:t>2) langsigtet finansiel støtte til industriprojekter 1 500) udviklet af SMV'er til aktioner under denne investering i nye industrianlæg eller udvidelse af eksisterende anlæg under hensyntagen til potentialet for at bidrage til modvirkning af klimaændringer.</w:t>
      </w:r>
    </w:p>
    <w:p>
      <w:pPr>
        <w:pStyle w:val="Text1"/>
        <w:ind w:left="0"/>
        <w:rPr>
          <w:noProof/>
        </w:rPr>
      </w:pPr>
      <w:r>
        <w:rPr>
          <w:noProof/>
        </w:rPr>
        <w:t xml:space="preserve">3) forbedring af SMV'ers adgang til finansiering ved at yde støtte i form af finansielle, kommercielle og tekniske garantier gennem en styrkelse af Compañia Española de Reafianzamiento SME S.A. (CERSA) i overensstemmelse med støtteberettigelseskriterierne i forordningen om genopretnings- og resiliensfaciliteten som fastsat i vejledningen til medlemsstaterne af 21. januar 2021. Som led i denne aktionslinje yder CERSA langsigtet støtte gennem sin modgarantidækning til de regionale gensidige garantiselskaber til støtte for den risiko, de bærer. CERSA skal også fremme SMV'ers konkurrenceevne og modstandsdygtighed gennem tre nye dedikerede linjer, der giver adgang til langsigtet finansiering og driftskapitaloperationer til foranstaltninger under denne investering inden for: digitalisering; bæredygtighed, vækst og genopretning (styrkelse af modstandsdygtigheden, især for SMV'er, der er berørt af covid-19-pandemien, som er rede til at gennemføre betydelige omstillings- og vækstplaner). </w:t>
      </w:r>
    </w:p>
    <w:p>
      <w:pPr>
        <w:pStyle w:val="Text1"/>
        <w:ind w:left="0"/>
        <w:rPr>
          <w:noProof/>
        </w:rPr>
      </w:pPr>
      <w:r>
        <w:rPr>
          <w:noProof/>
        </w:rPr>
        <w:t xml:space="preserve">For at gennemføre det finansielle garantiinstrument skal der desuden indgås en aftale mellem ministeriet med ansvar for investeringer og gennemførelsespartneren eller den bemyndigede enhed. Aftalen skal omsætte oplysningerne i genopretnings- og resiliensplanen til forpligtelser. Desuden skal tilbageførsler (dvs. renter på lånet, forrentning af egenkapital eller tilbagebetalt hovedstol minus dermed forbundne omkostninger), der er knyttet til det finansielle instrument, geninvesteres med henblik på de samme politiske mål, herunder efter 2026. For at sikre, at foranstaltningen er i overensstemmelse med den tekniske vejledning om DNSH-princippet (2021/C58/01), skal den retlige aftale mellem de spanske myndigheder og den bemyndigede enhed eller den finansielle formidler, der er ansvarlig for det finansielle instrument, og den efterfølgende investeringspolitik for det finansielle instrument </w:t>
      </w:r>
    </w:p>
    <w:p>
      <w:pPr>
        <w:pStyle w:val="Text1"/>
        <w:numPr>
          <w:ilvl w:val="0"/>
          <w:numId w:val="155"/>
        </w:numPr>
        <w:rPr>
          <w:noProof/>
        </w:rPr>
      </w:pPr>
      <w:r>
        <w:rPr>
          <w:noProof/>
        </w:rPr>
        <w:t>kræve anvendelse af Kommissionens tekniske vejledning om bæredygtighedskontrol for InvestEU-fonden</w:t>
      </w:r>
    </w:p>
    <w:p>
      <w:pPr>
        <w:pStyle w:val="Text1"/>
        <w:numPr>
          <w:ilvl w:val="0"/>
          <w:numId w:val="155"/>
        </w:numPr>
        <w:rPr>
          <w:noProof/>
        </w:rPr>
      </w:pPr>
      <w:r>
        <w:rPr>
          <w:noProof/>
        </w:rPr>
        <w:t>udelukke følgende liste over aktiviteter og aktiver fra støtteberettigelse: i) aktiviteter og aktiver i forbindelse med fossile brændstoffer, herunder downstream-anvendelse</w:t>
      </w:r>
      <w:r>
        <w:rPr>
          <w:noProof/>
          <w:vertAlign w:val="superscript"/>
          <w:lang w:val="en-IE"/>
        </w:rPr>
        <w:footnoteReference w:id="37"/>
      </w:r>
      <w:r>
        <w:rPr>
          <w:noProof/>
        </w:rPr>
        <w:t xml:space="preserve"> ii) aktiviteter og aktiver under EU's emissionshandelssystem (ETS) med henblik på at opnå forventede drivhusgasemissioner, der ikke er lavere end de relevante benchmarks</w:t>
      </w:r>
      <w:r>
        <w:rPr>
          <w:noProof/>
          <w:vertAlign w:val="superscript"/>
          <w:lang w:val="en-IE"/>
        </w:rPr>
        <w:footnoteReference w:id="38"/>
      </w:r>
      <w:r>
        <w:rPr>
          <w:noProof/>
        </w:rPr>
        <w:t xml:space="preserve"> iii) Aktiviteter og aktiver i forbindelse med affaldsdeponeringsanlæg, forbrændingsanlæg</w:t>
      </w:r>
      <w:r>
        <w:rPr>
          <w:noProof/>
          <w:vertAlign w:val="superscript"/>
          <w:lang w:val="en-IE"/>
        </w:rPr>
        <w:footnoteReference w:id="39"/>
      </w:r>
      <w:r>
        <w:rPr>
          <w:noProof/>
        </w:rPr>
        <w:t xml:space="preserve"> og anlæg til mekanisk-biologisk behandling</w:t>
      </w:r>
      <w:r>
        <w:rPr>
          <w:noProof/>
          <w:vertAlign w:val="superscript"/>
          <w:lang w:val="en-IE"/>
        </w:rPr>
        <w:footnoteReference w:id="40"/>
      </w:r>
      <w:r>
        <w:rPr>
          <w:noProof/>
        </w:rPr>
        <w:t xml:space="preserve"> og iv) aktiviteter og aktiver, hvor langsigtet bortskaffelse af affald kan skade miljøet og</w:t>
      </w:r>
    </w:p>
    <w:p>
      <w:pPr>
        <w:pStyle w:val="Text1"/>
        <w:numPr>
          <w:ilvl w:val="0"/>
          <w:numId w:val="155"/>
        </w:numPr>
        <w:rPr>
          <w:noProof/>
        </w:rPr>
      </w:pPr>
      <w:r>
        <w:rPr>
          <w:noProof/>
        </w:rPr>
        <w:t>kræve, at den bemyndigede enhed/finansielle formidler verificerer den bemyndigede enheds/finansielle formidlers overholdelse af den relevante EU-lovgivning og nationale miljølovgivning for alle transaktioner, herunder dem, der er undtaget fra bæredygtighedskontrol.</w:t>
      </w:r>
    </w:p>
    <w:p>
      <w:pPr>
        <w:pStyle w:val="Text1"/>
        <w:ind w:left="0"/>
        <w:rPr>
          <w:iCs/>
          <w:noProof/>
          <w:highlight w:val="green"/>
        </w:rPr>
      </w:pPr>
      <w:r>
        <w:rPr>
          <w:noProof/>
        </w:rPr>
        <w:t>For at sikre, at foranstaltningen er i overensstemmelse med den tekniske vejledning om DNSH-princippet (2021/C58/01), skal de kriterier for støtteberettigelse, der er fastsat i udbudsbetingelserne for kommende indkaldelser af projekter, i forbindelse med udbud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41"/>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42"/>
      </w:r>
      <w:r>
        <w:rPr>
          <w:noProof/>
        </w:rPr>
        <w:t xml:space="preserve"> iii) Aktiviteter i forbindelse med affaldsdeponeringsanlæg, forbrændingsanlæg</w:t>
      </w:r>
      <w:r>
        <w:rPr>
          <w:rStyle w:val="FootnoteReference"/>
          <w:noProof/>
          <w:lang w:val="en-IE"/>
        </w:rPr>
        <w:footnoteReference w:id="43"/>
      </w:r>
      <w:r>
        <w:rPr>
          <w:noProof/>
        </w:rPr>
        <w:t xml:space="preserve"> og anlæg til mekanisk-biologisk behandling</w:t>
      </w:r>
      <w:r>
        <w:rPr>
          <w:rStyle w:val="FootnoteReference"/>
          <w:noProof/>
          <w:lang w:val="en-IE"/>
        </w:rPr>
        <w:footnoteReference w:id="44"/>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line="240" w:lineRule="auto"/>
        <w:jc w:val="both"/>
        <w:rPr>
          <w:noProof/>
        </w:rPr>
      </w:pPr>
      <w:r>
        <w:rPr>
          <w:rFonts w:ascii="Times New Roman" w:hAnsi="Times New Roman"/>
          <w:noProof/>
          <w:sz w:val="24"/>
          <w:szCs w:val="24"/>
        </w:rPr>
        <w:t>Gennemførelsen af investeringen skal være afsluttet senest den 31. december 2023.</w:t>
      </w:r>
    </w:p>
    <w:p>
      <w:pPr>
        <w:pStyle w:val="Text1"/>
        <w:ind w:left="0"/>
        <w:rPr>
          <w:noProof/>
          <w:u w:val="single"/>
        </w:rPr>
      </w:pPr>
      <w:r>
        <w:rPr>
          <w:noProof/>
          <w:u w:val="single"/>
        </w:rPr>
        <w:t xml:space="preserve">Investering 3 (C13.I3) Digitalisering og innovation </w:t>
      </w:r>
    </w:p>
    <w:p>
      <w:pPr>
        <w:pStyle w:val="Text1"/>
        <w:ind w:left="0"/>
        <w:rPr>
          <w:noProof/>
        </w:rPr>
      </w:pPr>
      <w:r>
        <w:rPr>
          <w:noProof/>
        </w:rPr>
        <w:t>Formålet med denne investering er at udstyre SMV'er med de færdigheder og værktøjer, der er nødvendige for at bidrage til den digitale omstilling og tackle de udfordringer, der følger heraf. Den er i overensstemmelse med Spaniens digitale dagsorden 2025 og suppleres af foranstaltninger i komponent 15 om konnektivitet og i komponent 19 om digitale færdigheder.</w:t>
      </w:r>
    </w:p>
    <w:p>
      <w:pPr>
        <w:pStyle w:val="Text1"/>
        <w:ind w:left="0"/>
        <w:rPr>
          <w:noProof/>
        </w:rPr>
      </w:pPr>
      <w:r>
        <w:rPr>
          <w:noProof/>
        </w:rPr>
        <w:t>Investeringen fokuserer på følgende forskellige tiltag:</w:t>
      </w:r>
    </w:p>
    <w:p>
      <w:pPr>
        <w:pStyle w:val="Text1"/>
        <w:ind w:left="0"/>
        <w:rPr>
          <w:noProof/>
        </w:rPr>
      </w:pPr>
      <w:r>
        <w:rPr>
          <w:noProof/>
        </w:rPr>
        <w:t>1) digital værktøjskasse: Dette er den vigtigste foranstaltning under denne foranstaltning, som skal sætte skub i digitaliseringen af små virksomheder (ti til 49 ansatte), mikrovirksomheder (en til ni ansatte) og selvstændige i alle erhvervssektorer og øge deres digitale modenhed. Programmet er baseret på tilskud til at støtte integrationen af digital teknologi med henblik på effektiv indførelse af e-handel, digitalisere forbindelserne med den offentlige forvaltning og med kunderne, udvikle digitale interne processer og indføre e-fakturering og digital markedsføring. fremme af særligt serviceorienterede løsninger. Programmet skal delvis dække omkostningerne ved at vedtage pakker af grundlæggende digitale løsninger, såsom internettilstedeværelse, e-selling, cloud-kontor, digitalt job, grundlæggende digitaliseringsprocesser, kundestyring, digital markedsføring og cybersikkerhed. Hver DTK-digitaliseringspakke tildeles et fast tilskudsbeløb, som fastsættes i hver indkaldelse i forhold til virksomhedens størrelse og aktivitetssektor. Støtten forventes at nå ud til 1 000 000 SMV'er.</w:t>
      </w:r>
    </w:p>
    <w:p>
      <w:pPr>
        <w:pStyle w:val="Text1"/>
        <w:ind w:left="0"/>
        <w:rPr>
          <w:noProof/>
        </w:rPr>
      </w:pPr>
      <w:r>
        <w:rPr>
          <w:noProof/>
        </w:rPr>
        <w:t>2) program for aktører i forandring: dette program skal støtte mindst 15 000 små og mellemstore virksomheder (TEN-249-ansatte) i deres digitale omstillingsprocesser.</w:t>
      </w:r>
    </w:p>
    <w:p>
      <w:pPr>
        <w:pStyle w:val="Text1"/>
        <w:ind w:left="0"/>
        <w:rPr>
          <w:noProof/>
        </w:rPr>
      </w:pPr>
      <w:r>
        <w:rPr>
          <w:noProof/>
        </w:rPr>
        <w:t>3) "SMV2.0-acceleratorer" -programmet: dette er en foranstaltning under denne investering, som skal udvide infrastrukturen til støtte for digitalisering af SMV'er med rådgivningstjenester og uddannelsestjenester.</w:t>
      </w:r>
    </w:p>
    <w:p>
      <w:pPr>
        <w:pStyle w:val="Text1"/>
        <w:ind w:left="0"/>
        <w:rPr>
          <w:noProof/>
        </w:rPr>
      </w:pPr>
      <w:r>
        <w:rPr>
          <w:noProof/>
        </w:rPr>
        <w:t>5) program for støtte til innovative virksomhedsklynger: denne foranstaltning skal støtte projekter, der har til formål at digitalisere værdikæden i de forskellige industrisektorer med det formål at modernisere dem og inddrage SMV'er i værdikæden.</w:t>
      </w:r>
    </w:p>
    <w:p>
      <w:pPr>
        <w:pStyle w:val="Text1"/>
        <w:ind w:left="0"/>
        <w:rPr>
          <w:noProof/>
        </w:rPr>
      </w:pPr>
      <w:r>
        <w:rPr>
          <w:noProof/>
        </w:rPr>
        <w:t>6) programmet "digitale innovationsknudepunkter" (DIH): dette er et program til støtte for udviklingen af digitale innovationsknudepunkter i Spanien. Digitale innovationsknudepunkter er strukturer, der hjælper virksomheder med at reagere på de digitale udfordringer og blive mere konkurrencedygtige ved at forbedre deres forretnings- og produktionsprocesser gennem intensiv brug af digitale teknologier. Som led i denne delforanstaltning skal der ydes støtte til digitale innovationsknudepunkter 25.</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45"/>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46"/>
      </w:r>
      <w:r>
        <w:rPr>
          <w:noProof/>
        </w:rPr>
        <w:t xml:space="preserve"> iii) Aktiviteter i forbindelse med affaldsdeponeringsanlæg, forbrændingsanlæg</w:t>
      </w:r>
      <w:r>
        <w:rPr>
          <w:rStyle w:val="FootnoteReference"/>
          <w:noProof/>
          <w:lang w:val="en-IE"/>
        </w:rPr>
        <w:footnoteReference w:id="47"/>
      </w:r>
      <w:r>
        <w:rPr>
          <w:noProof/>
        </w:rPr>
        <w:t xml:space="preserve"> og anlæg til mekanisk-biologisk behandling</w:t>
      </w:r>
      <w:r>
        <w:rPr>
          <w:rStyle w:val="FootnoteReference"/>
          <w:noProof/>
          <w:lang w:val="en-IE"/>
        </w:rPr>
        <w:footnoteReference w:id="48"/>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31. december 2025.</w:t>
      </w:r>
    </w:p>
    <w:p>
      <w:pPr>
        <w:pStyle w:val="Text1"/>
        <w:ind w:left="0"/>
        <w:rPr>
          <w:noProof/>
          <w:u w:val="single"/>
        </w:rPr>
      </w:pPr>
      <w:r>
        <w:rPr>
          <w:noProof/>
          <w:u w:val="single"/>
        </w:rPr>
        <w:t xml:space="preserve">Investering 4 (C13.I4) Støtte til handel </w:t>
      </w:r>
    </w:p>
    <w:p>
      <w:pPr>
        <w:pStyle w:val="Text1"/>
        <w:ind w:left="0"/>
        <w:rPr>
          <w:noProof/>
        </w:rPr>
      </w:pPr>
      <w:r>
        <w:rPr>
          <w:noProof/>
        </w:rPr>
        <w:t xml:space="preserve">Formålet med foranstaltningen er at hjælpe små virksomheder med at tilpasse sig digitaliseringen af handelssektoren og den ændrede forbrugeradfærd. </w:t>
      </w:r>
    </w:p>
    <w:p>
      <w:pPr>
        <w:pStyle w:val="Text1"/>
        <w:ind w:left="0"/>
        <w:rPr>
          <w:noProof/>
        </w:rPr>
      </w:pPr>
      <w:r>
        <w:rPr>
          <w:noProof/>
        </w:rPr>
        <w:t>Investeringen skal have to hovedindsatsområder.</w:t>
      </w:r>
    </w:p>
    <w:p>
      <w:pPr>
        <w:pStyle w:val="Text1"/>
        <w:numPr>
          <w:ilvl w:val="0"/>
          <w:numId w:val="135"/>
        </w:numPr>
        <w:rPr>
          <w:noProof/>
        </w:rPr>
      </w:pPr>
      <w:r>
        <w:rPr>
          <w:noProof/>
        </w:rPr>
        <w:t>Projekter i sektoren for mindre handel sigtede mod at indarbejde nye teknologier, der sætter den lokale handel i stand til at reagere på nye forbrugsvaner under "Teknologifonden" (200 projekter). Støtteberettigede projekter under denne fond omfatter:</w:t>
      </w:r>
    </w:p>
    <w:p>
      <w:pPr>
        <w:pStyle w:val="Text1"/>
        <w:numPr>
          <w:ilvl w:val="1"/>
          <w:numId w:val="135"/>
        </w:numPr>
        <w:rPr>
          <w:noProof/>
        </w:rPr>
      </w:pPr>
      <w:r>
        <w:rPr>
          <w:noProof/>
        </w:rPr>
        <w:t>Projekter inden for nye teknologier, der har til formål at forbedre forretnings- og kommunikationsstrategier, forretningsmodeller eller indkøbserfaringer på nettet.</w:t>
      </w:r>
    </w:p>
    <w:p>
      <w:pPr>
        <w:pStyle w:val="Text1"/>
        <w:numPr>
          <w:ilvl w:val="1"/>
          <w:numId w:val="135"/>
        </w:numPr>
        <w:rPr>
          <w:noProof/>
        </w:rPr>
      </w:pPr>
      <w:r>
        <w:rPr>
          <w:noProof/>
        </w:rPr>
        <w:t>Projekter inden for nye teknologier til tilpasning af erfaringerne med fysisk indkøb til nye forbrugerbehov og -vaner og nye forvaltningsmodeller.</w:t>
      </w:r>
    </w:p>
    <w:p>
      <w:pPr>
        <w:pStyle w:val="Text1"/>
        <w:numPr>
          <w:ilvl w:val="1"/>
          <w:numId w:val="135"/>
        </w:numPr>
        <w:rPr>
          <w:noProof/>
        </w:rPr>
      </w:pPr>
      <w:r>
        <w:rPr>
          <w:noProof/>
        </w:rPr>
        <w:t>Projekter inden for teknologiske løsninger til forbedring af effektiviteten og bæredygtigheden af den sidste kilometer logistik.</w:t>
      </w:r>
    </w:p>
    <w:p>
      <w:pPr>
        <w:pStyle w:val="Text1"/>
        <w:numPr>
          <w:ilvl w:val="1"/>
          <w:numId w:val="135"/>
        </w:numPr>
        <w:rPr>
          <w:noProof/>
        </w:rPr>
      </w:pPr>
      <w:r>
        <w:rPr>
          <w:noProof/>
        </w:rPr>
        <w:t xml:space="preserve">Projekter til gennemførelse af teknologiske løsninger til forbedring af energi- og ressourceeffektivitet. </w:t>
      </w:r>
    </w:p>
    <w:p>
      <w:pPr>
        <w:pStyle w:val="Text1"/>
        <w:ind w:left="0"/>
        <w:rPr>
          <w:noProof/>
        </w:rPr>
      </w:pPr>
      <w:r>
        <w:rPr>
          <w:noProof/>
        </w:rPr>
        <w:t>Investeringen vil blive suppleret med oprettelsen af en digital platform (</w:t>
      </w:r>
      <w:r>
        <w:rPr>
          <w:i/>
          <w:noProof/>
        </w:rPr>
        <w:t>Plataforma Comercio Conectado)</w:t>
      </w:r>
      <w:r>
        <w:rPr>
          <w:noProof/>
        </w:rPr>
        <w:t xml:space="preserve"> for at fremme digitaliseringen af sektoren. </w:t>
      </w:r>
    </w:p>
    <w:p>
      <w:pPr>
        <w:pStyle w:val="Text1"/>
        <w:numPr>
          <w:ilvl w:val="0"/>
          <w:numId w:val="135"/>
        </w:numPr>
        <w:rPr>
          <w:noProof/>
        </w:rPr>
      </w:pPr>
      <w:r>
        <w:rPr>
          <w:noProof/>
        </w:rPr>
        <w:t xml:space="preserve">Projekter indsendt af lokale myndigheder med henblik på at forbedre moderniseringen af kommunale markeder, kommercielle områder, ikke-stillesiddende salgsmarkeder og korte markedsføringskanaler under programmet "bæredygtige markeder" (130 projekter). Støtteberettigede projekter under dette program omfatter: </w:t>
      </w:r>
    </w:p>
    <w:p>
      <w:pPr>
        <w:pStyle w:val="Text1"/>
        <w:numPr>
          <w:ilvl w:val="1"/>
          <w:numId w:val="135"/>
        </w:numPr>
        <w:rPr>
          <w:noProof/>
        </w:rPr>
      </w:pPr>
      <w:r>
        <w:rPr>
          <w:noProof/>
        </w:rPr>
        <w:t>Projekter vedrørende indførelse af kundeinformationsværktøjer baseret på big data eller andre teknologier.</w:t>
      </w:r>
    </w:p>
    <w:p>
      <w:pPr>
        <w:pStyle w:val="Text1"/>
        <w:numPr>
          <w:ilvl w:val="1"/>
          <w:numId w:val="135"/>
        </w:numPr>
        <w:rPr>
          <w:noProof/>
        </w:rPr>
      </w:pPr>
      <w:r>
        <w:rPr>
          <w:noProof/>
        </w:rPr>
        <w:t>Projekter i den digitale omstilling af markeder, der forbedrer markedsplads- og shoppingoplevelsen.</w:t>
      </w:r>
    </w:p>
    <w:p>
      <w:pPr>
        <w:pStyle w:val="Text1"/>
        <w:numPr>
          <w:ilvl w:val="1"/>
          <w:numId w:val="135"/>
        </w:numPr>
        <w:rPr>
          <w:noProof/>
        </w:rPr>
      </w:pPr>
      <w:r>
        <w:rPr>
          <w:noProof/>
        </w:rPr>
        <w:t>Projekter rettet mod digital omstilling af gadehandel og korte markedsføringskanaler.</w:t>
      </w:r>
    </w:p>
    <w:p>
      <w:pPr>
        <w:pStyle w:val="Text1"/>
        <w:numPr>
          <w:ilvl w:val="1"/>
          <w:numId w:val="135"/>
        </w:numPr>
        <w:rPr>
          <w:noProof/>
        </w:rPr>
      </w:pPr>
      <w:r>
        <w:rPr>
          <w:noProof/>
        </w:rPr>
        <w:t>Projekter vedrørende anlægsarbejder og renovering med henblik på at forbedre faciliteterne, deres tilgængelighed, udstyr og tilstrækkelighed af de områder, hvor der findes kommunale markeder, kommercielle områder og markeder, der ikke er fastboende, og deres tilstødende områder.</w:t>
      </w:r>
    </w:p>
    <w:p>
      <w:pPr>
        <w:pStyle w:val="Text1"/>
        <w:numPr>
          <w:ilvl w:val="1"/>
          <w:numId w:val="135"/>
        </w:numPr>
        <w:rPr>
          <w:noProof/>
        </w:rPr>
      </w:pPr>
      <w:r>
        <w:rPr>
          <w:noProof/>
        </w:rPr>
        <w:t>Projekter, der har til formål at reducere forbruget af input i handelen og erstatte disse med miljøvenlige alternativer.</w:t>
      </w:r>
    </w:p>
    <w:p>
      <w:pPr>
        <w:pStyle w:val="Text1"/>
        <w:numPr>
          <w:ilvl w:val="1"/>
          <w:numId w:val="135"/>
        </w:numPr>
        <w:rPr>
          <w:noProof/>
        </w:rPr>
      </w:pPr>
      <w:r>
        <w:rPr>
          <w:noProof/>
        </w:rPr>
        <w:t>Installation af intelligente leveringssteder.</w:t>
      </w:r>
    </w:p>
    <w:p>
      <w:pPr>
        <w:pStyle w:val="Text1"/>
        <w:numPr>
          <w:ilvl w:val="1"/>
          <w:numId w:val="135"/>
        </w:numPr>
        <w:rPr>
          <w:noProof/>
        </w:rPr>
      </w:pPr>
      <w:r>
        <w:rPr>
          <w:noProof/>
        </w:rPr>
        <w:t>Projekter til forbedring af energieffektiviteten.</w:t>
      </w:r>
    </w:p>
    <w:p>
      <w:pPr>
        <w:pStyle w:val="Text1"/>
        <w:numPr>
          <w:ilvl w:val="1"/>
          <w:numId w:val="135"/>
        </w:numPr>
        <w:rPr>
          <w:noProof/>
        </w:rPr>
      </w:pPr>
      <w:r>
        <w:rPr>
          <w:noProof/>
        </w:rPr>
        <w:t>Foranstaltninger, der fremmer genanvendelse eller genbrug af affald.</w:t>
      </w:r>
    </w:p>
    <w:p>
      <w:pPr>
        <w:pStyle w:val="Text1"/>
        <w:numPr>
          <w:ilvl w:val="1"/>
          <w:numId w:val="135"/>
        </w:numPr>
        <w:rPr>
          <w:noProof/>
        </w:rPr>
      </w:pPr>
      <w:r>
        <w:rPr>
          <w:noProof/>
        </w:rPr>
        <w:t>Bevidstgørelse og uddannelse i teknologiske færdigheder.</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49"/>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50"/>
      </w:r>
      <w:r>
        <w:rPr>
          <w:noProof/>
        </w:rPr>
        <w:t xml:space="preserve"> iii) Aktiviteter i forbindelse med affaldsdeponeringsanlæg, forbrændingsanlæg</w:t>
      </w:r>
      <w:r>
        <w:rPr>
          <w:rStyle w:val="FootnoteReference"/>
          <w:noProof/>
          <w:lang w:val="en-IE"/>
        </w:rPr>
        <w:footnoteReference w:id="51"/>
      </w:r>
      <w:r>
        <w:rPr>
          <w:noProof/>
        </w:rPr>
        <w:t xml:space="preserve"> og anlæg til mekanisk-biologisk behandling</w:t>
      </w:r>
      <w:r>
        <w:rPr>
          <w:rStyle w:val="FootnoteReference"/>
          <w:noProof/>
          <w:lang w:val="en-IE"/>
        </w:rPr>
        <w:footnoteReference w:id="52"/>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31. december 2024.</w:t>
      </w:r>
    </w:p>
    <w:p>
      <w:pPr>
        <w:pStyle w:val="Text1"/>
        <w:ind w:left="0"/>
        <w:rPr>
          <w:noProof/>
          <w:u w:val="single"/>
        </w:rPr>
      </w:pPr>
      <w:r>
        <w:rPr>
          <w:noProof/>
          <w:u w:val="single"/>
        </w:rPr>
        <w:t xml:space="preserve">Investering 5 (C13.I5) Internationalisering </w:t>
      </w:r>
    </w:p>
    <w:p>
      <w:pPr>
        <w:pStyle w:val="Text1"/>
        <w:ind w:left="0"/>
        <w:rPr>
          <w:noProof/>
        </w:rPr>
      </w:pPr>
      <w:r>
        <w:rPr>
          <w:noProof/>
        </w:rPr>
        <w:t>Formålet med foranstaltningen er at styrke kapaciteten og instrumenterne i det spanske eksportstøttesystem, internationaliseringssystem og udenlandske investeringssystem.</w:t>
      </w:r>
    </w:p>
    <w:p>
      <w:pPr>
        <w:pStyle w:val="Text1"/>
        <w:ind w:left="0"/>
        <w:rPr>
          <w:noProof/>
        </w:rPr>
      </w:pPr>
      <w:r>
        <w:rPr>
          <w:noProof/>
        </w:rPr>
        <w:t>Investeringen består af 11 foranstaltninger som følger:</w:t>
      </w:r>
    </w:p>
    <w:p>
      <w:pPr>
        <w:pStyle w:val="Text1"/>
        <w:numPr>
          <w:ilvl w:val="0"/>
          <w:numId w:val="136"/>
        </w:numPr>
        <w:rPr>
          <w:noProof/>
        </w:rPr>
      </w:pPr>
      <w:r>
        <w:rPr>
          <w:noProof/>
        </w:rPr>
        <w:t>Budgetpost til finansiering af gennemførligheds-, gennemførligheds-, præfeasibilitets- og sektormoderniseringsundersøgelser og institutionelle moderniseringsundersøgelser.</w:t>
      </w:r>
    </w:p>
    <w:p>
      <w:pPr>
        <w:pStyle w:val="Text1"/>
        <w:numPr>
          <w:ilvl w:val="0"/>
          <w:numId w:val="136"/>
        </w:numPr>
        <w:rPr>
          <w:noProof/>
        </w:rPr>
      </w:pPr>
      <w:r>
        <w:rPr>
          <w:noProof/>
        </w:rPr>
        <w:t>INNOVA Invest-programmet til støtte for udenlandske investeringer i F &amp; D.</w:t>
      </w:r>
    </w:p>
    <w:p>
      <w:pPr>
        <w:pStyle w:val="Text1"/>
        <w:numPr>
          <w:ilvl w:val="0"/>
          <w:numId w:val="136"/>
        </w:numPr>
        <w:rPr>
          <w:noProof/>
        </w:rPr>
      </w:pPr>
      <w:r>
        <w:rPr>
          <w:noProof/>
        </w:rPr>
        <w:t>VIVES-programmet, der skal yde finansiel støtte til ansættelse af praktikanter i virksomheder, der er involveret i eksportaktiviteter.</w:t>
      </w:r>
    </w:p>
    <w:p>
      <w:pPr>
        <w:pStyle w:val="Text1"/>
        <w:numPr>
          <w:ilvl w:val="0"/>
          <w:numId w:val="136"/>
        </w:numPr>
        <w:rPr>
          <w:noProof/>
        </w:rPr>
      </w:pPr>
      <w:r>
        <w:rPr>
          <w:noProof/>
        </w:rPr>
        <w:t>Det internationale uddannelsesprogram for mentorordninger</w:t>
      </w:r>
    </w:p>
    <w:p>
      <w:pPr>
        <w:pStyle w:val="Text1"/>
        <w:numPr>
          <w:ilvl w:val="0"/>
          <w:numId w:val="136"/>
        </w:numPr>
        <w:rPr>
          <w:noProof/>
        </w:rPr>
      </w:pPr>
      <w:r>
        <w:rPr>
          <w:noProof/>
        </w:rPr>
        <w:t>Program til styrkelse af kommunikationssystemer, telematiktjenester og digitalisering af eksportorganisationer, eksportsammenslutninger, spanske handelskamre og deres sammenslutninger.</w:t>
      </w:r>
    </w:p>
    <w:p>
      <w:pPr>
        <w:pStyle w:val="Text1"/>
        <w:numPr>
          <w:ilvl w:val="0"/>
          <w:numId w:val="136"/>
        </w:numPr>
        <w:rPr>
          <w:noProof/>
        </w:rPr>
      </w:pPr>
      <w:r>
        <w:rPr>
          <w:noProof/>
        </w:rPr>
        <w:t>Export-Base Udvidelsesprogrammet, et program, der skal yde individualiseret coaching til især internationalisering af virksomheder og SMV'er.</w:t>
      </w:r>
    </w:p>
    <w:p>
      <w:pPr>
        <w:pStyle w:val="Text1"/>
        <w:numPr>
          <w:ilvl w:val="0"/>
          <w:numId w:val="136"/>
        </w:numPr>
        <w:rPr>
          <w:noProof/>
        </w:rPr>
      </w:pPr>
      <w:r>
        <w:rPr>
          <w:noProof/>
        </w:rPr>
        <w:t>Program for styrkelse af det spanske økosystem for højvækstvirksomheder.</w:t>
      </w:r>
    </w:p>
    <w:p>
      <w:pPr>
        <w:pStyle w:val="Text1"/>
        <w:numPr>
          <w:ilvl w:val="0"/>
          <w:numId w:val="136"/>
        </w:numPr>
        <w:rPr>
          <w:noProof/>
        </w:rPr>
      </w:pPr>
      <w:r>
        <w:rPr>
          <w:noProof/>
        </w:rPr>
        <w:t>Støtte til åbning og konsolidering af markederne gennem tilskud til udgifter til kontrol og revision af myndigheder i tredjelande og til udgifter til juridisk bistand og konsulentbistand i forbindelse med handelsbeskyttelse.</w:t>
      </w:r>
    </w:p>
    <w:p>
      <w:pPr>
        <w:pStyle w:val="ListParagraph"/>
        <w:numPr>
          <w:ilvl w:val="0"/>
          <w:numId w:val="136"/>
        </w:numPr>
        <w:rPr>
          <w:rFonts w:ascii="Times New Roman" w:hAnsi="Times New Roman" w:cs="Times New Roman"/>
          <w:noProof/>
          <w:sz w:val="24"/>
          <w:szCs w:val="24"/>
        </w:rPr>
      </w:pPr>
      <w:r>
        <w:rPr>
          <w:rFonts w:ascii="Times New Roman" w:hAnsi="Times New Roman"/>
          <w:noProof/>
          <w:sz w:val="24"/>
          <w:szCs w:val="24"/>
        </w:rPr>
        <w:t>Et finansielt tilskyndelsesprogram fra COFIDES (en statsejet finansiel institution, der yder mellem- og langsigtet finansiering til støtte for virksomheders internationaliseringsprojekter) for at fremme virkningsskabende investeringer. Hovedmålet er at skabe en målbar, social og/eller miljømæssig indvirkning sammen med et økonomisk afkast.</w:t>
      </w:r>
    </w:p>
    <w:p>
      <w:pPr>
        <w:pStyle w:val="Text1"/>
        <w:numPr>
          <w:ilvl w:val="0"/>
          <w:numId w:val="136"/>
        </w:numPr>
        <w:rPr>
          <w:noProof/>
        </w:rPr>
      </w:pPr>
      <w:r>
        <w:rPr>
          <w:noProof/>
        </w:rPr>
        <w:t>Fremme digitaliseringen af offentlige tjenester for at støtte internationalisering.</w:t>
      </w:r>
    </w:p>
    <w:p>
      <w:pPr>
        <w:pStyle w:val="Text1"/>
        <w:numPr>
          <w:ilvl w:val="0"/>
          <w:numId w:val="136"/>
        </w:numPr>
        <w:rPr>
          <w:noProof/>
        </w:rPr>
      </w:pPr>
      <w:r>
        <w:rPr>
          <w:noProof/>
        </w:rPr>
        <w:t>Digitalisering af ICEX (en national offentlig virksomhedsenhed, der fremmer internationalisering af spanske virksomheder).</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53"/>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54"/>
      </w:r>
      <w:r>
        <w:rPr>
          <w:noProof/>
        </w:rPr>
        <w:t xml:space="preserve"> iii) Aktiviteter i forbindelse med affaldsdeponeringsanlæg, forbrændingsanlæg</w:t>
      </w:r>
      <w:r>
        <w:rPr>
          <w:rStyle w:val="FootnoteReference"/>
          <w:noProof/>
          <w:lang w:val="en-IE"/>
        </w:rPr>
        <w:footnoteReference w:id="55"/>
      </w:r>
      <w:r>
        <w:rPr>
          <w:noProof/>
        </w:rPr>
        <w:t xml:space="preserve"> og anlæg til mekanisk-biologisk behandling</w:t>
      </w:r>
      <w:r>
        <w:rPr>
          <w:rStyle w:val="FootnoteReference"/>
          <w:noProof/>
          <w:lang w:val="en-IE"/>
        </w:rPr>
        <w:footnoteReference w:id="56"/>
      </w:r>
      <w:r>
        <w:rPr>
          <w:noProof/>
        </w:rPr>
        <w:t xml:space="preserve"> og iv) aktiviteter, hvor langsigtet bortskaffelse af affald kan skade miljøet. Mandatet skal desuden kræve, at kun aktiviteter, der er i overensstemmelse med relevant EU- og national miljølovgivning, kan udvælges.</w:t>
      </w:r>
    </w:p>
    <w:p>
      <w:pPr>
        <w:pStyle w:val="Text1"/>
        <w:ind w:left="0"/>
        <w:rPr>
          <w:noProof/>
        </w:rPr>
      </w:pPr>
      <w:r>
        <w:rPr>
          <w:noProof/>
        </w:rPr>
        <w:t xml:space="preserve">For så vidt angår finansielle instrumenter skal den retlige aftale mellem de spanske myndigheder og den bemyndigede enhed eller den finansielle formidler med ansvar for det finansielle instrument og den efterfølgende investeringspolitik for det finansielle instrument for at sikre, at foranstaltningen er i overensstemmelse med den tekniske vejledning om DNSH-princippet (2021/C58/01) </w:t>
      </w:r>
    </w:p>
    <w:p>
      <w:pPr>
        <w:pStyle w:val="Text1"/>
        <w:numPr>
          <w:ilvl w:val="0"/>
          <w:numId w:val="177"/>
        </w:numPr>
        <w:rPr>
          <w:noProof/>
        </w:rPr>
      </w:pPr>
      <w:r>
        <w:rPr>
          <w:noProof/>
        </w:rPr>
        <w:t>kræve anvendelse af Kommissionens tekniske vejledning om bæredygtighedskontrol for InvestEU-fonden og</w:t>
      </w:r>
    </w:p>
    <w:p>
      <w:pPr>
        <w:pStyle w:val="Text1"/>
        <w:numPr>
          <w:ilvl w:val="0"/>
          <w:numId w:val="177"/>
        </w:numPr>
        <w:rPr>
          <w:noProof/>
        </w:rPr>
      </w:pPr>
      <w:r>
        <w:rPr>
          <w:noProof/>
        </w:rPr>
        <w:t>udelukke følgende liste over aktiviteter og aktiver fra støtteberettigelse: i) aktiviteter og aktiver i forbindelse med fossile brændstoffer, herunder downstream-anvendelse</w:t>
      </w:r>
      <w:r>
        <w:rPr>
          <w:noProof/>
          <w:vertAlign w:val="superscript"/>
          <w:lang w:val="en-IE"/>
        </w:rPr>
        <w:footnoteReference w:id="57"/>
      </w:r>
      <w:r>
        <w:rPr>
          <w:noProof/>
        </w:rPr>
        <w:t xml:space="preserve"> ii) aktiviteter og aktiver under EU's emissionshandelssystem (ETS) med henblik på at opnå forventede drivhusgasemissioner, der ikke er lavere end de relevante benchmarks</w:t>
      </w:r>
      <w:r>
        <w:rPr>
          <w:noProof/>
          <w:vertAlign w:val="superscript"/>
          <w:lang w:val="en-IE"/>
        </w:rPr>
        <w:footnoteReference w:id="58"/>
      </w:r>
      <w:r>
        <w:rPr>
          <w:noProof/>
        </w:rPr>
        <w:t xml:space="preserve"> iii) Aktiviteter og aktiver i forbindelse med affaldsdeponeringsanlæg, forbrændingsanlæg</w:t>
      </w:r>
      <w:r>
        <w:rPr>
          <w:noProof/>
          <w:vertAlign w:val="superscript"/>
          <w:lang w:val="en-IE"/>
        </w:rPr>
        <w:footnoteReference w:id="59"/>
      </w:r>
      <w:r>
        <w:rPr>
          <w:noProof/>
        </w:rPr>
        <w:t xml:space="preserve"> og anlæg til mekanisk-biologisk behandling</w:t>
      </w:r>
      <w:r>
        <w:rPr>
          <w:noProof/>
          <w:vertAlign w:val="superscript"/>
          <w:lang w:val="en-IE"/>
        </w:rPr>
        <w:footnoteReference w:id="60"/>
      </w:r>
      <w:r>
        <w:rPr>
          <w:noProof/>
        </w:rPr>
        <w:t xml:space="preserve"> og iv) aktiviteter og aktiver, hvor langsigtet bortskaffelse af affald kan skade miljøet og</w:t>
      </w:r>
    </w:p>
    <w:p>
      <w:pPr>
        <w:pStyle w:val="Text1"/>
        <w:numPr>
          <w:ilvl w:val="0"/>
          <w:numId w:val="177"/>
        </w:numPr>
        <w:rPr>
          <w:noProof/>
        </w:rPr>
      </w:pPr>
      <w:r>
        <w:rPr>
          <w:noProof/>
        </w:rPr>
        <w:t>kræve, at den bemyndigede enhed/finansielle formidler verificerer den bemyndigede enheds/finansielle formidlers overholdelse af den relevante EU-lovgivning og nationale miljølovgivning for alle transaktioner, herunder dem, der er undtaget fra bæredygtighedskontrol.</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31. december 2024.</w:t>
      </w:r>
    </w:p>
    <w:p>
      <w:pPr>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M.2 </w:t>
      </w:r>
      <w:r>
        <w:rPr>
          <w:rFonts w:ascii="Times New Roman" w:hAnsi="Times New Roman"/>
          <w:b/>
          <w:noProof/>
          <w:sz w:val="24"/>
          <w:u w:val="single"/>
        </w:rPr>
        <w:tab/>
      </w:r>
      <w:r>
        <w:rPr>
          <w:rFonts w:ascii="Times New Roman" w:hAnsi="Times New Roman"/>
          <w:b/>
          <w:noProof/>
          <w:sz w:val="24"/>
          <w:szCs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b/>
          <w:noProof/>
          <w:sz w:val="24"/>
          <w:szCs w:val="24"/>
          <w:u w:val="single"/>
        </w:r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den 1. februar 2020, medmindre andet er angivet i beskrivelsen af foranstaltningen. Beløbene i tabellen omfatter ikke moms.</w:t>
      </w: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163"/>
          <w:headerReference w:type="default" r:id="rId164"/>
          <w:footerReference w:type="even" r:id="rId165"/>
          <w:footerReference w:type="default" r:id="rId166"/>
          <w:headerReference w:type="first" r:id="rId167"/>
          <w:footerReference w:type="first" r:id="rId16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127"/>
        <w:gridCol w:w="1134"/>
        <w:gridCol w:w="850"/>
        <w:gridCol w:w="709"/>
        <w:gridCol w:w="992"/>
        <w:gridCol w:w="425"/>
        <w:gridCol w:w="567"/>
        <w:gridCol w:w="609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12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2551"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609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12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709"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992"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609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189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lov om ændring af lov nr. 34/2006 om adgang til advokaterhvervet og de procesfuldmægtige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der angiver lovens ikrafttræden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 om ændring af lov nr. 34/2006 om adgang til advokaterhvervet og de procesfuldmægtige — Reform af det nuværende system med minimumsgebyrer til et system med maksimale gebyrer og ny forpligtelse til at indsende et omkostningsoverslag til kunden i forbindelse med rådgivning. — Tillade virksomhed på flere områder inden for advokat- og procesfuldmægtige inden for samme juridiske enhed — Enhed for adgang til advokaterhvervet og de procesfuldmægtige.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loven om reform af konkursloven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der angiver lovens ikrafttræden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reformen af konkursloven. Reformen af konkursloven, der går ud over direktivets krav, skal: — indføre en mere effektiv procedure for en ny chance for fysiske personer, der giver mulighed for gældssanering uden forudgående likvidation af den insolvente parts aktiver — indføre en særlig procedure for mikrovirksomheder og små og mellemstore virksomheder, som reducerer varigheden og omkostningerne og vil blive behandlet fuldt ud elektronisk.</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loven om virksomhedsetablering og vækst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der angiver lovens ikrafttræden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Den nye "lov om virksomhedsetablering og vækst" træder i kraft for at forenkle procedurerne for virksomhedsetablering og fremme diversificerede finansieringskilder for virksomhedernes vækst. Loven om virksomhedsetablering og vækst skal også omfatte foranstaltninger til fremme af en kultur for tidlig betaling, navnlig med henblik på at stille likviditet til rådighed for SMV'er og selvstændige ved at undgå forsinkede betalinger. De foranstaltninger, der skal gennemføres for at fremme en kultur med tidlig betaling, omfatter retningslinjer for offentliggørelse og gennemsigtighed af betalingsperioder, bedste forretningspraksis og mekanismer til bedre håndhævelse såsom et udenretligt tvistbilæggelsessystem. Loven om virksomhedsetablering og vækst skal også omfatte ændringer af loven om markedsenhed for at lette dens gennemførelse og styrke de mekanismer, der er til rådighed for markedsoperatører, der er berørt af markedshindringer.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Loven om nystartede virksomheder træder i kraft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der angiver lovens ikrafttræden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loven om nystartede virksomheder, der skaber gunstige rammer for oprettelse og vækst af meget innovative nystartede virksomheder. Loven om opstartsvirksomheder skal indføre reformer af skatter og socialsikringsbidrag i form af incitamenter til at fremme og lette udviklingen af nystartede virksomheder samt udenlandske iværksætteres og investorers tiltrækning i overensstemmelse med målene om finanspolitisk konsolidering.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Iværksættere eller SMV'er, der drager fordel af foranstaltninger til fremme af iværksætterøkosystemet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6 900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6 900 iværksættere eller SMV'er, der har gennemført et program, der har til formål at fremme iværksætterøkosystemet inden for rammerne af strategirammen for SMV-politik 2030, den spanske iværksætterstrategi og Spaniens digitale dagsorden 2025, herunder mindst 2 000 kvindelige iværksættere/SMV'er, der ledes eller deltog af kvinder, og i overensstemmelse med den tekniske vejledning om DNSH-princippet (2021/C58/01) for støttede transaktioner under denne foranstaltning gennem anvendelse af bæredygtighedstest, anvendelse af en udelukkelsesliste og kravet om overholdelse af den relevante EU-lovgivning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Brugere, der drager fordel af foranstaltninger til fremme af iværksætterøkosystemet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12 000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12 000 brugere, der drager fordel af foranstaltninger, der har til formål at fremme iværksætterøkosystemet inden for rammerne af strategirammen for SMV-politik 2030, den spanske iværksætterstrategi og Spaniens digitale dagsorden 2025 og i overensstemmelse med den tekniske vejledning om DNSH-princippet (2021/C58/01) for støttede transaktioner under denne foranstaltning gennem anvendelse af bæredygtighedskontrol, anvendelse af en udelukkelsesliste og kravet om overholdelse af den relevante EU-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Formidling, kommunikation og finansiering af andre aktioner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480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Der er gennemført mindst 480 aktioner med henblik på formidlings- og kommunikationskampagner med henblik på at skabe, udvikle eller tiltrække internationale arrangementer til Spanien med fokus på innovative virksomheder og programmer til at tiltrække kvindelige talenter. Dette skal omfatte mindst 20 arrangementer om iværksætteri, der er udviklet under "flagprogrammet" og mindst 260 kommunikationstiltag (200 mediearrangementer og 60 arrangementer) under "Spaniens iværksætternetværk"; Finansiering af en budgetpost til støtte for iværksætteri og SMV'er gennem programmet til støtte for kvindelige iværksættere. Dette omfatter støtte til mindst 200 kvindelige iværksættere gennem deltagelsesbaserede lån ydet af Empresa Nacional de Innovación, S.A., i overensstemmelse med den tekniske vejledning om DNSH-princippet (2021/C58/01) for støttede transaktioner under denne foranstaltning gennem anvendelse af bæredygtighedskontrol, anvendelse af en udelukkelsesliste og kravet om overholdelse af den relevante EU-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CERSA-garanti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EUR (mio.)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CERSA-garanti: Mindst et beløb på 1 000 000 000 EUR i garantier ydet af CERSA, som giver SMV'er mulighed for at opnå garantier for langsigtede investeringer og driftskapital. Udvælgelseskriterierne skal sikre overensstemmelse med den tekniske vejledning om DNSH-princippet (2021/C58/01) for støttede transaktioner under denne foranstaltning gennem anvendelse af bæredygtighedskontrol, anvendelse af en udelukkelsesliste og kravet om overholdelse af den relevante EU- og nationale miljølovgivning.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SMV'er støttet af programmet "Skills for SME Growth"</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11 000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11 000 SMV'er har afsluttet programmet "Skills for SME Growth". Udvælgelseskriterierne skal sikre overensstemmelse med den tekniske vejledning om DNSH-princippet (2021/C58/01) for støttede transaktioner under denne foranstaltning gennem anvendelse af bæredygtighedskontrol, anvendelse af en udelukkelsesliste og kravet om overholdelse af den relevante EU-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Iværksættere og SMV'er, der støttes af støtteprogrammet for industriel iværksætterkultur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1 500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Der ydes langsigtet finansiering til iværksættere og SMV'er til industrielle investeringsprojekter under støtteprogrammet for industriel iværksætterkultur. Der ydes finansiering til oprettelse af industrivirksomheder eller udvidelse af eksisterende faciliteter. Mindst 1 500 transaktioner, der har modtaget finansiering fra den 1. januar 2021 til den 31. december 2023. Udvælgelseskriterierne skal sikre overensstemmelse med den tekniske vejledning om DNSH-princippet (2021/C58/01) for støttede transaktioner under denne foranstaltning gennem anvendelse af bæredygtighedskontrol, anvendelse af en udelukkelsesliste og kravet om overholdelse af den relevante EU- og nationale miljølovgivning.</w:t>
            </w:r>
          </w:p>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(referenceniveau: 1. januar 2021).</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199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Digitaliseringsplan for SMV'er 2021-2025</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 af digitaliseringsplanen for SMV'er 2021-2025, som indeholder en række instrumenter til at indarbejde de allerede tilgængelige digitale værktøjer i mikrovirksomheder og selvstændige virksomheder, sætte skub i digitaliseringen af små virksomheder og fremme teknologisk innovation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Budget afsat til programmet "Digital Toolkit"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30 % af budgettet på 3 067 000 000 EUR, der er afsat til foranstaltninger til digitalisering af SMV'er via programmet Digital Toolkit, i overensstemmelse med den tekniske vejledning om DNSH-princippet (2021/C58/01) gennem anvendelse af en udelukkelsesliste og krav om overholdelse af den relevante EU-lovgivning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Budget afsat til programmet for forandringsagenter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30 % af budgettet er afsat til 300 000 000 EUR, der er afsat til SMV'er i programmet "Agenter of Change Programme". Indkaldelserne af forslag med mandat skal omfatte kriterier for støtteberettigelse, der sikrer, at de udvalgte projekter overholder den tekniske vejledning om DNSH-princippet (2021/C58/01) ved hjælp af en udelukkelsesliste og kravet om overholdelse af den relevante EU-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Budget afsat til støtteprogrammet for innovationsklynger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30 % af budgettet på 115 000 000 EUR, der er afsat til SMV'er i "Støtteprogrammet for innovationsklynger". Indkaldelserne af forslag med mandat skal omfatte kriterier for støtteberettigelse, der sikrer, at de udvalgte projekter overholder den tekniske vejledning om DNSH-princippet (2021/C58/01) ved hjælp af en udelukkelsesliste og kravet om overholdelse af den relevante EU-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Budget afsat til DIHS-programmet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30 % af budgettet på 37 590 000 EUR, der er afsat til SMV'er i programmet "digitale innovationsknudepunkter". Indkaldelserne af forslag med mandat skal omfatte kriterier for støtteberettigelse, der sikrer, at de udvalgte projekter overholder den tekniske vejledning om DNSH-princippet (2021/C58/01) ved hjælp af en udelukkelsesliste og kravet om overholdelse af den relevante EU-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SMV'er støttet af programmet Digital Toolkit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800 000 SMV'er, der har modtaget støtte fra programmet "Digital Toolkit" i overensstemmelse med den tekniske vejledning om DNSH-princippet (2021/C58/01) gennem anvendelse af en udelukkelsesliste og kravet om overholdelse af den relevante EU-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Budgetgennemførelse for personer, der deltager i ændringsprogrammet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100 % af budgettet på 300 000 000 EUR, der er afsat til SMV'er i programmet "Agenter of Change Programme". Dette program har til formål at støtte mindst 15 000 små og mellemstore virksomheder (10-249 ansatte) i deres digitale omstillingsprocesser. Udvælgelseskriterierne skal sikre overensstemmelse med den tekniske vejledning om DNSH-princippet (2021/C58/01) gennem anvendelse af en udelukkelsesliste og kravet om overholdelse af den relevante EU- og nationale miljølovgivning. (referenceniveau: 31. december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Budgetgennemførelse af støtteprogrammet for virksomhedsklynger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100 % af budgettet på 115 000 000 EUR, der er afsat til SMV'er i "Støtteprogrammet for innovative virksomhedsklynger". Formålet med denne foranstaltning er at støtte projekter, der har til formål at digitalisere værdikæden i de forskellige industrisektorer med det formål at modernisere dem og inddrage SMV'er i værdikæden. Indkaldelserne af forslag med mandat skal omfatte kriterier for støtteberettigelse, der sikrer, at de udvalgte projekter overholder den tekniske vejledning om DNSH-princippet (2021/C58/01) ved hjælp af en udelukkelsesliste og kravet om overholdelse af den relevante EU- og nationale miljølovgivning. (referenceniveau: 31. december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Budgetgennemførelse af DIHS-programmet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100 % af budgettet på 37 590 000 EUR, der er afsat til SMV'er i programmet "Digital Innovation Hubs Programme". Dette er et program, der skal hjælpe virksomhederne med at blive mere konkurrencedygtige ved at forbedre deres forretnings- og produktionsprocesser gennem intensiv brug af digitale teknologier. Som led i denne delforanstaltning vil 25 digitale innovationsknudepunkter blive støttet. Indkaldelserne af forslag med mandat skal omfatte kriterier for støtteberettigelse, der sikrer, at de udvalgte projekter overholder den tekniske vejledning om DNSH-princippet (2021/C58/01) ved hjælp af en udelukkelsesliste og kravet om overholdelse af den relevante EU- og nationale miljølovgivning. (referenceniveau: 31. december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Færdiggørelse af programmet "Digital Toolkit"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800 000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12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1 000 000 SMV'er, der har modtaget støtte fra programmet "Digital Toolkit" i overensstemmelse med den tekniske vejledning om DNSH-princippet (2021/C58/01) gennem anvendelse af en udelukkelsesliste og kravet om overholdelse af den relevante EU- og nationale miljølovgivning. Programmet er baseret på tilskud til at støtte integrationen af digital teknologi med henblik på effektiv indførelse af e-handel, digitalisere forbindelserne med den offentlige forvaltning og med kunderne, udvikle digitale interne processer og indføre e-fakturering og digital markedsføring. fremme af særligt serviceorienterede løsninger. Programmet vil delvis støtte omkostningerne ved at vedtage pakker af grundlæggende digitale løsninger såsom internettilstedeværelse, e-selling, cloud-kontor, digitalt job, grundlæggende digitaliseringsprocesser, kundestyring, digital markedsføring og cybersikkerhed. (referenceniveau: 31. december 2023).</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SMV'er, der har afsluttet foranstaltninger med henblik på at øge deres anvendelse af digitale teknologier (undtagen digital værktøjskasse)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171 000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6096" w:type="dxa"/>
            <w:shd w:val="clear" w:color="auto" w:fill="C6EFCE"/>
            <w:noWrap/>
          </w:tcPr>
          <w:p>
            <w:pPr>
              <w:pStyle w:val="Text1"/>
              <w:spacing w:before="0"/>
              <w:ind w:left="0"/>
              <w:jc w:val="left"/>
              <w:rPr>
                <w:noProof/>
                <w:sz w:val="18"/>
                <w:szCs w:val="18"/>
              </w:rPr>
            </w:pPr>
            <w:r>
              <w:rPr>
                <w:noProof/>
                <w:color w:val="000000"/>
                <w:sz w:val="18"/>
                <w:szCs w:val="18"/>
              </w:rPr>
              <w:t>Mindst 171 000 SMV'er, der har afsluttet foranstaltninger, der har til formål at øge deres anvendelse af digitale teknologier, støttes af følgende programmer: "Programme Actors of Change", "SME 2.0-acceleratorer" "Støtteprogram for innovative virksomhedsklynger" og "programmet for digitale innovationsknudepunkter". Indkaldelserne af forslag med mandat skal omfatte kriterier for støtteberettigelse, der sikrer, at de udvalgte projekter overholder den tekniske vejledning om DNSH-princippet ved hjælp af en udelukkelsesliste og kravet om overholdelse af den relevante EU- og nationale miljølovgivning. 1) program for aktører i forandring: dette program skal støtte mindst 15 000 små og mellemstore virksomheder (TEN-249-ansatte) i deres digitale omstillingsprocesser. 2) "SMV2.0-acceleratorer" -programmet: dette er en foranstaltning under denne investering, som skal udvide infrastrukturen til støtte for digitalisering af SMV'er med rådgivningstjenester og uddannelsestjenester. 3) program for støtte til innovative virksomhedsklynger: denne foranstaltning skal støtte projekter, der har til formål at digitalisere værdikæden i de forskellige industrisektorer med det formål at modernisere dem og inddrage SMV'er i værdikæden. 4) programmet "digitale innovationsknudepunkter" (DIH): dette er et program, der skal hjælpe virksomhederne med at blive mere konkurrencedygtige ved at forbedre deres forretnings- og produktionsprocesser gennem intensiv brug af digitale teknologier.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SMV'er og erhvervssammenslutninger, der har modtaget støtte fra Teknologifonden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200 SMV'er eller erhvervssammenslutninger i den kommercielle sektor, der har modtaget støtte fra den teknologiske fond, i overensstemmelse med den tekniske vejledning om DNSH-princippet (2021/C58/01) ved hjælp af en udelukkelsesliste og kravet om overholdelse af den relevante EU-miljølovgivning og national miljølovgivning. Projekter i sektoren for mindre handel sigtede mod at indarbejde nye teknologier, der sætter den lokale handel i stand til at reagere på nye forbrugsvaner under "Teknologifonden" (200 projekter). Støtteberettigede projekter under denne fond omfatter: a. Projekter inden for nye teknologier, der har til formål at forbedre forretnings- og kommunikationsstrategier, forretningsmodeller eller indkøbserfaringer på nettet. b. Projekter inden for nye teknologier til tilpasning af erfaringerne med fysisk indkøb til nye forbrugerbehov og -vaner og nye forvaltningsmodeller. c. Projekter inden for teknologiske løsninger til forbedring af effektiviteten og bæredygtigheden af den sidste kilometer logistik. d, Projekter til gennemførelse af teknologiske løsninger til forbedring af energi- og ressourceeffektivitet. Investeringen vil blive suppleret med oprettelsen af en digital platform (</w:t>
            </w:r>
            <w:r>
              <w:rPr>
                <w:rFonts w:ascii="Times New Roman" w:hAnsi="Times New Roman"/>
                <w:i/>
                <w:noProof/>
                <w:color w:val="000000"/>
                <w:sz w:val="18"/>
                <w:szCs w:val="18"/>
              </w:rPr>
              <w:t>Plataforma Comercio Conectado)</w:t>
            </w:r>
            <w:r>
              <w:rPr>
                <w:rFonts w:ascii="Times New Roman" w:hAnsi="Times New Roman"/>
                <w:noProof/>
                <w:color w:val="000000"/>
                <w:sz w:val="18"/>
                <w:szCs w:val="18"/>
              </w:rPr>
              <w:t xml:space="preserve"> for at fremme digitaliseringen af sektoren.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Moderniseringsforanstaltninger på kommunale markeder eller i kommercielle områder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30 moderniseringstiltag afsluttet på kommunale markeder eller kommercielle områder i overensstemmelse med den tekniske vejledning om DNSH-princippet (2021/C58/01) gennem anvendelse af en udelukkelsesliste og kravet om overholdelse af den relevante EU- og nationale miljølovgivning. Projekter indsendt af lokale myndigheder med henblik på at forbedre moderniseringen af kommunale markeder, kommercielle områder, ikke-stillesiddende salgsmarkeder og korte markedsføringskanaler under programmet "bæredygtige markeder" (30 projekter). Støtteberettigede projekter under dette program omfatter: a. Projekter vedrørende indførelse af kundeinformationsværktøjer baseret på big data eller andre teknologier. b. Projekter i den digitale omstilling af markeder, der forbedrer markedsplads- og shoppingoplevelsen. c. Projekter rettet mod digital omstilling af gadehandel og korte markedsføringskanaler. d. Projekter vedrørende anlægsarbejder og renovering med henblik på at forbedre faciliteterne, deres tilgængelighed, udstyr og tilstrækkelighed af de områder, hvor der findes kommunale markeder, kommercielle områder og markeder, der ikke er fastboende, og deres tilstødende områder. e. Projekter, der har til formål at reducere forbruget af input i handelen og erstatte disse med miljøvenlige alternativer. f. Installation af intelligente leveringssteder. g. Projekter til forbedring af energieffektiviteten på kommunale markeder, kommercielle områder og ikke-stillesiddende salgsmarkeder.  h. Foranstaltninger, der fremmer genanvendelse eller genbrug af affald.  i. Oplysning og uddannelse inden for teknologiske færdigheder på kommunale markeder, handelsområder og ikke-stillesiddende salgsmarkeder.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Modernisering af markedsinfrastrukturen i små kommuner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100 gennemførte foranstaltninger til modernisering af markedsinfrastrukturen i små kommuner, der er godkendt og iværksat i overensstemmelse med den tekniske vejledning om DNSH-princippet (2021/C58/01) ved hjælp af en udelukkelsesliste og kravet om overholdelse af den relevante EU- og nationale miljølovgivning. Projekter indsendt af lokale myndigheder med henblik på at forbedre moderniseringen af kommunale markeder, kommercielle områder, ikke-stillesiddende salgsmarkeder og korte markedsføringskanaler under programmet "bæredygtige markeder" (30 projekter). Støtteberettigede projekter under dette program omfatter:  a. Projekter vedrørende indførelse af kundeinformationsværktøjer baseret på big data eller andre teknologier.  b. Projekter i den digitale omstilling af markeder, der forbedrer markedsplads- og shoppingoplevelsen.  c. Projekter rettet mod digital omstilling af gadehandel og korte markedsføringskanaler.  d. Projekter vedrørende anlægsarbejder og renovering med henblik på at forbedre faciliteterne, deres tilgængelighed, udstyr og tilstrækkelighed af de områder, hvor der findes kommunale markeder, kommercielle områder og markeder, der ikke er fastboende, og deres tilstødende områder.  e. Projekter, der har til formål at reducere forbruget af input i handelen og erstatte disse med miljøvenlige alternativer.  f. Installation af intelligente leveringssteder.  g. Projekter til forbedring af energieffektiviteten på kommunale markeder, kommercielle områder og ikke-stillesiddende salgsmarkeder.  h. Foranstaltninger, der fremmer genanvendelse eller genbrug af affald.  i. Oplysning og uddannelse inden for teknologiske færdigheder på kommunale markeder, handelsområder og ikke-stillesiddende salgsmarkeder.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Virksomheder, der deltager i projekter til støtte for deres internationalisering</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3 000 virksomheder, heraf mindst 2 500 SMV'er, som har deltaget i og afsluttet projekter til støtte for deres internationalisering inden for rammerne af handlingsplanerne for internationalisering 2021-2022 og 2023-2024. Horisontale foranstaltninger til støtte for digitalisering af eksportsammenslutninger, handels- og administrationskamre skal være til gavn for alle eksportører og fremme internationaliseringen af nye virksomheder i overensstemmelse med den tekniske vejledning om DNSH-princippet (2021/C58/01) gennem anvendelse af en udelukkelsesliste og kravet om overholdelse af den relevante EU- og nationale miljølovgivning.  Aktionerne under investeringen udvælges fra følgende liste over projekter/områder: . 1. Budgetpost til finansiering af gennemførligheds-, gennemførligheds-, præfeasibilitets- og sektormoderniseringsundersøgelser og institutionelle moderniseringsundersøgelser. 2. INNOVA Invest-programmet til støtte for udenlandske investeringer i F &amp; D. 3. VIVES-programmet, der skal yde finansiel støtte til ansættelse af praktikanter i virksomheder, der er involveret i eksportvirksomhed. . 4. Mentor- og uddannelsesprogram for internationalisering. 5. Program til styrkelse af kommunikationssystemer, telematiktjenester og digitalisering af eksportsammenslutninger eksportorganisationer, spanske handelskamre og deres forbund .6. Export-Base Udvidelsesprogrammet, et program, der skal yde individualiseret coaching til især internationalisering af virksomheder og SMV'er. 7. Program for styrkelse af det spanske økosystem for højvækstvirksomheder. 8. Støtte til åbning og konsolidering af markederne gennem tilskud til udgifter til kontrol og revision af myndigheder i tredjelande og til udgifter til juridisk bistand og konsulentbistand i forbindelse med handelsbeskyttelse. 9. Et finansielt tilskyndelsesprogram fra COFIDES (en statsejet finansiel institution, der yder mellem- og langsigtet finansiering til støtte for virksomheders internationaliseringsprojekter) for at fremme virkningsskabende investeringer.  10. Fremme digitaliseringen af offentlige tjenester for at støtte internationalisering. 11. Digitalisering af ICEX (en national offentlig virksomhedsenhed, der fremmer internationalisering af spanske virksomheder) og oprettelse af Virtual Campus. Udvælgelseskriterierne skal sikre overensstemmelse med den tekniske vejledning om DNSH-princippet (2021/C58/01) for støttede transaktioner under denne foranstaltning gennem anvendelse af bæredygtighedskontrol, anvendelse af en udelukkelsesliste og kravet om overholdelse af den relevante EU- og nationale miljølovgivning. </w:t>
            </w:r>
          </w:p>
        </w:tc>
      </w:tr>
    </w:tbl>
    <w:p>
      <w:pPr>
        <w:spacing w:before="120" w:after="120" w:line="240" w:lineRule="auto"/>
        <w:ind w:left="709"/>
        <w:jc w:val="both"/>
        <w:rPr>
          <w:rFonts w:ascii="Times New Roman" w:hAnsi="Times New Roman" w:cs="Times New Roman"/>
          <w:noProof/>
          <w:sz w:val="24"/>
        </w:rPr>
        <w:sectPr>
          <w:headerReference w:type="even" r:id="rId169"/>
          <w:headerReference w:type="default" r:id="rId170"/>
          <w:footerReference w:type="even" r:id="rId171"/>
          <w:footerReference w:type="default" r:id="rId172"/>
          <w:headerReference w:type="first" r:id="rId173"/>
          <w:footerReference w:type="first" r:id="rId174"/>
          <w:pgSz w:w="16839" w:h="11907" w:orient="landscape"/>
          <w:pgMar w:top="1417" w:right="1134" w:bottom="1417" w:left="1134" w:header="709" w:footer="709" w:gutter="0"/>
          <w:cols w:space="720"/>
          <w:docGrid w:linePitch="360"/>
        </w:sectPr>
      </w:pPr>
    </w:p>
    <w:p>
      <w:pPr>
        <w:pStyle w:val="Heading1"/>
        <w:rPr>
          <w:noProof/>
        </w:rPr>
      </w:pPr>
      <w:r>
        <w:rPr>
          <w:noProof/>
        </w:rPr>
        <w:t>N. KOMPONENT 14: Turisme</w:t>
      </w:r>
    </w:p>
    <w:p>
      <w:pPr>
        <w:keepNext/>
        <w:spacing w:before="120" w:after="120" w:line="240" w:lineRule="auto"/>
        <w:jc w:val="both"/>
        <w:rPr>
          <w:rFonts w:ascii="Times New Roman" w:hAnsi="Times New Roman" w:cs="Times New Roman"/>
          <w:b/>
          <w:smallCaps/>
          <w:noProof/>
          <w:sz w:val="28"/>
        </w:rPr>
      </w:pPr>
      <w:r>
        <w:rPr>
          <w:rFonts w:ascii="Times New Roman" w:hAnsi="Times New Roman"/>
          <w:noProof/>
          <w:sz w:val="24"/>
        </w:rPr>
        <w:t>Komponenten i den spanske genopretnings- og resiliensplan skal tackle følgende udfordringer:</w:t>
      </w:r>
    </w:p>
    <w:p>
      <w:pPr>
        <w:numPr>
          <w:ilvl w:val="0"/>
          <w:numId w:val="71"/>
        </w:numPr>
        <w:spacing w:before="120" w:after="160" w:line="240" w:lineRule="auto"/>
        <w:contextualSpacing/>
        <w:jc w:val="both"/>
        <w:rPr>
          <w:rFonts w:ascii="Times New Roman" w:hAnsi="Times New Roman" w:cs="Times New Roman"/>
          <w:noProof/>
          <w:sz w:val="24"/>
        </w:rPr>
      </w:pPr>
      <w:r>
        <w:rPr>
          <w:rFonts w:ascii="Times New Roman" w:hAnsi="Times New Roman"/>
          <w:noProof/>
          <w:sz w:val="24"/>
        </w:rPr>
        <w:t xml:space="preserve">Den spanske turistsektor står over for en meget vanskelig situation som følge af den krise, der blev udløst af covid-19-pandemien, og der er behov for en hurtig indsats for at øge dens bæredygtighed og konkurrenceevne. </w:t>
      </w:r>
    </w:p>
    <w:p>
      <w:pPr>
        <w:numPr>
          <w:ilvl w:val="0"/>
          <w:numId w:val="71"/>
        </w:numPr>
        <w:spacing w:before="120" w:after="120" w:line="240" w:lineRule="auto"/>
        <w:jc w:val="both"/>
        <w:rPr>
          <w:rFonts w:ascii="Times New Roman" w:hAnsi="Times New Roman" w:cs="Times New Roman"/>
          <w:noProof/>
          <w:sz w:val="24"/>
        </w:rPr>
      </w:pPr>
      <w:r>
        <w:rPr>
          <w:rFonts w:ascii="Times New Roman" w:hAnsi="Times New Roman"/>
          <w:noProof/>
          <w:sz w:val="24"/>
        </w:rPr>
        <w:t>De Kanariske Øer og De Baleariske Øer, som er drivkræfter for den spanske turistindustri, har brug for en særlig indsats for at afbøde eksternaliteter og deres store afhængighed af ferievirksomhed.</w:t>
      </w:r>
    </w:p>
    <w:p>
      <w:pPr>
        <w:numPr>
          <w:ilvl w:val="0"/>
          <w:numId w:val="71"/>
        </w:numPr>
        <w:spacing w:before="120" w:after="120" w:line="240" w:lineRule="auto"/>
        <w:jc w:val="both"/>
        <w:rPr>
          <w:rFonts w:ascii="Times New Roman" w:hAnsi="Times New Roman" w:cs="Times New Roman"/>
          <w:noProof/>
          <w:sz w:val="24"/>
        </w:rPr>
      </w:pPr>
      <w:r>
        <w:rPr>
          <w:rFonts w:ascii="Times New Roman" w:hAnsi="Times New Roman"/>
          <w:noProof/>
          <w:sz w:val="24"/>
        </w:rPr>
        <w:t>Spanien ligger som nr. 27 med hensyn til informations- og kommunikationsteknologi, parathed ifølge Det Verdensøkonomiske Forums rapport om konkurrenceevnen for turisme. Desuden er de offentlige og private investeringer i F &amp; D forholdsvis lave. Desuden peger mange rapporter på rejsebranchen som den sektor, der har det største potentiale for at drage fordel af kunstig intelligens (en stigning på 128 % i aktivitetens merværdi gennem anvendelse af kunstig intelligens).</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komponent er at ændre og modernisere turistsektoren i Spanien ved at øge dens konkurrenceevne og modstandsdygtighed.</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Komponenten vedrører de landespecifikke henstillinger om fremme af investeringer i innovation og energieffektivitet og forbedring af effektiviteten af politikker til støtte for forskning og innovation (landespecifik henstilling nr. 3 fra 2019), opretholdelse af økonomien (landespecifik henstilling nr. 1 fra 2020), støtte til beskæftigelse gennem foranstaltninger til bevarelse af arbejdspladser og kompetenceudvikling og forbedring af adgangen til digital læring (landespecifik henstilling nr. 2 fra 2020), fremme af offentlige og private investeringer og fremme af grøn og digital omstilling (landespecifik henstilling nr. 3 fra 2020) og forbedring af koordineringen mellem forskellige forvaltningsniveauer (landespecifik henstilling nr. 4 fra 2020).</w:t>
      </w:r>
    </w:p>
    <w:p>
      <w:pPr>
        <w:spacing w:before="120" w:after="120" w:line="240" w:lineRule="auto"/>
        <w:ind w:left="11"/>
        <w:jc w:val="both"/>
        <w:rPr>
          <w:rFonts w:ascii="Times New Roman" w:hAnsi="Times New Roman" w:cs="Times New Roman"/>
          <w:noProof/>
          <w:color w:val="000000" w:themeColor="text1"/>
          <w:sz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r>
        <w:rPr>
          <w:rFonts w:ascii="Times New Roman" w:hAnsi="Times New Roman"/>
          <w:noProof/>
          <w:color w:val="000000" w:themeColor="text1"/>
          <w:sz w:val="24"/>
        </w:rPr>
        <w:t xml:space="preserve"> </w:t>
      </w:r>
    </w:p>
    <w:p>
      <w:pPr>
        <w:spacing w:before="120" w:after="120" w:line="240" w:lineRule="auto"/>
        <w:ind w:left="720"/>
        <w:jc w:val="both"/>
        <w:rPr>
          <w:rFonts w:ascii="Times New Roman" w:hAnsi="Times New Roman" w:cs="Times New Roman"/>
          <w:i/>
          <w:iCs/>
          <w:noProof/>
          <w:color w:val="4F81BD" w:themeColor="accent1"/>
          <w:sz w:val="24"/>
        </w:rPr>
      </w:pPr>
      <w:r>
        <w:rPr>
          <w:rFonts w:ascii="Times New Roman" w:hAnsi="Times New Roman"/>
          <w:b/>
          <w:bCs/>
          <w:noProof/>
          <w:sz w:val="24"/>
          <w:u w:val="single"/>
        </w:rPr>
        <w:t xml:space="preserve">N.1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1 (C14.R1) — kongeligt dekret om gennemførelse af den statslige finansielle fond for turismekonkurrenceevne (FOCIT)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har til formål at forbedre turismesektorens konkurrenceevne ved at fremme innovation og støtte energieffektivitet og den cirkulære økonomi.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ændrer de eksisterende retsakter om mål, art, operationer og støtteberettigede projekter under den statslige finansielle fond for turismekonkurrenceevne. </w:t>
      </w:r>
    </w:p>
    <w:p>
      <w:pPr>
        <w:spacing w:before="120" w:after="120" w:line="240" w:lineRule="auto"/>
        <w:jc w:val="both"/>
        <w:rPr>
          <w:rFonts w:ascii="Times New Roman" w:hAnsi="Times New Roman" w:cs="Times New Roman"/>
          <w:noProof/>
          <w:sz w:val="24"/>
        </w:rPr>
      </w:pPr>
      <w:r>
        <w:rPr>
          <w:rFonts w:ascii="Times New Roman" w:hAnsi="Times New Roman"/>
          <w:noProof/>
          <w:sz w:val="24"/>
        </w:rPr>
        <w:t>Den ændrede retsakt skal gøre det muligt for den statslige finansielle fond for turismekonkurrenceevne at finansiere turismevirksomheder med henblik på at forbedre energieffektiviteten, reducere ressourceforbruget og affaldsproduktionen og øge genbrug og genanvendelse af affald. Inden for energieffektivitet og cirkulær økonomi finansierer fonden innovationsprojekter.</w:t>
      </w:r>
    </w:p>
    <w:p>
      <w:pPr>
        <w:spacing w:before="120" w:after="120" w:line="240" w:lineRule="auto"/>
        <w:jc w:val="both"/>
        <w:rPr>
          <w:rFonts w:ascii="Times New Roman" w:hAnsi="Times New Roman" w:cs="Times New Roman"/>
          <w:noProof/>
          <w:sz w:val="24"/>
        </w:rPr>
      </w:pPr>
      <w:r>
        <w:rPr>
          <w:rFonts w:ascii="Times New Roman" w:hAnsi="Times New Roman"/>
          <w:noProof/>
          <w:sz w:val="24"/>
        </w:rPr>
        <w:t>Finansieringsinstrumentet kan anvende blandingsordninger, der kombinerer lån med andre typer støtte. Instrumentet finansieres over det nationale budget.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omfatter også følgende specifikke foranstaltninger: </w:t>
      </w:r>
    </w:p>
    <w:p>
      <w:pPr>
        <w:pStyle w:val="ListParagraph"/>
        <w:numPr>
          <w:ilvl w:val="0"/>
          <w:numId w:val="20"/>
        </w:numPr>
        <w:spacing w:before="120" w:after="120" w:line="240" w:lineRule="auto"/>
        <w:jc w:val="both"/>
        <w:rPr>
          <w:rFonts w:ascii="Times New Roman" w:hAnsi="Times New Roman" w:cs="Times New Roman"/>
          <w:noProof/>
          <w:sz w:val="24"/>
        </w:rPr>
      </w:pPr>
      <w:r>
        <w:rPr>
          <w:rFonts w:ascii="Times New Roman" w:hAnsi="Times New Roman"/>
          <w:noProof/>
        </w:rPr>
        <w:t>der fastlægges en plan for fremme af turismesektoren, hvor der redegøres for foranstaltninger til fremme af turismen, og rammerne for gennemførelsen af turismerelaterede foranstaltninger fastlægges.</w:t>
      </w:r>
      <w:r>
        <w:rPr>
          <w:rFonts w:ascii="Times New Roman" w:hAnsi="Times New Roman"/>
          <w:noProof/>
          <w:sz w:val="24"/>
        </w:rPr>
        <w:t xml:space="preserve"> </w:t>
      </w:r>
    </w:p>
    <w:p>
      <w:pPr>
        <w:pStyle w:val="ListParagraph"/>
        <w:numPr>
          <w:ilvl w:val="0"/>
          <w:numId w:val="20"/>
        </w:numPr>
        <w:spacing w:line="240" w:lineRule="auto"/>
        <w:rPr>
          <w:rFonts w:ascii="Times New Roman" w:hAnsi="Times New Roman" w:cs="Times New Roman"/>
          <w:noProof/>
          <w:sz w:val="24"/>
        </w:rPr>
      </w:pPr>
      <w:r>
        <w:rPr>
          <w:rFonts w:ascii="Times New Roman" w:hAnsi="Times New Roman"/>
          <w:noProof/>
          <w:sz w:val="24"/>
        </w:rPr>
        <w:t xml:space="preserve">lancering af et websted, der indsamler data fra forskellige kilder til turismestatistikker, herunder offentlige og private organer som INE, </w:t>
      </w:r>
      <w:r>
        <w:rPr>
          <w:rFonts w:ascii="Times New Roman" w:hAnsi="Times New Roman"/>
          <w:i/>
          <w:noProof/>
          <w:sz w:val="24"/>
        </w:rPr>
        <w:t>Turespaña</w:t>
      </w:r>
      <w:r>
        <w:rPr>
          <w:rFonts w:ascii="Times New Roman" w:hAnsi="Times New Roman"/>
          <w:noProof/>
          <w:sz w:val="24"/>
        </w:rPr>
        <w:t xml:space="preserve">, Bank of Spain, AENA og RENFE. </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skal være gennemført senest den 31. december 2021.</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1 (C14.I1) — Omstilling af turismemodellen i retning af bæredygtighed</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Investeringen har til formål at styrke turismens miljømæssige, socioøkonomiske og territoriale bæredygtighed og er rettet mod turistmål, arbejdsmarkedets parter og private aktører i sektoren.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Investeringen består af fire delforanstaltninger: </w:t>
      </w:r>
    </w:p>
    <w:p>
      <w:pPr>
        <w:numPr>
          <w:ilvl w:val="0"/>
          <w:numId w:val="70"/>
        </w:numPr>
        <w:spacing w:before="120" w:after="160" w:line="240" w:lineRule="auto"/>
        <w:ind w:left="360"/>
        <w:contextualSpacing/>
        <w:jc w:val="both"/>
        <w:rPr>
          <w:rFonts w:ascii="Times New Roman" w:hAnsi="Times New Roman" w:cs="Times New Roman"/>
          <w:noProof/>
          <w:sz w:val="24"/>
          <w:szCs w:val="24"/>
        </w:rPr>
      </w:pPr>
      <w:r>
        <w:rPr>
          <w:rFonts w:ascii="Times New Roman" w:hAnsi="Times New Roman"/>
          <w:noProof/>
          <w:sz w:val="24"/>
        </w:rPr>
        <w:t>Forberedelse af strategien for bæredygtig turisme Spanien 2030 , der skal udgøre en national turismedagsorden for at imødegå sektorens udfordringer på mellemlang og lang sigt, og som fremmer de tre søjler for bæredygtighed: socioøkonomiske, miljømæssige og territoriale forhold</w:t>
      </w:r>
    </w:p>
    <w:p>
      <w:pPr>
        <w:numPr>
          <w:ilvl w:val="0"/>
          <w:numId w:val="70"/>
        </w:numPr>
        <w:spacing w:before="120" w:after="160" w:line="240"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Planer for bæredygtig turisme på destinationer: Disse delforanstaltninger gennemføres i følgende rækkefølge:</w:t>
      </w:r>
    </w:p>
    <w:p>
      <w:pPr>
        <w:numPr>
          <w:ilvl w:val="0"/>
          <w:numId w:val="72"/>
        </w:numPr>
        <w:spacing w:before="120" w:after="160" w:line="240" w:lineRule="auto"/>
        <w:ind w:left="1069"/>
        <w:contextualSpacing/>
        <w:jc w:val="both"/>
        <w:rPr>
          <w:rFonts w:ascii="Times New Roman" w:hAnsi="Times New Roman" w:cs="Times New Roman"/>
          <w:noProof/>
          <w:sz w:val="24"/>
          <w:szCs w:val="24"/>
        </w:rPr>
      </w:pPr>
      <w:r>
        <w:rPr>
          <w:rFonts w:ascii="Times New Roman" w:hAnsi="Times New Roman"/>
          <w:noProof/>
          <w:sz w:val="24"/>
          <w:szCs w:val="24"/>
        </w:rPr>
        <w:t>Udarbejdelse af strategien for bæredygtig turisme på destinationsområdet, som skal danne grundlag for strukturering, planlægning, udvikling og evaluering af turistadministrationens foranstaltninger til omdannelse af destinationer i overensstemmelse med bæredygtige kriterier og i overensstemmelse med målene for bæredygtig udvikling i 2030-dagsordenen.</w:t>
      </w:r>
    </w:p>
    <w:p>
      <w:pPr>
        <w:numPr>
          <w:ilvl w:val="0"/>
          <w:numId w:val="72"/>
        </w:numPr>
        <w:spacing w:before="120" w:after="160" w:line="240" w:lineRule="auto"/>
        <w:ind w:left="1069"/>
        <w:contextualSpacing/>
        <w:jc w:val="both"/>
        <w:rPr>
          <w:rFonts w:ascii="Times New Roman" w:hAnsi="Times New Roman" w:cs="Times New Roman"/>
          <w:noProof/>
          <w:szCs w:val="24"/>
        </w:rPr>
      </w:pPr>
      <w:r>
        <w:rPr>
          <w:rFonts w:ascii="Times New Roman" w:hAnsi="Times New Roman"/>
          <w:noProof/>
          <w:sz w:val="24"/>
          <w:szCs w:val="24"/>
        </w:rPr>
        <w:t xml:space="preserve">Udarbejdelse af programmet for bæredygtig udvikling af destinationsturisme. I dette program fastsættes betingelserne for de selvstyrende regioners og de lokale myndigheders deltagelse, anvendelsesområdet, minimumstærsklerne for investeringer, proceduren for indgivelse af forslag og reglerne for godkendelse, gennemførelse og begrundelse. </w:t>
      </w:r>
    </w:p>
    <w:p>
      <w:pPr>
        <w:numPr>
          <w:ilvl w:val="0"/>
          <w:numId w:val="72"/>
        </w:numPr>
        <w:spacing w:before="160" w:after="160" w:line="240" w:lineRule="auto"/>
        <w:ind w:left="1069"/>
        <w:contextualSpacing/>
        <w:jc w:val="both"/>
        <w:rPr>
          <w:rFonts w:ascii="Times New Roman" w:hAnsi="Times New Roman" w:cs="Times New Roman"/>
          <w:noProof/>
          <w:szCs w:val="24"/>
        </w:rPr>
      </w:pPr>
      <w:r>
        <w:rPr>
          <w:rFonts w:ascii="Times New Roman" w:hAnsi="Times New Roman"/>
          <w:noProof/>
          <w:sz w:val="24"/>
          <w:szCs w:val="24"/>
        </w:rPr>
        <w:t>Udarbejdelse og gennemførelse af de territoriale planer for turismens bæredygtighed på destinationer. Disse skal udvikles gennem en participatorisk og samarbejdsbaseret proces mellem de tre kompetente offentlige forvaltninger og de forskellige offentlige og private aktører i turismeøkosystemet på destinationen. De skal gøre det muligt for de enkelte territorier og destinationer at reagere på de udfordringer, der er forbundet med turismens bæredygtighed, i forbindelse med udøvelsen af deres turismeplanlægningsbeføjelser og inden for rammerne af strategien for bæredygtig turisme, som er godkendt af den spanske regering. Disse planer skal bestå af aktioner inden for:</w:t>
      </w:r>
    </w:p>
    <w:p>
      <w:pPr>
        <w:pStyle w:val="ListParagraph"/>
        <w:numPr>
          <w:ilvl w:val="1"/>
          <w:numId w:val="73"/>
        </w:numPr>
        <w:spacing w:before="160" w:line="240" w:lineRule="auto"/>
        <w:ind w:left="1786" w:hanging="357"/>
        <w:rPr>
          <w:rFonts w:ascii="Times New Roman" w:hAnsi="Times New Roman" w:cs="Times New Roman"/>
          <w:noProof/>
          <w:sz w:val="24"/>
          <w:szCs w:val="24"/>
        </w:rPr>
      </w:pPr>
      <w:r>
        <w:rPr>
          <w:rFonts w:ascii="Times New Roman" w:hAnsi="Times New Roman"/>
          <w:noProof/>
          <w:sz w:val="24"/>
          <w:szCs w:val="24"/>
        </w:rPr>
        <w:t>Grøn omstilling, herunder foranstaltninger under denne investering vedrørende miljømæssig genopretning, forvaltning af offentlig anvendelse i beskyttede naturområder, gennemførelse af turismecertificeringssystemer, gennemførelse af foranstaltninger vedrørende cirkulær økonomi i offentlige tjenester og etablering af cykelbare/gangbare veje i landdistrikterne.</w:t>
      </w:r>
    </w:p>
    <w:p>
      <w:pPr>
        <w:numPr>
          <w:ilvl w:val="1"/>
          <w:numId w:val="73"/>
        </w:numPr>
        <w:spacing w:before="160" w:after="160" w:line="240" w:lineRule="auto"/>
        <w:ind w:left="1789"/>
        <w:contextualSpacing/>
        <w:jc w:val="both"/>
        <w:rPr>
          <w:rFonts w:ascii="Times New Roman" w:hAnsi="Times New Roman" w:cs="Times New Roman"/>
          <w:noProof/>
          <w:sz w:val="24"/>
          <w:szCs w:val="24"/>
        </w:rPr>
      </w:pPr>
      <w:r>
        <w:rPr>
          <w:rFonts w:ascii="Times New Roman" w:hAnsi="Times New Roman"/>
          <w:noProof/>
          <w:sz w:val="24"/>
          <w:szCs w:val="24"/>
        </w:rPr>
        <w:t>Energieffektivitet, herunder foranstaltninger under denne investering til nedbringelse af CO2-emissioner i bygninger, offentlig infrastruktur og tjenester, til afbødning af klimaændringer, gennemførelse af miljøteknologier, dekarbonisering og fremme af bæredygtig mobilitet eller forbedring af bymiljøet.</w:t>
      </w:r>
    </w:p>
    <w:p>
      <w:pPr>
        <w:numPr>
          <w:ilvl w:val="1"/>
          <w:numId w:val="73"/>
        </w:numPr>
        <w:spacing w:before="160" w:after="160" w:line="240" w:lineRule="auto"/>
        <w:ind w:left="1789"/>
        <w:contextualSpacing/>
        <w:jc w:val="both"/>
        <w:rPr>
          <w:rFonts w:ascii="Times New Roman" w:hAnsi="Times New Roman" w:cs="Times New Roman"/>
          <w:noProof/>
          <w:sz w:val="24"/>
          <w:szCs w:val="24"/>
        </w:rPr>
      </w:pPr>
      <w:r>
        <w:rPr>
          <w:rFonts w:ascii="Times New Roman" w:hAnsi="Times New Roman"/>
          <w:noProof/>
        </w:rPr>
        <w:t>Digital omstilling, herunder foranstaltninger under denne investering med henblik på at digitalisere tjenester til turister på destinationer, udvikle destinationens digitale fodaftryk eller markedsoplysninger og styring af turismeefterspørgslen</w:t>
      </w:r>
      <w:r>
        <w:rPr>
          <w:rFonts w:ascii="Times New Roman" w:hAnsi="Times New Roman"/>
          <w:noProof/>
          <w:sz w:val="18"/>
          <w:szCs w:val="18"/>
        </w:rPr>
        <w:t xml:space="preserve"> </w:t>
      </w:r>
    </w:p>
    <w:p>
      <w:pPr>
        <w:numPr>
          <w:ilvl w:val="1"/>
          <w:numId w:val="73"/>
        </w:numPr>
        <w:spacing w:before="160" w:after="160" w:line="240" w:lineRule="auto"/>
        <w:ind w:left="1789"/>
        <w:contextualSpacing/>
        <w:jc w:val="both"/>
        <w:rPr>
          <w:rFonts w:ascii="Times New Roman" w:hAnsi="Times New Roman" w:cs="Times New Roman"/>
          <w:noProof/>
          <w:sz w:val="24"/>
          <w:szCs w:val="24"/>
        </w:rPr>
      </w:pPr>
      <w:r>
        <w:rPr>
          <w:rFonts w:ascii="Times New Roman" w:hAnsi="Times New Roman"/>
          <w:noProof/>
          <w:sz w:val="24"/>
          <w:szCs w:val="24"/>
        </w:rPr>
        <w:t>Omstilling af konkurrenceevnen, herunder foranstaltninger under denne investering, der har til formål at udvide tilgængeligheden gennem destinationen, forbedre lokale offentlige turistinfrastrukturer eller fremme jobskabelse gennem udvikling af nye turismeprodukter såsom kultur, natur, gastronomi eller traditionelle håndværk &amp; industrien.</w:t>
      </w:r>
    </w:p>
    <w:p>
      <w:pPr>
        <w:numPr>
          <w:ilvl w:val="0"/>
          <w:numId w:val="70"/>
        </w:numPr>
        <w:spacing w:before="160" w:after="160" w:line="240"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En plan for social bæredygtighed i turistsektoren.</w:t>
      </w:r>
    </w:p>
    <w:p>
      <w:pPr>
        <w:numPr>
          <w:ilvl w:val="0"/>
          <w:numId w:val="70"/>
        </w:numPr>
        <w:spacing w:before="120" w:after="120" w:line="240" w:lineRule="auto"/>
        <w:ind w:left="360"/>
        <w:contextualSpacing/>
        <w:jc w:val="both"/>
        <w:rPr>
          <w:rFonts w:ascii="Times New Roman" w:hAnsi="Times New Roman" w:cs="Times New Roman"/>
          <w:noProof/>
          <w:sz w:val="24"/>
          <w:szCs w:val="24"/>
        </w:rPr>
      </w:pPr>
      <w:r>
        <w:rPr>
          <w:rFonts w:ascii="Times New Roman" w:hAnsi="Times New Roman"/>
          <w:noProof/>
          <w:sz w:val="24"/>
          <w:szCs w:val="24"/>
        </w:rPr>
        <w:t>Omdannelse af det eksisterende spanske turismekvalitetssystem for turistmål (SICTED) til et omfattende turismebæredygtighedssystem for turistmål. Dette omfatter udvikling af nye processer og retningslinjer, opgradering af den eksisterende IT-platform, uddannelse af nye turismebæredygtighedsorganisationer og udvikling af en dataindsamlingsmekanisme til analyse og overvågning af markedet for turistboliger i hele Spanien.</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Foranstaltningerne i forbindelse med denne investering skal finde sted mellem den 1. januar 2021 og den 30. juni 2026 med udbetalinger til lokale myndigheder i perioden 1. januar 2021 og 31. december 2023 og med gennemførelse frem til 2026. Projekter til fremme af bæredygtigheden af turistdestinationer under denne investering skal være afsluttet senest den 30. juni 2026. </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61"/>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62"/>
      </w:r>
      <w:r>
        <w:rPr>
          <w:noProof/>
        </w:rPr>
        <w:t xml:space="preserve"> iii) Aktiviteter i forbindelse med affaldsdeponeringsanlæg, forbrændingsanlæg</w:t>
      </w:r>
      <w:r>
        <w:rPr>
          <w:rStyle w:val="FootnoteReference"/>
          <w:noProof/>
          <w:lang w:val="en-IE"/>
        </w:rPr>
        <w:footnoteReference w:id="63"/>
      </w:r>
      <w:r>
        <w:rPr>
          <w:noProof/>
        </w:rPr>
        <w:t xml:space="preserve"> og anlæg til mekanisk-biologisk behandling</w:t>
      </w:r>
      <w:r>
        <w:rPr>
          <w:rStyle w:val="FootnoteReference"/>
          <w:noProof/>
          <w:lang w:val="en-IE"/>
        </w:rPr>
        <w:footnoteReference w:id="64"/>
      </w:r>
      <w:r>
        <w:rPr>
          <w:noProof/>
        </w:rPr>
        <w:t xml:space="preserve"> og iv) aktiviteter, hvor langsigtet bortskaffelse af affald kan skade miljøet. Mandatet skal desuden kræve, at kun aktiviteter, der er i overensstemmelse med relevant EU- og national miljølovgivning, kan udvælges. Udvælgelseskriterierne skal desuden sikre, at kun aktiviteter, der er i overensstemmelse med relevant EU- og national miljølovgivning, kan støttes.</w:t>
      </w:r>
      <w:r>
        <w:rPr>
          <w:noProof/>
          <w:color w:val="000000" w:themeColor="text1"/>
        </w:rPr>
        <w:t xml:space="preserve"> Udvælgelseskriterierne skal sikre, at mindst 511 mio. EUR bidrager til klimamålene med en klimakoefficient på 100 % og mindst 140 mio. EUR med en klimakoefficient på 40 % i overensstemmelse med bilag VI til forordning (EU) 2021/241 om genopretnings- og resiliensfaciliteten.</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Gennemførelsen af investeringen skal være afsluttet senest den 30. juni 2026.</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2 (C14.I2) — Digitalisering og efterretningsprogram for destinationer og turistsektoren</w:t>
      </w:r>
    </w:p>
    <w:p>
      <w:pPr>
        <w:keepNext/>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Formålet med aktionerne under denne investering er at udvikle en platform for intelligente destinationer, der gør interoperable offentlige og private tjenester tilgængelige for turister. Dette vil blive suppleret med udviklingen af et turismeinformationssystem og en række initiativer til fremme af det spanske intelligente rejsenetværk. </w:t>
      </w:r>
      <w:r>
        <w:rPr>
          <w:rFonts w:ascii="Times New Roman" w:hAnsi="Times New Roman"/>
          <w:noProof/>
          <w:sz w:val="24"/>
          <w:szCs w:val="24"/>
        </w:rPr>
        <w:t>Aktioner under denne investering støtter også digitale løsninger baseret på kunstig intelligens og andre støtteteknologier i virksomheder i turistsektoren samt yder finansiering til udvikling af industrielle dataområder og fremme af digital innovation i turistsektoren.</w:t>
      </w:r>
      <w:r>
        <w:rPr>
          <w:rFonts w:ascii="Times New Roman" w:hAnsi="Times New Roman"/>
          <w:noProof/>
          <w:color w:val="000000" w:themeColor="text1"/>
          <w:sz w:val="24"/>
          <w:szCs w:val="24"/>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Foranstaltningerne under denne investering skal gennemføres gennem udbud og direkte investeringer. Mindst 1000 virksomheder eller klynger skal have modtaget finansiering fra investeringsprojekter vedrørende kunstig intelligens og andre støtteteknologier, og en platform for intelligente destinationer skal lanceres senest den 30. juni 2025.</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2025.</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3 (C14.I3) — Strategier for turismes modstandsdygtighed i områder uden for halvøen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Investeringen er rettet mod Balearerne, De Kanariske Øer, Ceuta og Melilla med det formål at tackle de specifikke udfordringer, som turistindustrien står over for i disse områder. Foranstaltningerne skal forbedre disse områders konkurrenceevne og evne til at tilpasse sig ændringer på de internationale markeder og bestå i:</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offentlig infrastruktur med særligt fokus på forbedring af offentlige rum for at fremme turisme, miljøforvaltning og affaldsbehandling og omskoling af forældet turistinfrastruktur</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styrkelse af offentlige tjenester på områder med særlig turistmæssig indflydelse: administrations-, sikkerheds- og sundhedstjenester</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uddannelse med særligt fokus på uddannelse af unge med tilknytning til turismesektoren</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udvikling af alternative turismeprodukter og modernisering af turistudbuddet</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incitamenter til at lette forbindelserne til områderne og til turistvirksomheder til at operere uden for højsæsonen</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fremme af nationale og internationale ekshalvøområder som turistdestinationer af historisk kulturel interesse og</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sæsonkorrigerede strategiske salgsfremstød med særlig vægt på onlinemarkedsføringsstrategier, sproglig tilgængelighed, proaktiv kapacitet inden for multimedieværktøjer og forvaltning af institutionelle omkostningsrelationer (CRM).</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Mindst 400 økonomiske og sociale aktører ville have nydt godt af investeringerne i regioner uden for halvøen inden juni 2025.</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Gennemførelsen af investeringen skal være afsluttet senest den 30. juni 2025.</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Investeringer 4 (C14.I4) — Særlige foranstaltninger på konkurrenceområdet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Investeringen omfatter en række foranstaltninger, der har til formål at forbedre turismesektorens konkurrenceevne. Blandt de specifikke aktioner, der skal støttes under denne investering, kan nævnes:</w:t>
      </w:r>
    </w:p>
    <w:p>
      <w:pPr>
        <w:numPr>
          <w:ilvl w:val="0"/>
          <w:numId w:val="75"/>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udvikling af turistprodukter i overensstemmelse med strategien for udvikling af bæredygtige turismeprodukter, der bl.a. omfatter følgende vejledende kategorier: gastronomisk turisme, kulturturisme, byturisme, økoturisme, erhvervsturisme, sportsturisme såsom cykling, kulturarv og religiøs turisme</w:t>
      </w:r>
    </w:p>
    <w:p>
      <w:pPr>
        <w:numPr>
          <w:ilvl w:val="0"/>
          <w:numId w:val="7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projekter, der har til formål at reducere turistvirksomheders årlige affalds- eller energiforbrug. For at reducere energiforbruget omfatter de specifikke foranstaltninger installering af sensorer til overvågning og optimering af energiforbruget, fremme af anvendelsen af energiledelsessystemer (f.eks. ISO 500001-certificerede systemer), anvendelse af varmeeffektive materialer, anvendelse af energieffektive teknologier og anvendelse af eksterne elementer såsom nuancer eller haver. De specifikke foranstaltninger til reduktion af affald omfatter planer for adskillelse af affald ved kilden og foranstaltninger til fremme af genbrug og genanvendelse af affald. Yderligere foranstaltninger omfatter bevidstgørelseskampagner og uddannelse i energieffektivitets- og affaldshåndteringsspørgsmål rettet mod personale i turistfaciliteter og fremme af produktion og indkøb af lokale forsyninger; </w:t>
      </w:r>
    </w:p>
    <w:p>
      <w:pPr>
        <w:numPr>
          <w:ilvl w:val="0"/>
          <w:numId w:val="7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regenerering og rehabilitering af historiske turismekulturarvssteder, herunder i) reduktion af og kompensation for kulstoffodaftrykket gennem udarbejdelse af handlingsplaner for reduktion af drivhusgasemissioner, ii) miljøgenopretning af områderne, iii) forbedring af energieffektiviteten ved at erstatte diesel- eller brændselskedler med naturgaskedler, iv) foranstaltninger til tilpasning til klimaændringer, v) forbedringer af gråvandsanlæg, vi) modernisering af affaldshåndteringssystemer, vii) rehabilitering og anvendelse af områder ved brug af intelligente teknologier, foranstaltninger til at forbedre tilgængeligheden af vandforbrug og viii) foranstaltninger til at nedsætte energi- og vandforbrug og</w:t>
      </w:r>
    </w:p>
    <w:p>
      <w:pPr>
        <w:numPr>
          <w:ilvl w:val="0"/>
          <w:numId w:val="7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forbedring af kommercielle områder i lokalområder med stor turisttilstrømning, herunder foranstaltninger under denne investering i nye teknologier gennemførelse af teknologiske løsninger til forbedring af energieffektiviteten miljøeffektive processer samt genanvendelse og genbrug af affald uddannelse af personale en integreret digital signatur, der er tilpasset udenlandske besøgende og tilpasning af offentlige rum for at forbedre tilgængeligheden og mobiliteten.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Mindst 60 projekter i kommercielle områder beliggende i lokalområder med stor turisttilstrømning skal være afsluttet senest den 31. december 2024. De investeringer, der gennemføres senest den 30. juni 2025, skal resultere i: i) mindst 45 nye tilgængelige turistprodukter og ii) mindst 3 400 turistvirksomheder skal have afsluttet projekter for at reducere deres årlige affalds- eller energiforbrug. Mindst 50 projekter, der er rettet mod historiske kulturarvssteder, skal være afsluttet senest den 30. juni 2026. </w:t>
      </w:r>
    </w:p>
    <w:p>
      <w:pPr>
        <w:pStyle w:val="Text1"/>
        <w:ind w:left="0"/>
        <w:rPr>
          <w:noProof/>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65"/>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66"/>
      </w:r>
      <w:r>
        <w:rPr>
          <w:noProof/>
        </w:rPr>
        <w:t xml:space="preserve"> iii) Aktiviteter i forbindelse med affaldsdeponeringsanlæg, forbrændingsanlæg</w:t>
      </w:r>
      <w:r>
        <w:rPr>
          <w:rStyle w:val="FootnoteReference"/>
          <w:noProof/>
          <w:lang w:val="en-IE"/>
        </w:rPr>
        <w:footnoteReference w:id="67"/>
      </w:r>
      <w:r>
        <w:rPr>
          <w:noProof/>
        </w:rPr>
        <w:t xml:space="preserve"> og anlæg til mekanisk-biologisk behandling</w:t>
      </w:r>
      <w:r>
        <w:rPr>
          <w:rStyle w:val="FootnoteReference"/>
          <w:noProof/>
          <w:lang w:val="en-IE"/>
        </w:rPr>
        <w:footnoteReference w:id="68"/>
      </w:r>
      <w:r>
        <w:rPr>
          <w:noProof/>
        </w:rPr>
        <w:t xml:space="preserve"> og iv) aktiviteter, hvor langsigtet bortskaffelse af affald kan skade miljøet. Mandatet skal desuden kræve, at kun aktiviteter, der er i overensstemmelse med relevant EU- og national miljølovgivning, kan udvælges.</w:t>
      </w:r>
    </w:p>
    <w:p>
      <w:pPr>
        <w:pStyle w:val="Text1"/>
        <w:ind w:left="0"/>
        <w:rPr>
          <w:rFonts w:eastAsia="Calibri"/>
          <w:noProof/>
        </w:rPr>
      </w:pPr>
      <w:r>
        <w:rPr>
          <w:noProof/>
        </w:rPr>
        <w:t>Gennemførelsen af investeringen skal være afsluttet senest den 30. juni 2026.</w:t>
      </w:r>
    </w:p>
    <w:p>
      <w:pPr>
        <w:pStyle w:val="Text1"/>
        <w:ind w:left="0"/>
        <w:rPr>
          <w:rFonts w:eastAsia="Calibri"/>
          <w:noProof/>
        </w:rPr>
      </w:pPr>
    </w:p>
    <w:p>
      <w:pPr>
        <w:keepNext/>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N.2 </w:t>
      </w:r>
      <w:r>
        <w:rPr>
          <w:rFonts w:ascii="Times New Roman" w:hAnsi="Times New Roman"/>
          <w:b/>
          <w:noProof/>
          <w:sz w:val="24"/>
          <w:u w:val="single"/>
        </w:rPr>
        <w:tab/>
      </w:r>
      <w:r>
        <w:rPr>
          <w:rFonts w:ascii="Times New Roman" w:hAnsi="Times New Roman"/>
          <w:b/>
          <w:noProof/>
          <w:sz w:val="24"/>
          <w:szCs w:val="24"/>
          <w:u w:val="single"/>
        </w:rPr>
        <w:t>Milepæle, mål, indikatorer og tidsplan for overvågning og gennemførelse af den ikketilbagebetalingspligtige støtte</w:t>
      </w:r>
    </w:p>
    <w:p>
      <w:pPr>
        <w:keepNext/>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sz w:val="24"/>
          <w:szCs w:val="24"/>
        </w:rPr>
        <w:t>Startdatoen for alle indikatorer er den 1. februar 2020, medmindre andet er angivet i beskrivelsen af foranstaltningen.</w:t>
      </w:r>
      <w:r>
        <w:rPr>
          <w:rFonts w:ascii="Times New Roman" w:hAnsi="Times New Roman"/>
          <w:i/>
          <w:noProof/>
          <w:color w:val="000000"/>
          <w:sz w:val="24"/>
          <w:szCs w:val="24"/>
        </w:rPr>
        <w:t xml:space="preserve"> Beløbene i tabellen omfatter ikke moms.</w:t>
      </w:r>
    </w:p>
    <w:p>
      <w:pPr>
        <w:spacing w:before="120" w:after="120" w:line="240" w:lineRule="auto"/>
        <w:jc w:val="both"/>
        <w:rPr>
          <w:rFonts w:ascii="Times New Roman" w:hAnsi="Times New Roman" w:cs="Times New Roman"/>
          <w:b/>
          <w:bCs/>
          <w:noProof/>
          <w:sz w:val="24"/>
          <w:u w:val="single"/>
        </w:rPr>
      </w:pP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175"/>
          <w:headerReference w:type="default" r:id="rId176"/>
          <w:footerReference w:type="even" r:id="rId177"/>
          <w:footerReference w:type="default" r:id="rId178"/>
          <w:headerReference w:type="first" r:id="rId179"/>
          <w:footerReference w:type="first" r:id="rId180"/>
          <w:pgSz w:w="11907" w:h="16839"/>
          <w:pgMar w:top="1134" w:right="1417" w:bottom="1134" w:left="1417" w:header="709" w:footer="709" w:gutter="0"/>
          <w:cols w:space="720"/>
          <w:docGrid w:linePitch="360"/>
        </w:sectPr>
      </w:pPr>
    </w:p>
    <w:tbl>
      <w:tblPr>
        <w:tblW w:w="148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418"/>
        <w:gridCol w:w="1276"/>
        <w:gridCol w:w="850"/>
        <w:gridCol w:w="992"/>
        <w:gridCol w:w="567"/>
        <w:gridCol w:w="426"/>
        <w:gridCol w:w="708"/>
        <w:gridCol w:w="623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Milepæl</w:t>
            </w:r>
            <w:r>
              <w:rPr>
                <w:rFonts w:ascii="Times New Roman" w:hAnsi="Times New Roman"/>
                <w:noProof/>
                <w:sz w:val="18"/>
                <w:szCs w:val="18"/>
              </w:rPr>
              <w:t xml:space="preserve"> </w:t>
            </w:r>
            <w:r>
              <w:rPr>
                <w:rFonts w:ascii="Times New Roman" w:hAnsi="Times New Roman"/>
                <w:b/>
                <w:bCs/>
                <w:noProof/>
                <w:color w:val="000000" w:themeColor="text1"/>
                <w:sz w:val="18"/>
                <w:szCs w:val="18"/>
              </w:rPr>
              <w:t xml:space="preserve"> / Mål</w:t>
            </w:r>
          </w:p>
        </w:tc>
        <w:tc>
          <w:tcPr>
            <w:tcW w:w="1418"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Betegnelse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Kvalitativ indikator for milepæle</w:t>
            </w:r>
          </w:p>
        </w:tc>
        <w:tc>
          <w:tcPr>
            <w:tcW w:w="2409"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Kvantitativ indikator for målet</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Tid</w:t>
            </w:r>
          </w:p>
        </w:tc>
        <w:tc>
          <w:tcPr>
            <w:tcW w:w="623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418"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Enhed</w:t>
            </w:r>
          </w:p>
        </w:tc>
        <w:tc>
          <w:tcPr>
            <w:tcW w:w="992"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Reference</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Målsætning</w:t>
            </w:r>
          </w:p>
        </w:tc>
        <w:tc>
          <w:tcPr>
            <w:tcW w:w="426"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Q</w:t>
            </w:r>
          </w:p>
        </w:tc>
        <w:tc>
          <w:tcPr>
            <w:tcW w:w="708"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År</w:t>
            </w:r>
          </w:p>
        </w:tc>
        <w:tc>
          <w:tcPr>
            <w:tcW w:w="623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C14.R1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 for fremme af turistsektoren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Publikationswebside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Planen skal beskrive foranstaltninger til fremme af turistsektoren og fastlægge rammerne for gennemførelsen af turismerelaterede foranstaltninger.</w:t>
            </w:r>
          </w:p>
        </w:tc>
      </w:tr>
      <w:tr>
        <w:trPr>
          <w:trHeight w:val="881"/>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C14.R1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Lancering af webstedet "DATAESTUR", der indsamler data om turisme</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Link til Dataestur's websted</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Webstedet indsamler data om turisme i Spanien fra forskellige kilder til turismestatistikker, herunder offentlige og private organer såsom INE, Turespaña, Bank of Spain, AENA eller RENFE, og skal være operationelt.</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216</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C14.R1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Ikrafttrædelse af det kongelige dekret om gennemførelse af den statslige finansielle fond for turismekonkurrenceevne </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Bestemmelse i den kongelige anordning om lovens ikrafttræden</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2021</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Det kongelige dekret om gennemførelse af den statslige finansielle fond for turismekonkurrenceevne skal forbedre adgangen til offentlig finansiering for virksomheder inden for cirkulær økonomi og energieffektivitet.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217</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Budgettildeling af planer til fremme af turismens bæredygtighed på destinationen.</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EUR (mio.)</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561</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2021</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Offentliggørelse i EUT af tildelingen til lokale myndigheder af støtte til gennemførelse af "territoriale planer for turismens bæredygtighed på destinationen" på mindst 561 000 000 EUR og med 35 % af midlerne til at håndtere grøn omstilling, bæredygtighed og energieffektivitet/elektromobilitet på destinationer. Udvælgelseskriterierne vil sikre overensstemmelse med den tekniske vejledning om DNSH-princippet (2021/C58/01) gennem anvendelse af en udelukkelsesliste og kravet om overholdelse af den relevante EU- og nationale miljølovgivning. Udvælgelseskriterierne skal sikre, at mindst 511 000 000 EUR af foranstaltningen ud af det endelige samlede budget, der er tildelt foranstaltningen, bidrager til klimamålene med en klimakoefficient på 100 % og mindst 140 000 000 EUR med en klimakoefficient på 40 %, jf. bilag VI i forordning (EU) 2021/241 om genopretnings- og resiliensfaciliteten.</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218</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Budgettildeling af planer til fremme af turismens bæredygtighed på destinationen.</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EUR (mio.)</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561</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1 173</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2022</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Offentliggørelse i EUT af tildelingen til lokale myndigheder af støtte til gennemførelse af "territoriale planer for bæredygtig turisme på destinationsområdet" for mindst 1 173 000 000 EUR (referencescenarie: 31. december 2021) og med 35 % af midlerne til foranstaltninger vedrørende grøn omstilling, bæredygtighed og energieffektivitet/elektromobilitet på destinationer. Udvælgelseskriterierne skal sikre overensstemmelse med den tekniske vejledning om DNSH-princippet (2021/C58/01) gennem anvendelse af en udelukkelsesliste og kravet om overholdelse af den relevante EU- og nationale miljølovgivning. Udvælgelseskriterierne skal sikre, at mindst 511 000 000 EUR af foranstaltningen ud af det endelige samlede budget, der er tildelt foranstaltningen, bidrager til klimamålene med en klimakoefficient på 100 % og mindst 140 000 000 EUR med en klimakoefficient på 40 %, jf. bilag VI i forordning (EU) 2021/241 om genopretnings- og resiliensfaciliteten.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219</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Budgettildeling af planer til fremme af turismens bæredygtighed på destinationen.</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EUR (mio.)</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1 173</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1 788,6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2023</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Offentliggørelse i EUT af tildelingen til lokale myndigheder af støtte til gennemførelse af "Territorial Plans for Tourism Sustainability at Destination for mindst 1 788 600 000 EUR (reference: 31. december 2022) og med 35 % af midlerne til foranstaltninger vedrørende grøn omstilling, bæredygtighed og energieffektivitet/elektromobilitet på destinationer. Udvælgelseskriterierne skal sikre overensstemmelse med den tekniske vejledning om DNSH-princippet (2021/C58/01) gennem anvendelse af en udelukkelsesliste og kravet om overholdelse af den relevante EU- og nationale miljølovgivning. Udvælgelseskriterierne skal sikre, at mindst 511 000 000 EUR af foranstaltningen ud af det endelige samlede budget, der er tildelt foranstaltningen, bidrager til klimamålene med en klimakoefficient på 100 % og mindst 140 000 000 EUR med en klimakoefficient på 40 %, jf. bilag VI i forordning (EU) 2021/241 om genopretnings- og resiliensfaciliteten.</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220</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Færdiggørelse af planer til fremme af turismens bæredygtighed på bestemmelsesstedet.</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Rapport fra overvågningskommissionen med validering af fremskridtstærsklen</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2024</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Overvågningskommissionerne vil sikre, at alle tildelte destinationer mindst opfylder følgende procentvise gennemførelsesniveauer for hver turismeplan: — 75 % færdiggørelse for destinationer tildelt i 2021. — 50 % færdiggørelse for destinationer tildelt i 2022.  — 25 % færdiggørelse for destinationer tildelt i 2023.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221</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Afslutning af projekter til fremme af bæredygtigheden af turistdestinationer </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Bevis for udfyldelse</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2026</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Afslutning af alle projekter i "Territorial Plans for Tourism Sustainability at Destination", som tildeles i overensstemmelse med mål 211, 212 og 2013 idet 35 % af midlerne skal anvendes til foranstaltninger vedrørende grøn omstilling, bæredygtighed og energieffektivitet/elektromobilitet på destinationer i overensstemmelse med den tekniske vejledning om DNSH-princippet (2021/C58/01) gennem anvendelse af en udelukkelsesliste og kravet om overholdelse af den relevante EU- og nationale miljølovgivning.</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222</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C14.I2</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Lancering af turismesektorens platform for intelligente destinationer.</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Link til platformen</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Gennemførelse og lancering af en fuldt operationel platform for intelligente destinationer. Platformen skal stille interoperable offentlige og private tjenester til rådighed for turister.</w:t>
            </w:r>
          </w:p>
        </w:tc>
      </w:tr>
      <w:tr>
        <w:trPr>
          <w:trHeight w:val="17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223</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C14.I2</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Støttemodtagere til innovative teknologibaserede projekter vedrørende kunstig intelligens og andre støtteteknologier</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1 000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Mindst 1 000 støttemodtagere (virksomheder eller klynger), der har gennemført innovative teknologibaserede projekter for turistsektoren vedrørende kunstig intelligens og andre støtteteknologier såsom tingenes internet, 5G, big data, cybersikkerhed og mobilapplikationer.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224</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C14.I3</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Støttemodtagere i de ekstrainsulære regioner, der har afsluttet projekter for at forbedre deres konkurrenceevne og evne til at tilpasse sig ændringer på de internationale markeder.</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400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Mindst 400 støttemodtagere i de ekstrahalvøområder (Balearerne, De Kanariske Øer, Ceuta og Melilla), der har afsluttet projekter for at forbedre deres konkurrenceevne og evne til at tilpasse sig ændringer på de internationale markeder.</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225</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Projekter rettet mod kommercielle områder i lokalområder med stor turisttilstrømning</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60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2024</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Mindst 60 projekter rettet mod kommercielle områder beliggende i lokalområder med stor turisttilstrømning afsluttet i overensstemmelse med den tekniske vejledning om DNSH-princippet (2021/C58/01) gennem anvendelse af en udelukkelsesliste og kravet om overholdelse af den relevante EU- og nationale miljølovgivning.</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226</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Turismeprodukter, der leveres i overensstemmelse med turismestrategien. </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45</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Mindst 45 nye turismeprodukter, der leveres i overensstemmelse med strategien for udvikling af bæredygtige turismeprodukter i overensstemmelse med den tekniske vejledning om DNSH-princippet (2021/C58/01) gennem anvendelse af en udelukkelsesliste og kravet om overholdelse af den relevante EU- og nationale miljølovgivning.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227</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Turistvirksomheder, der reducerer deres årlige affalds- eller energiforbrug</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3 400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Mindst 3 400 turistvirksomheder har afsluttet projekter, der har til formål at reducere deres årlige affalds- eller energiforbrug i overensstemmelse med den tekniske vejledning om DNSH-princippet (2021/C58/01) gennem anvendelse af en udelukkelsesliste og kravet om overholdelse af den relevante EU- og nationale miljølovgivning.</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228</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Projekter til retablering af historiske kulturarvssteder med nuværende eller fremtidig anvendelse af turisme</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2026</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Mindst 50 foranstaltninger til retablering af historiske kulturarvssteder afsluttet i overensstemmelse med den tekniske vejledning om DNSH-princippet (2021/C58/01) gennem anvendelse af en udelukkelsesliste og kravet om overholdelse af den relevante EU- og nationale miljølovgivning. </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sectPr>
          <w:headerReference w:type="even" r:id="rId181"/>
          <w:headerReference w:type="default" r:id="rId182"/>
          <w:footerReference w:type="even" r:id="rId183"/>
          <w:footerReference w:type="default" r:id="rId184"/>
          <w:headerReference w:type="first" r:id="rId185"/>
          <w:footerReference w:type="first" r:id="rId186"/>
          <w:pgSz w:w="16839" w:h="11907" w:orient="landscape"/>
          <w:pgMar w:top="1417" w:right="1134" w:bottom="1417" w:left="1134" w:header="709" w:footer="709" w:gutter="0"/>
          <w:cols w:space="720"/>
          <w:docGrid w:linePitch="360"/>
        </w:sectPr>
      </w:pPr>
    </w:p>
    <w:p>
      <w:pPr>
        <w:pStyle w:val="Heading1"/>
        <w:rPr>
          <w:noProof/>
        </w:rPr>
      </w:pPr>
      <w:r>
        <w:rPr>
          <w:noProof/>
        </w:rPr>
        <w:t>O. KOMPONENT 15: Digital konnektivitet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Digital konnektivitet er en nøglefaktor for udviklingen af økonomisk aktivitet, øget produktivitet, fremme af innovation og territorial og social samhørighed. Adgang til digitale net er i stigende grad nødvendig for at kunne få adgang til offentlige tjenester, udvikle økonomiske aktiviteter og deltage aktivt i samfundet.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Denne komponent i den spanske genopretnings- og resiliensplan omhandler udfordringer med hensyn til konnektivitet ved at bringe dækningen af ultrahurtige faste net med mere end 100 Mbps/s og 5G-markedssvigt i Spanien og navnlig i landdistrikter og i de vigtigste grænseoverskridende transportkorridorer op. Set fra et cybersikkerhedsperspektiv er den største udfordring, som komponenten tager fat på, at skabe et pålideligt og sikkert miljø for borgere og virksomheder med henblik på at bidrage til den digitaliseringsproces og hyperkonnektivitet, der er forbundet med gennemførelsen af 5G, og de tjenester, der skal være med denne teknologi f.eks såsom IoT-applikationer (Internet of Things).</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Formålet med denne komponent er at bringe telekommunikationssektoren i overensstemmelse med kravene i den europæiske digitale strategi og styrke den økonomiske, sociale og territoriale samhørighed ved at lukke digitale huller og øge adgangen til ultrahurtig dækning på tværs af nationale områder. Komponenten støtter en fremskyndet udbredelse af 5G-teknologi ved at: 1) stille de nødvendige frekvensressourcer til rådighed i de prioriterede 5G-bånd 2) udvikling af et pålideligt og sikkert udrulningsmiljø og 3) fremme af udviklingen af 5G-teknologiapplikationer. Den har også til formål at støtte en bæredygtig cybersikkerhedskultur for borgere og virksomheder.</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Komponenten vedrører de landespecifikke henstillinger om at fokusere den økonomiske investeringspolitik på at fremme innovation (landespecifik henstilling nr. 3 fra 2019) og fremskynde modne offentlige investeringsprojekter og fokusere investeringerne på den digitale omstilling (landespecifik henstilling nr. 3 fra 2020).</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ind w:left="709"/>
        <w:jc w:val="both"/>
        <w:rPr>
          <w:rFonts w:ascii="Times New Roman" w:hAnsi="Times New Roman" w:cs="Times New Roman"/>
          <w:b/>
          <w:i/>
          <w:noProof/>
          <w:color w:val="4F81BD" w:themeColor="accent1"/>
          <w:sz w:val="24"/>
          <w:szCs w:val="24"/>
        </w:rPr>
      </w:pPr>
      <w:r>
        <w:rPr>
          <w:rFonts w:ascii="Times New Roman" w:hAnsi="Times New Roman"/>
          <w:b/>
          <w:noProof/>
          <w:sz w:val="24"/>
          <w:szCs w:val="24"/>
          <w:u w:val="single"/>
        </w:rPr>
        <w:t xml:space="preserve">O.1 </w:t>
      </w:r>
      <w:r>
        <w:rPr>
          <w:rFonts w:ascii="Times New Roman" w:hAnsi="Times New Roman"/>
          <w:b/>
          <w:noProof/>
          <w:sz w:val="24"/>
          <w:u w:val="single"/>
        </w:rPr>
        <w:tab/>
      </w:r>
      <w:r>
        <w:rPr>
          <w:rFonts w:ascii="Times New Roman" w:hAnsi="Times New Roman"/>
          <w:b/>
          <w:noProof/>
          <w:sz w:val="24"/>
          <w:szCs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1 (C15.R1) — Reform af regelsættet for telekommunikation: Generel lov, reguleringsinstrumenter og gennemførelsesinstrumenter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foranstaltningen er at gennemføre direktiv 2018/1972 i den europæiske kodeks for elektronisk kommunikation, udvikle bedste praksis for udrulning af faste og mobile højkapacitetsnet og 5G-net og udvikle de foranstaltninger, der er nødvendige for inden for de nationale rammer at gennemføre den værktøjskasse, der følger af Europa-Kommissionens henstilling om konnektivitet C (2020) 6270.</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Den værktøjskasse, der følger af gennemførelsen af Europa-Kommissionens henstilling om konnektivitet C (2020) 6270, skal indarbejdes i den spanske retlige ramme inden for den generelle telekommunikationslovgivning i de elementer, der kræver status af lovgivning. </w:t>
      </w:r>
    </w:p>
    <w:p>
      <w:pPr>
        <w:autoSpaceDE w:val="0"/>
        <w:autoSpaceDN w:val="0"/>
        <w:spacing w:before="40" w:after="40" w:line="240" w:lineRule="auto"/>
        <w:jc w:val="both"/>
        <w:rPr>
          <w:rFonts w:ascii="Times New Roman" w:eastAsia="Calibri" w:hAnsi="Times New Roman" w:cs="Times New Roman"/>
          <w:noProof/>
        </w:rPr>
      </w:pPr>
      <w:r>
        <w:rPr>
          <w:rFonts w:ascii="Times New Roman" w:hAnsi="Times New Roman"/>
          <w:noProof/>
          <w:sz w:val="24"/>
          <w:szCs w:val="24"/>
        </w:rPr>
        <w:t>Gennemførelsen af reformerne skal være afsluttet senest den 30. juni 2022.</w:t>
      </w:r>
      <w:r>
        <w:rPr>
          <w:rFonts w:ascii="Times New Roman" w:hAnsi="Times New Roman"/>
          <w:noProof/>
          <w:color w:val="000000"/>
          <w:sz w:val="20"/>
          <w:szCs w:val="20"/>
        </w:rPr>
        <w:t xml:space="preserve"> </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2 (C15.R2) — Køreplan 5G: Frekvensforvaltning og -tildeling, reduktion af byrden i forbindelse med udrulning, forordningen om cybersikkerhed 5G og støtte til lokale myndigheder</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foranstaltningen er at: 1) fuldføre den anden digitale dividende og auktionsproceduren for 700 MHz-båndet og 26 GHz-båndet; 2) midlertidigt reducere frekvensafgifterne for teleoperatører for 2022 og 2023 for at fremskynde udbredelsen af 5G; 3) indarbejde EU's værktøjskasse for 5G-cybersikkerhed i den nationale lovgivning; og 4) formidle god praksis til lokale offentlige forvaltninger inden for telekommunikation og byplanlægning.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Med hensyn til gennemførelsen identificeres følgende trin:</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Afslutning af anden digitaliseringsdividende</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Strategi for fremme af 5G-teknologi</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Auktion for 700 MHz-båndet </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Udbud vedrørende 26 GHz-båndet</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Midlertidig nedsættelse af frekvensbeskatningen</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szCs w:val="24"/>
        </w:rPr>
        <w:t>Lov om cybersikkerhed 5G</w:t>
      </w:r>
    </w:p>
    <w:p>
      <w:pPr>
        <w:autoSpaceDE w:val="0"/>
        <w:autoSpaceDN w:val="0"/>
        <w:spacing w:before="40" w:after="40" w:line="240" w:lineRule="auto"/>
        <w:jc w:val="both"/>
        <w:rPr>
          <w:rFonts w:ascii="Times New Roman" w:eastAsia="Calibri" w:hAnsi="Times New Roman" w:cs="Times New Roman"/>
          <w:noProof/>
        </w:rPr>
      </w:pPr>
      <w:r>
        <w:rPr>
          <w:rFonts w:ascii="Times New Roman" w:hAnsi="Times New Roman"/>
          <w:noProof/>
          <w:sz w:val="24"/>
          <w:szCs w:val="24"/>
        </w:rPr>
        <w:t>Gennemførelsen af reformerne skal være afsluttet senest den 31. december 2022.</w:t>
      </w:r>
      <w:r>
        <w:rPr>
          <w:rFonts w:ascii="Times New Roman" w:hAnsi="Times New Roman"/>
          <w:noProof/>
          <w:color w:val="000000"/>
          <w:sz w:val="20"/>
          <w:szCs w:val="20"/>
        </w:rPr>
        <w:t xml:space="preserve">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1 (C15.I1) — Fremme af territorial samhørighed gennem etablering af netværk: Udbygning af ultrahurtigt bredbånd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foranstaltningen er at: 1) uddybe dækningen af ultrahurtige bredbåndsnet i områder, der mangler det, med henblik på at nå ud til 100 % af befolkningen; og 2) iværksætte specifikke foranstaltninger til udvidelse af dækningen i historiske bycentre med status som white-area.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Investeringen består i at levere ultrahurtige bredbåndsforbindelser (over 100 Mbps) til de områder, primært landdistrikter og områder af historisk værdi, som i øjeblikket ikke har sådanne forbindelser. Der vedtages en detaljeret gennemførelsesplan inden udgangen af 2021, og 100 % af budgettet tildeles inden udgangen af 2023. Planen skal også fastsætte de endelige mål (i form af ekstra dækning i enheder), der skal nås, og sikre teknologisk neutralitet og opretholdelse af mekanismer til markedskonkurrence og adgang for alle operatører til den udrullede infrastruktur. Interventionsområderne fastlægges i en sådan plan. Gennemførelsesplanen skal også indeholde de nødvendige retlige og reguleringsmæssige skridt, herunder de foranstaltninger, der skal træffes for at sikre overholdelse af de relevante EU-statsstøtteregler. Målet er at sikre symmetriske hastigheder på 300 Mbps, der kan opgraderes til 1 Gbps symmetrisk (gigabit pr. sekund) i hvide områder og i grå områder.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Gennemførelsen af investeringen skal være afsluttet senest den 31. december 2025.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2 (C15.I2) Styrkelse af konnektiviteten i referencecentre, socioøkonomiske drivkræfter og sektorspecifikke digitaliseringsprojekter</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foranstaltningen er at: 1) at forbedre konnektiviteten og udstyret i centre, der giver adgang til grundlæggende pleje og sociale tjenester såsom hospitaler, sundhedscentre, uddannelses- og erhvervsuddannelsescentre; og 2) sikre ultrakonnektivitet i landets vigtigste socioøkonomiske drivkræfter og områder med stor efterspørgsel efter kapacitet (teknologiske øer).</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Investeringen består i at udvide 1-gigabitkonnektivitet til de vigtigste centre for social og økonomisk aktivitet i hele landet. De udvalgte steder omfatter industrianlæg, datacentre, agroindustrielle anlæg, forskningscentre, transportknudepunkter, logistikknudepunkter eller dataintensive virksomheder samt sundhedscentre såsom hospitaler, uddannelsescentre og sundhedscentre.</w:t>
      </w:r>
    </w:p>
    <w:p>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Specifikke foranstaltninger omfatter: a) projekter til styrkelse af konnektiviteten i knudepunkter og offentlige tjenester b) projekter i 1-gigabitkonnektivitet og støtte til nøglesektorer, herunder innovative sektorspecifikke digitaliseringsprojekter (sundhed, landbrugsfødevarer, mobilitet, turisme, industri, handel osv.) og konnektivitetsprojekter for industri- og erhvervsejendomme i hvide/grå områder.</w:t>
      </w:r>
    </w:p>
    <w:p>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Investeringen gennemføres senest den 31. december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3 (C15.I3) — Konnektivitetsvouchere til SMV'er og sårbare grupper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Investeringen består i: </w:t>
      </w:r>
    </w:p>
    <w:p>
      <w:pPr>
        <w:numPr>
          <w:ilvl w:val="0"/>
          <w:numId w:val="144"/>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Vouchere til SMV'er til finansiering af investeringer i konnektivitet (herunder grundlæggende konnektivitet på mindst 100 Mbps og værdiforøgende tjenester såsom VPN og cybersikkerhed) og</w:t>
      </w:r>
    </w:p>
    <w:p>
      <w:pPr>
        <w:numPr>
          <w:ilvl w:val="0"/>
          <w:numId w:val="144"/>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Vouchers til sårbare enkeltpersoner eller familier til finansiering af bredbåndstilslutningspakker med den mest hensigtsmæssige teknologi.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Investeringen gennemføres senest den 31. december 2023.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4 (C15.I4) — fornyelse og bæredygtighed af infrastruktur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Investeringen består i at udstyre den eksisterende bygningsmasse med infrastruktur for at lette den optimale udbredelse af net med meget høj kapacitet i den sidste kilometer af adgangen. Ud over at koordinere og optimere udbredelsen af næste generation af accesnet på en bæredygtig måde forventes denne investering at optimere energiforbruget i de udrullede net.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Gennemførelsen af investeringen skal være afsluttet senest den 31. december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5 (C15.I5) — Udrulning af grænseoverskridende digital infrastruktur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Investeringen består af tre projekter.</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 xml:space="preserve">1) forbedring af konnektiviteten på tværs af grænserne digital infrastruktur: Dette vil indebære, at spanske virksomheder deltager i konsortier af virksomheder til projekter vedrørende datainfrastrukturforbindelser og undersøiske kabler under Connecting Europe-faciliteten (CEF2 Digital) og den nye generelle gruppefritagelsesforordning. </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2) deltagelse i multinationale grænseoverskridende digitale infrastrukturprojekter: kandidatprojekter vil være de planlagte vigtige projekter af fælleseuropæisk interesse (IPCEI) vedrørende ny generation af cloud- og Edge-infrastruktur og -tjenester; og deltagelse i det planlagte IPCEI om avancerede processorer og halvledere. Hvis der ikke oprettes et flerlande-IPCEI, kan der oprettes andre programmer såsom F &amp; D &amp; I-programmer til styrkelse af kapaciteten på disse områder.</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 xml:space="preserve">3) andre grænseoverskridende digitale F &amp; D &amp; I-projekter, herunder investeringer i satellitbaserede sikre kommunikationssystemer og udvikling af kvantekommunikationskapacitet.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Der skal foreligge en detaljeret gennemførelsesplan for disse investeringer senest den 31. december 2022 med det formål klart at definere de udvalgte projekter og nå op på 100 % af budgetgennemførelsen senest den 30. juni 2023.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Planen skal beskrive de tekniske kriterier (projektets og støttemodtagernes vigtigste karakteristika) og de nødvendige retlige og reguleringsmæssige skridt, herunder de skridt, der er taget for at overholde statsstøttekontrollen. Planen skal også fastsætte et endeligt mål for fjerde kvartal af 2025.</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Investeringen skal være afsluttet senest den 31. december 2025.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6 (C15.I6) — 5G-udbygning: netværk, teknologisk udvikling og innovation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Investeringen skal bestå af fire forskellige delprojekter:</w:t>
      </w:r>
    </w:p>
    <w:p>
      <w:pPr>
        <w:spacing w:before="120" w:after="120" w:line="240" w:lineRule="auto"/>
        <w:ind w:left="709"/>
        <w:jc w:val="both"/>
        <w:rPr>
          <w:rFonts w:ascii="Times New Roman" w:eastAsia="Calibri" w:hAnsi="Times New Roman" w:cs="Times New Roman"/>
          <w:noProof/>
          <w:sz w:val="24"/>
          <w:szCs w:val="24"/>
        </w:rPr>
      </w:pPr>
      <w:r>
        <w:rPr>
          <w:rFonts w:ascii="Times New Roman" w:hAnsi="Times New Roman"/>
          <w:noProof/>
          <w:sz w:val="24"/>
          <w:szCs w:val="24"/>
        </w:rPr>
        <w:t>1) udrulningen af 5G skal fremmes og fremskyndes i de vigtigste transportkorridorer (veje og jernbaner) både nationalt (sekundære korridorer i visse områder) og grænseoverskridende (primære korridorer). Disse initiativer er i overensstemmelse med de 5G-korridorer, som Europa-Kommissionen har fastlagt, og skal styrke korridorerne mellem Spanien og Portugal og Spanien og Frankrig med i alt mindst 4 000 områder, herunder backhaul-forbindelser. Denne foranstaltning omfatter sekundære ruter, som ikke er omfattet af de forpligtelser, der pålægges i frekvensudbud.</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2) udrulning af 5G i visse områder med det formål at opnå en befolkningsdækning på 75 % inden den 31. december 2025 i 5G-præferencebåndene. For at lette denne udrulning skal der også træffes foranstaltninger til at øge det eksisterende nets kapacitet til at reagere på den store efterspørgsel efter båndbredde og basisstationernes tæthed, som kræver udrulning af 5G (mindst 7 000 nye anlæg med backhaulkapacitet og 5G aktiveret; og mindst 3 500 eksisterende anlæg med foranstaltninger til at øge kapaciteten i deres backhaulnet og installation af 5G-udstyr). Denne foranstaltning omfatter områder, der ikke er omfattet af de forpligtelser, der pålægges i frekvensudbud.</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3) udrulning af 5G i vigtige økonomiske aktiviteter (industrielle produktionsmiljøer i strategiske virksomheder i visse vigtige produktionssektorer med stor indvirkning) og i vigtige tjenester (produktionsmiljøer inden for uddannelses-, pleje- og socialmedicinske områder). Der forventes mindst 43 konnektivitetsprojekter.</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4) støtte til 5G- og 6G-relateret F &amp; D til innovationsøkosystemer (mindst 200 projekter) og 5G-cybersikkerhedsøkosystemer (oprettelse af et center med kapacitet til at huse ca. 300 ingeniører til 5G-cybersikkerhed, eksklusive omkostninger i forbindelse med bygge- og renoveringsarbejdet).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For alle ovennævnte projekter skal der foreligge en detaljeret gennemførelsesplan senest den 30. juni 2022 med det formål klart at definere de udvalgte projekter og tildele 100 % af budgettet senest den 30. september 2023 og nå frem til projektets afslutning senest den 30. juni 2025.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Planen skal omfatte gennemførelsesplanen for indførelse af 5G med foranstaltninger på følgende områder: 1) 5G-korridorer 2) udrulning af 5G-accessnet og mobilbackhaul i andre bestemte områder 3) projekter til udbredelse af 5G med henblik på konnektivitet og digitalisering af centrale økonomiske aktiviteter og væsentlige tjenester og 4) støtte til innovative anvendelser af 5G- og 6G-økosystemet. Planen skal også beskrive de tekniske kriterier (centrale karakteristika ved projekter og områder, der er omfattet, hvis det er relevant) og de nødvendige retlige og reguleringsmæssige skridt, herunder de skridt, der er taget for at overholde de relevante EU-statsstøtteregler. Planen skal også fastsætte de endelige mål, der skal nås senest den 31. december 2025.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Investeringen skal være afsluttet senest den 31. december 2025.</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7 (C15.I7) Cybersikkerhed: Styrkelse af kapaciteten hos borgere, SMV'er og fagfolk Forbedring af sektorens økosystem</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Investeringen består af en række foranstaltninger, der har til formål at udvikle både borgeres og virksomheders cybersikkerhedskapacitet og fremme det spanske cybersikkerhedsøkosystem. Aktionerne er centreret omkring tre akser: </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szCs w:val="24"/>
        </w:rPr>
        <w:t>1) styrkelse af cybersikkerhedskapaciteten hos borgere, SMV'er og fagfolk. At udstyre borgere og virksomheder, navnlig SMV'er, med de nødvendige færdigheder til at identificere risici i forbindelse med den daglige brug af digital teknologi. Programmerne på dette område omfatter oplysningskampagner, der forventes at nå ud til så mange mennesker som muligt gennem kommunikationskampagner, nærhedsforanstaltninger og udvikling af specifikke ressourcer til disse formål. Dette omfatter også en forøgelse af reaktionsmekanismerne gennem koordinerede beredskabstjenester og tiltag såsom cybersikkerhedshjælplinen, der skal øge dens kapacitet til 20 000 opkald pr. måned.</w:t>
      </w:r>
    </w:p>
    <w:p>
      <w:pPr>
        <w:spacing w:before="120" w:after="120" w:line="240" w:lineRule="auto"/>
        <w:ind w:left="709"/>
        <w:jc w:val="both"/>
        <w:rPr>
          <w:rFonts w:ascii="Times New Roman" w:eastAsia="Calibri" w:hAnsi="Times New Roman" w:cs="Times New Roman"/>
          <w:noProof/>
          <w:sz w:val="24"/>
          <w:szCs w:val="24"/>
        </w:rPr>
      </w:pPr>
      <w:r>
        <w:rPr>
          <w:rFonts w:ascii="Times New Roman" w:hAnsi="Times New Roman"/>
          <w:noProof/>
          <w:sz w:val="24"/>
          <w:szCs w:val="24"/>
        </w:rPr>
        <w:t>2) fremme af det industrielle cybersikkerhedsøkosystem. Denne del af foranstaltningen omfatter specifikke aktioner vedrørende: den nationale cybersikkerhedsindustri for fremkomsten, væksten og udviklingen af nye virksomheder i denne sektor cybersikkerhed F &amp; D &amp; I, der muliggør udviklingen af løsninger og tjenester med høj merværdi uddannelse og udvikling af talenter for at imødekomme den uopfyldte efterspørgsel efter branchefolk. Den skal endvidere indeholde bestemmelser om oprettelse af et demonstrationscenter for udvikling af cybersikkerhedsinfrastruktur og oprettelse af nye cybersikkerhedstjenester, herunder prøvningslaboratorier og cyberangrebssimulatorer, og for udvikling af cybersikkerhedscertificering. 3) oprettelse af et internationalt knudepunkt for cybersikkerhed for at sætte skub i sektoren i Europa gennem aktiv deltagelse i det europæiske netværk af cybersikkerhedscentre. Dette omfatter lanceringen af spejlcentret i Det Europæiske Kompetencecenter (ERCC).</w:t>
      </w:r>
    </w:p>
    <w:p>
      <w:pPr>
        <w:spacing w:after="0" w:line="240" w:lineRule="auto"/>
        <w:rPr>
          <w:rFonts w:ascii="Times New Roman" w:eastAsia="Calibri" w:hAnsi="Times New Roman" w:cs="Times New Roman"/>
          <w:noProof/>
          <w:sz w:val="24"/>
          <w:szCs w:val="24"/>
        </w:rPr>
      </w:pPr>
      <w:r>
        <w:rPr>
          <w:rFonts w:ascii="Times New Roman" w:hAnsi="Times New Roman"/>
          <w:noProof/>
          <w:sz w:val="24"/>
          <w:szCs w:val="24"/>
        </w:rPr>
        <w:t xml:space="preserve">Gennemførelsen af investeringen skal være afsluttet senest den 30. juni 2026. </w:t>
      </w:r>
    </w:p>
    <w:p>
      <w:pPr>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O.2 </w:t>
      </w:r>
      <w:r>
        <w:rPr>
          <w:rFonts w:ascii="Times New Roman" w:hAnsi="Times New Roman"/>
          <w:b/>
          <w:noProof/>
          <w:sz w:val="24"/>
          <w:u w:val="single"/>
        </w:rPr>
        <w:tab/>
      </w:r>
      <w:r>
        <w:rPr>
          <w:rFonts w:ascii="Times New Roman" w:hAnsi="Times New Roman"/>
          <w:b/>
          <w:noProof/>
          <w:sz w:val="24"/>
          <w:szCs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den 1. februar 2020 , medmindre andet er angivet i beskrivelsen af foranstaltningen. Beløbene i tabellen omfatter ikke moms.</w:t>
      </w:r>
    </w:p>
    <w:p>
      <w:pPr>
        <w:spacing w:before="120" w:after="120" w:line="240" w:lineRule="auto"/>
        <w:jc w:val="both"/>
        <w:rPr>
          <w:rFonts w:ascii="Times New Roman" w:hAnsi="Times New Roman" w:cs="Times New Roman"/>
          <w:b/>
          <w:bCs/>
          <w:noProof/>
          <w:sz w:val="24"/>
          <w:u w:val="single"/>
        </w:rPr>
      </w:pP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187"/>
          <w:headerReference w:type="default" r:id="rId188"/>
          <w:footerReference w:type="even" r:id="rId189"/>
          <w:footerReference w:type="default" r:id="rId190"/>
          <w:headerReference w:type="first" r:id="rId191"/>
          <w:footerReference w:type="first" r:id="rId19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694"/>
        <w:gridCol w:w="1275"/>
        <w:gridCol w:w="851"/>
        <w:gridCol w:w="567"/>
        <w:gridCol w:w="709"/>
        <w:gridCol w:w="425"/>
        <w:gridCol w:w="567"/>
        <w:gridCol w:w="5812"/>
      </w:tblGrid>
      <w:tr>
        <w:trPr>
          <w:trHeight w:val="309"/>
          <w:tblHeader/>
        </w:trPr>
        <w:tc>
          <w:tcPr>
            <w:tcW w:w="709"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Nummer</w:t>
            </w:r>
          </w:p>
        </w:tc>
        <w:tc>
          <w:tcPr>
            <w:tcW w:w="851"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Foranstaltning</w:t>
            </w:r>
          </w:p>
        </w:tc>
        <w:tc>
          <w:tcPr>
            <w:tcW w:w="850"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Milepæl</w:t>
            </w:r>
            <w:r>
              <w:rPr>
                <w:rFonts w:ascii="Times New Roman" w:hAnsi="Times New Roman"/>
                <w:noProof/>
                <w:sz w:val="18"/>
                <w:szCs w:val="18"/>
              </w:rPr>
              <w:t xml:space="preserve"> </w:t>
            </w:r>
            <w:r>
              <w:rPr>
                <w:rFonts w:ascii="Times New Roman" w:hAnsi="Times New Roman"/>
                <w:b/>
                <w:bCs/>
                <w:noProof/>
                <w:color w:val="000000" w:themeColor="text1"/>
                <w:sz w:val="18"/>
                <w:szCs w:val="18"/>
              </w:rPr>
              <w:t xml:space="preserve"> / Mål</w:t>
            </w:r>
          </w:p>
        </w:tc>
        <w:tc>
          <w:tcPr>
            <w:tcW w:w="2694"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Betegnelse</w:t>
            </w:r>
          </w:p>
        </w:tc>
        <w:tc>
          <w:tcPr>
            <w:tcW w:w="1275"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Kvalitativ indikator for milepæle</w:t>
            </w:r>
          </w:p>
        </w:tc>
        <w:tc>
          <w:tcPr>
            <w:tcW w:w="212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Kvantitativ indikator for målet</w:t>
            </w:r>
          </w:p>
        </w:tc>
        <w:tc>
          <w:tcPr>
            <w:tcW w:w="99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Tid</w:t>
            </w:r>
          </w:p>
        </w:tc>
        <w:tc>
          <w:tcPr>
            <w:tcW w:w="5812"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694"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1275"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Enhed</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Reference</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Målsætning</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Q</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År</w:t>
            </w:r>
          </w:p>
        </w:tc>
        <w:tc>
          <w:tcPr>
            <w:tcW w:w="5812"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229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loven om telekommunikation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der angiver lovens ikrafttræden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Telekommunikationsloven skal også gennemføre direktiv 2018/1972 i den europæiske kodeks for elektronisk kommunikation (EECC). Loven skal også indarbejde anbefalingerne om EU's konnektivitetsværktøjskasse, som skal være i en lov i overensstemmelse med den spanske retlige ramme. Ud over gennemførelsen af direktiv 2018/1972 om den europæiske kodeks for elektronisk kommunikation skal loven omfatte: i) bestemmelser om fortegnelsen over undersøiske kabler og IXP/datacentre ii) samt en forenklet skatteordning for lokale afgifter på udbygning af nettet og iii) etablering af et enkelt kontaktpunkt for anvendelsen af licenser og tilladelser udstedt af forskellige myndighedsniveauer til etablering af net.</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2025-planen for det digitale Spanien og strategien for fremme af 5G-teknologi</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planen for et digitalt Spanien 2025 og ministerrådets godkendelse af "Strategi for fremme af 5G-teknologi"</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231</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Frigørelse af 700 MHz-frekvensbåndet</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Underretning af Europa-Kommissionen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Afslutning af frigivelsen af 700 MHz-frekvensbåndet i overensstemmelse med Europa-Parlamentets og Rådets afgørelse (EU) 2017/899 af 17. maj 2017 om anvendelse af 470-790 MHz-båndet i Unionen</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232</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Tildeling af 700 MHz-frekvensbåndet</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i Den Europæiske Unions Tidende af tildelingen af 700 MHz-frekvensbåndet som følge af auktionen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233</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retsakt om nedsættelse af 5G-frekvensafgifterne</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retsakten om ikrafttræden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Vedtagelse af en retsakt om reduktion af 5G-frekvensafgifterne med henblik på at fremskynde udbredelsen af 5G, der definerer den tilsvarende acceleration af udbredelsen af 5G, der forventes af hver støttemodtager. Retsakten skal indeholde de retlige og reguleringsmæssige skridt, der er nødvendige for at gennemføre projektet.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234</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Tildeling af 26 GHz-båndet</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56"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i Den Europæiske Unions Tidende af tildelingen af 26 GHz-frekvensbåndet som følge af auktionen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235</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loven om 5G-cybersikkerhed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om 5G-cybersikkerhed ved ikrafttrædelsen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Loven om 5G-cybersikkerhed omfatter og gennemfører anbefalingen om EU-værktøjskassen for 5G-cybersikkerhed. Loven skal som minimum indeholde følgende elementer: — Forpligtelser med hensyn til sikkerhedsrisikovurdering og -styring for teleoperatører  — Diversificeringsforpligtelser i forsyningskæden for at undgå teknologisk afhængighed - Måder til identifikation af højrisiko- og mellemrisikosælgere og eventuelle begrænsninger i deres anvendelse.</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Udrulning af ultrahurtigt bredbånd: tildeling</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Tildeling af projekter</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Tildeling af alle kontrakter og tilskud (samlet budget på 812 000 000 EUR) og overførsel af midler til gennemførelse af aktioner med henblik på at sikre ultrahurtige bredbåndsforbindelser i hvide og grå områder med symmetriske hastigheder på 300 Mbps, der kan opgraderes til symmetriske 1 Gbps, undtagen i fjerntliggende landdistrikter, hvor specifikke projekter skal dækkes, hvor mindst 100 Mbps er garanteret.</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Udrulning af ultrahurtigt bredbånd: Færdiggørelse af projektet</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Afslutning af tildelte projekter</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56"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Afslutning af projekter vedrørende udrulning af ultrahurtigt bredbånd i overensstemmelse med de kriterier, der er fastsat i tildelingen af programmet (Milepæl #236).</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Forbedring af konnektiviteten i centrale centre og sektorer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16 100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Antal enheder, der opgraderes til en konnektivitetshastighed på 1 gigabit: mindst 9 000 offentlige centre og tjenester såsom folkesundhedscentre, uddannelses- og erhvervsuddannelsescentre og F &amp; D-centre mindst 1 600 små industri- og forretningssteder — 5 500 digitaliseringsprojekter (sundhed, landbrugsfødevarer, mobilitet, turisme, industri, handel osv.).</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239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Konnektivitetskuponer til SMV'er og sårbare grupper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136 000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Mindst 125 000 konnektivitetskuponer til enkeltpersoner eller familier, der er identificeret som "sårbare" (for at erhverve bredbåndstilsluttede pakker med den mest hensigtsmæssige teknologi) og mindst 11 000 konnektivitetskuponer til SMV'er, der tildeles (vouchere skal bestå af to særskilte elementer, konnektivitet på 100 Mbps og et sæt tillægstjenester, VPN, cybersikkerhed).</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C15.I4</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Tilpasning af telekommunikationsinfrastruktur i bygninger</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13 600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Arbejder afsluttet i mindst 13 600 bygninger for at forbedre deres fælles forbindelsesnetinfrastruktur på niveauet for net med meget høj kapacitet.</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241</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Forbedring af grænseoverskridende digital infrastruktur: tildeling</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Officiel offentliggørelse af projekttildelingen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Tildeling af alle kontrakter og tilskud til projekterne (samlet budget for indkaldelse af projekter på 500 000 000 EUR) og overførsel af midler til gennemførelse af aktionerne for: a) for undersøiske kabler og sammenkobling af cloud-/datainfrastruktur b) projekter vedrørende ny generation af cloud- og Edge-infrastrukturer og -tjenester c) projekter vedrørende avancerede processorer og halvledere og d) om F &amp; D &amp; I-projekter til styrkelse af kapaciteten inden for kvantekommunikation og sikker satellitkommunikation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242</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Forbedring af grænseoverskridende digital infrastruktur: færdiggørelse af projektet</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Afslutning af tildelte projekter</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Afslutning af projekterne (tildelt i milepæl m- 241) til a) undersøiske kabler og sammenkobling af cloud-/datainfrastruktur, b) projekter Ny generation af cloud- og Edge-infrastruktur og -tjenester c) projekter vedrørende avancerede processorer og halvledere og d) om F &amp; D &amp; I-projekter til styrkelse af kapaciteten inden for kvantekommunikation og sikker satellitkommunikation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243</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C15.I6</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Udbredelse af 5G-teknologi: tildeling</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Officiel offentliggørelse af projekttildelingen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Tildeling af alle kontrakter og tilskud til projekterne (samlet projektbudget på 1 405 000 000 EUR) og overførsel af midler til gennemførelse af foranstaltningerne for: a) etablering af 5G på de vigtigste nationale (i visse områder) og grænseoverskridende transportkorridorer (4 000 områder) b) udrulning af 5G i visse områder med det formål at opnå en befolkningsdækning på 75 % inden 2025 i 5G-præferencebåndene (7 000 nye 5G-lokaliteter og 3 500 områder opgraderet til 5G-konnektivitet) c) udbredelse af 5G i vigtige økonomiske aktiviteter (43 konnektivitetsprojekter) og d) støtte til 5G- og 6G-relateret F &amp; D til innovationsøkosystemer (200 projekter) og 5G-cybersikkerhedsøkosystemer.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244</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C15.I6</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Udbredelse af 5G-teknologi: Færdiggørelse af projektet</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Afslutning af tildelte projekter</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56"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Afslutning af projekterne til a) etablering af 5G på det primære nationale område (i visse områder) og grænseoverskridende transportkorridorer (4 000 lokaliteter) b) udrulning af 5G i visse områder med det formål at opnå en befolkningsdækning på 75 % inden 2025 i 5G-præferencebåndene (7 000 nye 5G-lokaliteter og 3 500 områder opgraderet til 5G-konnektivitet) c) udbredelse af 5G i vigtige økonomiske aktiviteter (43 konnektivitetsprojekter) og d) støtte til 5G- og 6G-relateret F &amp; D til innovationsøkosystemer (200 projekter) og 5G-cybersikkerhedsøkosystemer. Projekterne afsluttes i overensstemmelse med de kriterier, der er fastsat i tildelingen af programmet (Milepæl 243).</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245</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Lancering af det nationale støtteprogram for cybersikkerhedsindustrien, programmet for innovation inden for global sikkerhed og relaterede tiltag.</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programmerne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Lancering af det nationale støtteprogram for cybersikkerhedsindustrien og programmet for global sikkerhedsinnovation og andre relaterede foranstaltninger (med et samlet budget på 418 000 000 EUR), som handler om centrale industrielle aspekter såsom — styrkelse af den nationale cybersikkerhedsindustri med henblik på fremvækst, vækst og udvikling af virksomheder i denne sektor — udvikling af løsninger og tjenester med høj merværdi inden for cybersikkerhed — uddannelse og udvikling af talenter med speciale inden for cybersikkerhed — Internationaliseringsaktioner på cybersikkerhedsområdet — oprettelse af et demonstrationscenter for udvikling af cybersikkerhedsinfrastruktur og oprettelse af nye cyberangrebstjenester.</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Styrkelse og forbedring af cybersikkerhedskapaciteten: Ressourcer</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Styrke og forbedre cybersikkerhedskapaciteten ved at tilvejebringe mindst 100 ressourcer til bevidstgørelses- og kommunikationstiltag på cybersikkerhedsområdet. Digitale færdigheder inden for cybersikkerhed skal udvikles på alle uddannelsesniveauer ved hjælp af udvikling af specifikke ressourcer, værktøjer og materialer. Endvidere oprettes der et internationalt knudepunkt for cybersikkerhed, der deltager i det europæiske netværk af cybersikkerhedscentre.</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247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szCs w:val="18"/>
              </w:rPr>
              <w:t>Styrkelse og forbedring af cybersikkerhedskapaciteten: Hjælpelinje for cybersikkerhed</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5 000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20 000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szCs w:val="18"/>
              </w:rPr>
              <w:t>Styrkelse af cybersikkerhedskapaciteten ved at forbedre det nationale institut for cybersikkerhedshjælp (INCIBE) med en månedlig kapacitet på mindst 20 000 opkald behandlet pr. måned. Denne hjælpetjeneste skal også støtte fjernelsen af materiale om seksuelt misbrug af børn til webressourcer (CSAM).</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highlight w:val="yellow"/>
              </w:rPr>
            </w:pPr>
            <w:r>
              <w:rPr>
                <w:rFonts w:ascii="Times New Roman" w:hAnsi="Times New Roman"/>
                <w:noProof/>
                <w:color w:val="000000"/>
                <w:sz w:val="18"/>
                <w:szCs w:val="18"/>
              </w:rPr>
              <w:t>248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szCs w:val="18"/>
              </w:rPr>
              <w:t>Afslutning af projekterne i det nationale støtteprogram for cybersikkerhedsindustrien, det globale innovationsprogram for sikkerhed og tilknyttede aktioner.</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Meddelelse om afslutning af investeringsprojekter</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2026</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szCs w:val="18"/>
              </w:rPr>
              <w:t>Afslutning af projekterne i det nationale støtteprogram for cybersikkerhedsindustrien og det globale innovationsprogram for sikkerhed og andre relaterede foranstaltninger på følgende områder (tildelt i Milepæl 245): - styrkelse af den nationale cybersikkerhedsindustri med henblik på fremvækst, vækst og udvikling af virksomheder i denne sektor — udvikling af løsninger og tjenester med høj merværdi inden for cybersikkerhed — uddannelse og udvikling af talenter med speciale inden for cybersikkerhed — Internationaliseringsaktioner på cybersikkerhedsområdet — oprettelse af et demonstrationscenter for udvikling af cybersikkerhedsinfrastruktur og oprettelse af nye cyberangrebstjenester - herunder prøvningslaboratorier og cyberangrebssimulatorer — udvikling af cybersikkerhedscertificering</w:t>
            </w:r>
          </w:p>
        </w:tc>
      </w:tr>
    </w:tbl>
    <w:p>
      <w:pPr>
        <w:spacing w:before="120" w:after="120" w:line="240" w:lineRule="auto"/>
        <w:ind w:left="709"/>
        <w:jc w:val="both"/>
        <w:rPr>
          <w:rFonts w:ascii="Times New Roman" w:hAnsi="Times New Roman" w:cs="Times New Roman"/>
          <w:noProof/>
          <w:sz w:val="24"/>
          <w:szCs w:val="24"/>
        </w:rPr>
        <w:sectPr>
          <w:headerReference w:type="even" r:id="rId193"/>
          <w:headerReference w:type="default" r:id="rId194"/>
          <w:footerReference w:type="even" r:id="rId195"/>
          <w:footerReference w:type="default" r:id="rId196"/>
          <w:headerReference w:type="first" r:id="rId197"/>
          <w:footerReference w:type="first" r:id="rId198"/>
          <w:pgSz w:w="16839" w:h="11907" w:orient="landscape"/>
          <w:pgMar w:top="1417" w:right="1134" w:bottom="1417" w:left="1134" w:header="709" w:footer="709" w:gutter="0"/>
          <w:cols w:space="720"/>
          <w:docGrid w:linePitch="360"/>
        </w:sectPr>
      </w:pPr>
    </w:p>
    <w:p>
      <w:pPr>
        <w:pStyle w:val="Heading1"/>
        <w:rPr>
          <w:noProof/>
        </w:rPr>
      </w:pPr>
      <w:r>
        <w:rPr>
          <w:noProof/>
        </w:rPr>
        <w:t>P. KOMPONENT 16: Kunstig intelligens</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Kunstig intelligens (AI) har et betydeligt potentiale for omstilling fra et teknologisk, økonomisk og socialt synspunkt i betragtning af dens udbredelse på tværs af sektorer, stor indvirkning, hurtig vækst og bidrag til at forbedre produktiviteten og konkurrenceevnen. </w:t>
      </w:r>
    </w:p>
    <w:p>
      <w:pPr>
        <w:spacing w:before="120" w:after="120" w:line="240" w:lineRule="auto"/>
        <w:jc w:val="both"/>
        <w:rPr>
          <w:rFonts w:ascii="Times New Roman" w:hAnsi="Times New Roman" w:cs="Times New Roman"/>
          <w:noProof/>
          <w:sz w:val="24"/>
        </w:rPr>
      </w:pPr>
      <w:r>
        <w:rPr>
          <w:rFonts w:ascii="Times New Roman" w:hAnsi="Times New Roman"/>
          <w:noProof/>
          <w:sz w:val="24"/>
        </w:rPr>
        <w:t>De vigtigste udfordringer, som denne komponent i den spanske genopretnings- og resiliensplan tager fat på, vedrører: i) begrænset anvendelse af kunstig intelligens i virksomheder, navnlig i SMV'er, ii) oprettelse af bredt tilgængelige datalagre og iii) fremme af offentlige og private investeringer i innovation inden for kunstig intelligens. Komponenten er struktureret omkring den nationale strategi for kunstig intelligens (ENIA), som er en af de vigtigste planer i den spanske regerings digitale dagsorden (</w:t>
      </w:r>
      <w:r>
        <w:rPr>
          <w:rFonts w:ascii="Times New Roman" w:hAnsi="Times New Roman"/>
          <w:i/>
          <w:noProof/>
          <w:sz w:val="24"/>
        </w:rPr>
        <w:t>España Digital 2025</w:t>
      </w:r>
      <w:r>
        <w:rPr>
          <w:rFonts w:ascii="Times New Roman" w:hAnsi="Times New Roman"/>
          <w:noProof/>
          <w:sz w:val="24"/>
        </w:rPr>
        <w:t xml:space="preserve">). Denne komponent kan også bidrage til at tackle samfundsmæssige udfordringer, navnlig mindskelse af kønsskævheden (gennem foranstaltninger rettet mod kvinder), den digitale kløft, den økologiske omstilling samt territorial samhørighed.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Ud fra dette perspektiv er formålet med denne komponent at: </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at placere Spanien som et førende land med hensyn til videnskabelig ekspertise og innovation inden for kunstig intelligens på en tværfaglig måde</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føre an globalt i udviklingen af værktøjer, teknologier og applikationer til profilering og brug af det spanske sprog inden for kunstig intelligens</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fremme skabelsen af kvalificerede job, fremme uddannelse og erhvervsuddannelse, stimulere det spanske talent og tiltrække globale talenter</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inkorporere kunstig intelligens som en faktor i forbedringen af produktiviteten i den spanske private sektor, effektiviteten i den offentlige forvaltning og som drivkraft for bæredygtig og inklusiv økonomisk vækst;</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skabe et tillidsmiljø i forbindelse med kunstig intelligens, både med hensyn til teknologisk udvikling, regulering og sociale virkninger</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stimulere den globale debat om teknologisk humanisme ved at skabe og deltage i fora og outreachaktiviteter med henblik på udvikling af en etisk ramme, der sikrer borgernes individuelle og kollektive rettigheder</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styrkelse af kunstig intelligens som en tværgående vektor for at tackle de store udfordringer i samfundet og specifikt for at mindske den kønsbestemte kløft, den digitale kløft, støtte den økologiske omstilling og den territoriale struktur.</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komponent vedrører de landespecifikke henstillinger om fremme af investeringer i innovation (landespecifik henstilling nr. 3 fra 2019), forbedring af adgangen til digital læring (landespecifik henstilling nr. 2 fra 2020) og fremme af offentlige og private investeringer og fremme af den digitale omstilling (landespecifik henstilling nr. 3 fra 2020).</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r>
        <w:rPr>
          <w:rFonts w:ascii="Times New Roman" w:hAnsi="Times New Roman"/>
          <w:noProof/>
          <w:sz w:val="24"/>
        </w:rPr>
        <w:t xml:space="preserve"> </w:t>
      </w:r>
    </w:p>
    <w:p>
      <w:pPr>
        <w:keepNext/>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P.1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1 (C16.R1) — National strategi for kunstig intelligens</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Formålet med denne omfattende foranstaltning er at fastlægge rammerne for gennemførelsen af en troværdig, gennemsigtig og inklusiv national AI-strategi, der sikrer overholdelse af grundlæggende principper og værdier og tager hensyn til borgernes kollektive ambitioner. Med henblik herpå omfatter foranstaltningen tre lovgivningsmæssige reformer med henblik på at fastlægge de lovgivningsmæssige og etiske rammer for kunstig intelligens og ni projekter til støtte for udvikling og indførelse af teknologier baseret på kunstig intelligens i den spanske økonomi og det spanske samfund, såsom projekter inden for færdigheder, talenter og infrastrukturer. </w:t>
      </w:r>
    </w:p>
    <w:p>
      <w:pPr>
        <w:spacing w:before="120" w:after="120" w:line="240" w:lineRule="auto"/>
        <w:jc w:val="both"/>
        <w:rPr>
          <w:rFonts w:ascii="Times New Roman" w:hAnsi="Times New Roman" w:cs="Times New Roman"/>
          <w:noProof/>
          <w:sz w:val="24"/>
        </w:rPr>
      </w:pPr>
      <w:r>
        <w:rPr>
          <w:rFonts w:ascii="Times New Roman" w:hAnsi="Times New Roman"/>
          <w:noProof/>
          <w:sz w:val="24"/>
        </w:rPr>
        <w:t>Disse foranstaltninger er inddelt i fem politiske løftestænger:</w:t>
      </w:r>
    </w:p>
    <w:p>
      <w:pPr>
        <w:numPr>
          <w:ilvl w:val="0"/>
          <w:numId w:val="79"/>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 xml:space="preserve">Lovgivningsmæssige og etiske rammer (retsakter): </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den nationale strategi for kunstig intelligens (ENIA): en national handlingsplan og reformer for indførelse og udvidelse af AI-baserede teknologier i den spanske økonomi og det spanske samfund gennem oprettelsen af Det Rådgivende Råd for Kunstig Intelligens</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forskriftsmæssige sandkasser: udvikling af de nødvendige retsakter for at muliggøre reguleringsmæssige sandkasser til anvendelse af kunstig intelligens. Der skal anvendes sikre miljøer eller sandkasser til indførelse af nye databaserede processer og tjenester, både i den offentlige og private sfære. Sikre miljøer og sandkasser kan udnyttes af offentlige myndigheder, brugere af kunstig intelligens og af ophavsmændene til datalagre, eventuelt som led i et netværk af digitale innovationsknudepunkter til at indføre og regulere nye produkter og applikationer;</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AI-observatorium og tillidscertificering: herunder udvikling af i) en beskyttelsesplan for sårbare grupper inden for kunstig intelligens, herunder arbejdstagerrettigheder og sociale rettigheder og kvinders behov, ii) en plan for at øge bevidstheden om og tilliden til kunstig intelligens, iii) observatorier for de etiske og reguleringsmæssige konsekvenser af algoritmer, der inkorporerer AI, iv) pålidelig AI-certificering og -sælarkitektur for AI-produkter og -tjenester samt v) udarbejdelse og fremme af chartret om digitale rettigheder.</w:t>
      </w:r>
    </w:p>
    <w:p>
      <w:pPr>
        <w:numPr>
          <w:ilvl w:val="0"/>
          <w:numId w:val="81"/>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 xml:space="preserve">Fremme af F &amp; D &amp; I inden for kunstig intelligens (projekter): </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R &amp; D &amp; I-tjenesterejser: finansiering af industrielle forsknings- eller eksperimentelle udviklingsprojekter inden for kunstig intelligens med henblik på at tackle de store samfundsmæssige udfordringer eller landemissioner, der henvises til i ENIA (dvs. kønsskævhed, økologisk omstilling, territorial struktur og digital kløft) i sektorer med stor relevans og stor kapacitet til at skabe forstyrrelser og virkninger (dvs. energi, mobilitet, biomedicin, klima, landbrugsfødevarer, sundhed, turisme og hotel- og restaurationsbranchen)</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tværfagligt institut for kunstig intelligens: oprettelse af et tværfagligt forskningscenter, der integrerer kunstig intelligens sammen med andre videnskaber, med særligt fokus på neuroteknologi</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ekspertisenet inden for kunstig intelligens: oprettelse af et spansk ekspertisenetværk inden for kunstig intelligens med tværfaglige uddannelses- og specialiseringsprogrammer og mekanismer til rekruttering og fastholdelse af talent, der fungerer på en integreret måde for at koordinere forskningen på nationalt plan.</w:t>
      </w:r>
    </w:p>
    <w:p>
      <w:pPr>
        <w:numPr>
          <w:ilvl w:val="0"/>
          <w:numId w:val="82"/>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 xml:space="preserve">Tiltrækning af talent (projekter): </w:t>
      </w:r>
    </w:p>
    <w:p>
      <w:pPr>
        <w:numPr>
          <w:ilvl w:val="0"/>
          <w:numId w:val="80"/>
        </w:numPr>
        <w:spacing w:before="120" w:after="120" w:line="240" w:lineRule="auto"/>
        <w:ind w:left="851" w:hanging="426"/>
        <w:contextualSpacing/>
        <w:jc w:val="both"/>
        <w:rPr>
          <w:rFonts w:ascii="Times New Roman" w:hAnsi="Times New Roman" w:cs="Times New Roman"/>
          <w:noProof/>
          <w:sz w:val="24"/>
          <w:szCs w:val="24"/>
        </w:rPr>
      </w:pPr>
      <w:r>
        <w:rPr>
          <w:rFonts w:ascii="Times New Roman" w:hAnsi="Times New Roman"/>
          <w:noProof/>
          <w:sz w:val="24"/>
          <w:szCs w:val="24"/>
        </w:rPr>
        <w:t>Spanien Talent Hub: oprettelse af et informationsknudepunkt for at tiltrække og fastholde talenter inden for kunstig intelligens, det spanske talentknudepunkt, som forventes at fungere som knudepunkt for rekruttering og forbedring af talenter og udenlandske investeringer med særlig vægt på kvinders behov og investeringer med social indvirkning</w:t>
      </w:r>
    </w:p>
    <w:p>
      <w:pPr>
        <w:numPr>
          <w:ilvl w:val="0"/>
          <w:numId w:val="80"/>
        </w:numPr>
        <w:spacing w:before="120" w:after="120" w:line="240" w:lineRule="auto"/>
        <w:ind w:left="851" w:hanging="426"/>
        <w:contextualSpacing/>
        <w:jc w:val="both"/>
        <w:rPr>
          <w:rFonts w:ascii="Times New Roman" w:hAnsi="Times New Roman" w:cs="Times New Roman"/>
          <w:noProof/>
          <w:sz w:val="24"/>
          <w:szCs w:val="24"/>
        </w:rPr>
      </w:pPr>
      <w:r>
        <w:rPr>
          <w:rFonts w:ascii="Times New Roman" w:hAnsi="Times New Roman"/>
          <w:noProof/>
          <w:sz w:val="24"/>
          <w:szCs w:val="24"/>
        </w:rPr>
        <w:t>Akademiske professorater: finansiering af oprettelsen af 10-15 midlertidige akademiske professorater mellem den 1. januar 2021 og den 31. december 2023 med fokus på centrale temaer såsom kunstig intelligens "indvirkning på demokratiet, nye tendenser inden for kunstig intelligens, vurderinger af AI-systemer, hybridisering af hjernen og biomedicinsk kunstig intelligens.</w:t>
      </w:r>
    </w:p>
    <w:p>
      <w:pPr>
        <w:numPr>
          <w:ilvl w:val="0"/>
          <w:numId w:val="82"/>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 xml:space="preserve">Data- og teknologiinfrastruktur (projekter): </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Natursprogteknologiplan: målet er at udvikle natursprogsbehandlingsindustrien samt maskinoversættelses- og samtalesystemer i Spanien, navnlig på spanske og andre officielle sprog.</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styrkelse af den strategiske kapacitet inden for supercomputere: udvikling af et program, der skal lette SMV'ers adgang til og brug af supercomputercentre i forskellige regioner (f.eks. Extremadura, Galicien og Aragonien) samt indførelse af kvantedatabehandling i projekter inden for forskellige temaer, herunder mobilitet og klimaændringer.</w:t>
      </w:r>
    </w:p>
    <w:p>
      <w:pPr>
        <w:numPr>
          <w:ilvl w:val="0"/>
          <w:numId w:val="84"/>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szCs w:val="24"/>
        </w:rPr>
        <w:t>Integration af kunstig intelligens i værdikæder (projekter):</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indkaldelse af tilskud til integration af kunstig intelligens i værdikæder: støtteprogram til finansiering af eksperimentelle udviklingsprojekter, hvis teknologiske modenhed svarer til niveau 6, 7 og 8. Finansieringen af projekter på disse teknologiske modenhedsniveauer udgør en stærk støtte til produkter, der kan være tæt på at blive indført på markedet og dermed overføres til værdikæden;</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szCs w:val="24"/>
        </w:rPr>
        <w:t>Det nationale program for grønne algoritmer: et støtteprogram for udvikling af grønne algoritmer for at maksimere energieffektiviteten og reducere AI-modellernes miljøpåvirkning og samtidig støtte anvendelsen af denne teknologi til at imødegå forskellige miljøudfordringer.</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Reformerne og investeringerne gennemføres gennem i) indkaldelser af ansøgninger om tilskud til F &amp; D &amp; I-missioner og integration af kunstig intelligens i værdikæder, ii) konventioner vedrørende data- og teknologiinfrastrukturer iii) indkøb, for så vidt angår de lovgivningsmæssige og etiske rammer, det nationale program for grønne algoritmer og natursprogplanen og iv) konsortier for det tværfaglige institut for kunstig intelligens.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skal være gennemført senest den 31. marts 2026. </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P.2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 medmindre andet er angivet i beskrivelsen af foranstaltningen. Beløbene i tabellen omfatter ikke moms.</w:t>
      </w:r>
    </w:p>
    <w:p>
      <w:pPr>
        <w:spacing w:before="120" w:after="120" w:line="240" w:lineRule="auto"/>
        <w:jc w:val="both"/>
        <w:rPr>
          <w:rFonts w:ascii="Times New Roman" w:hAnsi="Times New Roman" w:cs="Times New Roman"/>
          <w:b/>
          <w:noProof/>
          <w:sz w:val="24"/>
          <w:u w:val="single"/>
        </w:rPr>
      </w:pPr>
    </w:p>
    <w:p>
      <w:pPr>
        <w:spacing w:before="120" w:after="120" w:line="240" w:lineRule="auto"/>
        <w:ind w:left="709"/>
        <w:jc w:val="both"/>
        <w:rPr>
          <w:rFonts w:ascii="Times New Roman" w:hAnsi="Times New Roman" w:cs="Times New Roman"/>
          <w:noProof/>
          <w:sz w:val="24"/>
        </w:rPr>
        <w:sectPr>
          <w:headerReference w:type="even" r:id="rId199"/>
          <w:headerReference w:type="default" r:id="rId200"/>
          <w:footerReference w:type="even" r:id="rId201"/>
          <w:footerReference w:type="default" r:id="rId202"/>
          <w:headerReference w:type="first" r:id="rId203"/>
          <w:footerReference w:type="first" r:id="rId204"/>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694"/>
        <w:gridCol w:w="1275"/>
        <w:gridCol w:w="851"/>
        <w:gridCol w:w="567"/>
        <w:gridCol w:w="567"/>
        <w:gridCol w:w="567"/>
        <w:gridCol w:w="567"/>
        <w:gridCol w:w="5812"/>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69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275"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198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1134"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5812"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694"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581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249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National strategi for kunstig intelligens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EUT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den nationale strategi for kunstig intelligens. Strategien har til formål at:  1. Positionering af Spanien som et land, der har forpligtet sig til at fremme videnskabelig ekspertise og innovation inden for kunstig intelligens. 2. Profilering af det spanske sprog i kunstig intelligens.  3. Skabelse af kvalificeret beskæftigelse, stimulering og tiltrækning af talenter med særlig fokus på kvinder. 4. Inkorporering af kunstig intelligens i produktionssystemet for at forbedre produktiviteten i det spanske erhvervsliv. 5. Skabelse af et betroet miljø i forbindelse med kunstig intelligens. 6. Udvikling af en etisk ramme, der sikrer borgernes individuelle og kollektive rettigheder inden for kunstig intelligens. 7. Styrkelse af inklusiv og bæredygtig kunstig intelligens navnlig for at slå bro over den kønsbestemte kløft og den digitale kløft og støtte den økologiske omstilling og den territoriale samhørighed.</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Chartret om digitale rettigheder</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EUT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Vedtagelse i den spanske regering og offentliggørelse på den officielle webside om chartret om digitale rettigheder. Chartret er ikke af normativ karakter, men har til formål at anerkende de nye udfordringer med hensyn til anvendelse og fortolkning, som tilpasningen af rettigheder til det digitale miljø indebærer, og at foreslå principper og politikker i den forbindelse. Sideløbende hermed skal den også foreslå en referenceramme for de offentlige myndigheders indsats ved at udnytte og udvikle alle potentialer og muligheder i det nuværende digitale miljø, samtidig med at risiciene afværges.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Støtte til projekter om kunstig intelligens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og finansiering af programtilskuddene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500 000 000 EUR afsat til tilskud til projekter om kunstig intelligens F &amp; D-projekter, Spanien AI Talent Hub, AI-forskningsstipendier, tværfagligt institut for kunstig intelligens, observatorier, kvantedatabehandling og det nationale program for grønne algoritmer. Tilskud tildeles gennem konkurrencebaserede udbud.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Adresserede landemissioner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7 projekter, der finansieres med henblik på specifikke landemissioner med innovative AI-drevne løsninger til at løse konstaterede problemer i forbindelse med disse missioner: sundhed, industri, miljø, samfund, energi, landbrug og økonomi, projekter gennemføres med finansiering af samarbejdsprojekter på ca. 10 000 000-15 000 000 EUR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253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C16.R1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69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Afslutning af projekter om kunstig intelligens </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Meddelelse om afslutning af investeringsprojekter</w:t>
            </w:r>
          </w:p>
        </w:tc>
        <w:tc>
          <w:tcPr>
            <w:tcW w:w="851" w:type="dxa"/>
            <w:shd w:val="clear" w:color="auto" w:fill="C6EFCE"/>
            <w:noWrap/>
          </w:tcPr>
          <w:p>
            <w:pPr>
              <w:spacing w:after="0" w:line="240" w:lineRule="auto"/>
              <w:jc w:val="center"/>
              <w:rPr>
                <w:rFonts w:ascii="Times New Roman" w:hAnsi="Times New Roman" w:cs="Times New Roman"/>
                <w:strike/>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strike/>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right"/>
              <w:rPr>
                <w:rFonts w:ascii="Times New Roman" w:hAnsi="Times New Roman" w:cs="Times New Roman"/>
                <w:strike/>
                <w:noProof/>
                <w:color w:val="000000"/>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2026</w:t>
            </w:r>
          </w:p>
        </w:tc>
        <w:tc>
          <w:tcPr>
            <w:tcW w:w="5812"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projekter om kunstig intelligens F &amp; D, Spanien AI Talent Hub, AI-forskningsstipendier, tværfagligt institut for konsekvensanalyse, observatorier, kvantedatabehandling og det nationale program for grønne algoritmer i overensstemmelse med de kriterier, der er fastsat i udbuddene (Milepæl #251)</w:t>
            </w:r>
          </w:p>
        </w:tc>
      </w:tr>
    </w:tbl>
    <w:p>
      <w:pPr>
        <w:spacing w:before="120" w:after="120" w:line="240" w:lineRule="auto"/>
        <w:ind w:left="709"/>
        <w:jc w:val="both"/>
        <w:rPr>
          <w:rFonts w:ascii="Times New Roman" w:hAnsi="Times New Roman" w:cs="Times New Roman"/>
          <w:noProof/>
          <w:sz w:val="24"/>
          <w:szCs w:val="24"/>
        </w:rPr>
        <w:sectPr>
          <w:headerReference w:type="even" r:id="rId205"/>
          <w:headerReference w:type="default" r:id="rId206"/>
          <w:footerReference w:type="even" r:id="rId207"/>
          <w:footerReference w:type="default" r:id="rId208"/>
          <w:headerReference w:type="first" r:id="rId209"/>
          <w:footerReference w:type="first" r:id="rId210"/>
          <w:pgSz w:w="16839" w:h="11907" w:orient="landscape"/>
          <w:pgMar w:top="1417" w:right="1134" w:bottom="1417" w:left="1134" w:header="709" w:footer="709" w:gutter="0"/>
          <w:cols w:space="720"/>
          <w:docGrid w:linePitch="360"/>
        </w:sectPr>
      </w:pPr>
    </w:p>
    <w:p>
      <w:pPr>
        <w:pStyle w:val="Heading1"/>
        <w:rPr>
          <w:noProof/>
        </w:rPr>
      </w:pPr>
      <w:r>
        <w:rPr>
          <w:noProof/>
        </w:rPr>
        <w:t xml:space="preserve">Q. KOMPONENT 17: Videnskab, teknologi og innovation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szCs w:val="24"/>
        </w:rPr>
        <w:t>Spaniens strategi for videnskab, teknologi og innovation 2021-2027</w:t>
      </w:r>
      <w:r>
        <w:rPr>
          <w:rFonts w:ascii="Times New Roman" w:hAnsi="Times New Roman"/>
          <w:noProof/>
          <w:color w:val="000000" w:themeColor="text1"/>
          <w:sz w:val="24"/>
          <w:szCs w:val="24"/>
        </w:rPr>
        <w:t xml:space="preserve"> forventer en betydelig vækst i investeringerne i forskning, udvikling og innovation ("FUI") i Spanien og nåede op på 2,12 % af BNP i 2027. </w:t>
      </w:r>
      <w:r>
        <w:rPr>
          <w:rFonts w:ascii="Times New Roman" w:hAnsi="Times New Roman"/>
          <w:noProof/>
          <w:sz w:val="24"/>
          <w:szCs w:val="24"/>
        </w:rPr>
        <w:t>I denne forbindelse er hovedformålet med denne komponent i den spanske genopretnings- og resiliensplan at forbedre det spanske system for videnskab, teknologi og innovation ved at reformere dets forvaltning, forbedre koordineringen mellem aktørerne, øge dets effektivitet og fremskynde investeringer i F &amp; D &amp; I ved hjælp af følgende elementer:</w:t>
      </w:r>
      <w:r>
        <w:rPr>
          <w:rFonts w:ascii="Times New Roman" w:hAnsi="Times New Roman"/>
          <w:noProof/>
          <w:color w:val="000000" w:themeColor="text1"/>
          <w:sz w:val="24"/>
          <w:szCs w:val="24"/>
        </w:rPr>
        <w:t xml:space="preserve">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Udvikling af et klart og forudsigeligt regelsæt, der styrker styringen af sektoren, øger effektiviteten af offentlige F &amp; D &amp; I-politikker, forbedrer videnoverførsel og fremmer investeringer i F &amp; D &amp; I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investeringer i infrastruktur, udstyr og menneskelig kapital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investering i vidensoverførsel, regionale F &amp; D &amp; I, nationale F &amp; D &amp; I-projekter og offentlig-private partnerskaber og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investering i F &amp; D &amp; I inden for de strategiske sektorer sundhed, miljø, klimaændringer og energi, bæredygtig bilindustri og rumfart.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Denne komponent vedrører de landespecifikke henstillinger om fremme af investeringer i innovation og energieffektivitet og om forbedring af effektiviteten af politikker til støtte for forskning og innovation (landespecifik henstilling nr. 3 fra 2019), fremme af offentlige og private investeringer og forskning og innovation (landespecifik henstilling nr. 3 fra 2020) og om bedre koordinering på alle forvaltningsniveauer (landespecifik henstilling nr. 4 fra 2020).</w:t>
      </w:r>
    </w:p>
    <w:p>
      <w:pPr>
        <w:spacing w:before="120" w:after="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szCs w:val="24"/>
        </w:rPr>
        <w:t xml:space="preserve">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 </w:t>
      </w:r>
    </w:p>
    <w:p>
      <w:pPr>
        <w:spacing w:before="120" w:after="120" w:line="240" w:lineRule="auto"/>
        <w:ind w:left="709"/>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Q.1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Reform 1 (C17.R1): </w:t>
      </w:r>
      <w:r>
        <w:rPr>
          <w:rFonts w:ascii="Times New Roman" w:hAnsi="Times New Roman"/>
          <w:noProof/>
          <w:sz w:val="24"/>
          <w:u w:val="single"/>
        </w:rPr>
        <w:t>Reform af loven om videnskab, teknologi og innovation</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Formålet med denne foranstaltning er at styrke de lovgivningsmæssige rammer for videnskabs-, teknologi- og innovationssektoren med henblik på at forbedre forvaltningen og koordineringen af sektoren, skabe en attraktiv videnskabelig karriere og forbedre videnoverførsel fra forskning til anvendte produkter/tjenester for samfundet. </w:t>
      </w:r>
      <w:r>
        <w:rPr>
          <w:rFonts w:ascii="Times New Roman" w:hAnsi="Times New Roman"/>
          <w:noProof/>
          <w:sz w:val="24"/>
        </w:rPr>
        <w:t>Spanien skal navnlig ajourføre lov nr. 14/2011 om videnskab, teknologi og innovation, forbedre koordineringen af videnskabs-, forsknings- og innovationspolitikker, forbedre forvaltningen og koordineringen af det spanske videnskabelige teknologi- og innovationssystem, indføre en ny videnskabelig karriere og fremme videnoverførsel.</w:t>
      </w:r>
      <w:r>
        <w:rPr>
          <w:rFonts w:ascii="Times New Roman" w:hAnsi="Times New Roman"/>
          <w:noProof/>
          <w:color w:val="000000"/>
          <w:sz w:val="24"/>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Denne foranstaltning er knyttet til de investeringer, der er omfattet af C17.I1, C17.I4 og C17.I5, som beskrevet nedenfor.</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30. juni 2022.</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Reform 2 (C17.R2): </w:t>
      </w:r>
      <w:bookmarkStart w:id="2" w:name="_Hlk60056026"/>
      <w:r>
        <w:rPr>
          <w:rFonts w:ascii="Times New Roman" w:hAnsi="Times New Roman"/>
          <w:noProof/>
          <w:sz w:val="24"/>
          <w:u w:val="single"/>
        </w:rPr>
        <w:t xml:space="preserve">Spansk strategi for videnskab, teknologi og innovation 2021-2027 </w:t>
      </w:r>
      <w:bookmarkEnd w:id="2"/>
      <w:r>
        <w:rPr>
          <w:noProof/>
        </w:rPr>
        <w:t xml:space="preserve">og </w:t>
      </w:r>
      <w:r>
        <w:rPr>
          <w:rFonts w:ascii="Times New Roman" w:hAnsi="Times New Roman"/>
          <w:noProof/>
          <w:sz w:val="24"/>
          <w:u w:val="single"/>
        </w:rPr>
        <w:t>avanceret udvikling af informationssystemet for videnskab, teknologi og innovation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Foranstaltningen omfatter den spanske regerings vedtagelse af den spanske strategi for videnskab, teknologi og innovation 2021-2027. Strategien fastsætter de overordnede mål for sektoren i perioden 2021-2027. Med det formål at fremme videnoverførsel har strategien lagt tidligere adskilte strategier for videnskab og teknologi sammen med strategien for innovation. Strategien udgør en paraplyramme for både nationale og regionale F &amp; D &amp; I-planer. Med henblik herpå har Spanien vedtaget en strategi for "Spaniens strategi for intelligent specialisering" under Den Europæiske Fond for Regionaludvikling (EFRU), der udgør strukturen for de kommende regionale strategier for intelligent specialisering.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 xml:space="preserve">Rådet for Videnskab, Teknologi og Innovationspolitik, der ledes af ministeriet for videnskab og innovation, har med repræsentanter for centrale ministerier og regioner udviklet strategien. Strategien er blevet hørt med de vigtigste interessenter, herunder den private sektor, offentlige forskningsorganisationer og civilsamfundet. </w:t>
      </w:r>
      <w:r>
        <w:rPr>
          <w:rFonts w:ascii="Times New Roman" w:hAnsi="Times New Roman"/>
          <w:noProof/>
          <w:color w:val="000000" w:themeColor="text1"/>
          <w:sz w:val="24"/>
        </w:rPr>
        <w:t xml:space="preserve">For at overvåge og evaluere strategien blev der nedsat et udvalg med repræsentanter fra staten, regionerne, de økonomiske og sociale aktører, det videnskabelige og innovative samfund og civilsamfundet.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 xml:space="preserve">Strategien skal omfatte årlige overvågningsrapporter, en midtvejsevaluering (senest i december 2023) og en endelig evaluering af strategien. Evalueringerne vil også omhandle de fremskridt, der er gjort med hensyn til at opfylde de landespecifikke henstillinger til Spanien inden for forskning og udvikling. </w:t>
      </w:r>
      <w:r>
        <w:rPr>
          <w:rFonts w:ascii="Times New Roman" w:hAnsi="Times New Roman"/>
          <w:noProof/>
          <w:color w:val="000000" w:themeColor="text1"/>
          <w:sz w:val="24"/>
        </w:rPr>
        <w:t>Desuden har denne foranstaltning specifikt til formål at styrke informationssystemet for videnskab, teknologi og innovation for at forbedre indsamlingen og analysen af data til overvågning af den spanske strategi for videnskab, teknologi og innovation.</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31. december 2023.</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Reform 3 (C17.R3): Reorganisering af offentlige </w:t>
      </w:r>
      <w:bookmarkStart w:id="3" w:name="_Hlk60056040"/>
      <w:r>
        <w:rPr>
          <w:rFonts w:ascii="Times New Roman" w:hAnsi="Times New Roman"/>
          <w:noProof/>
          <w:color w:val="000000" w:themeColor="text1"/>
          <w:sz w:val="24"/>
          <w:u w:val="single"/>
        </w:rPr>
        <w:t>forskningsorganisationer</w:t>
      </w:r>
      <w:bookmarkEnd w:id="3"/>
      <w:r>
        <w:rPr>
          <w:rFonts w:ascii="Times New Roman" w:hAnsi="Times New Roman"/>
          <w:noProof/>
          <w:color w:val="000000" w:themeColor="text1"/>
          <w:sz w:val="24"/>
          <w:u w:val="single"/>
        </w:rPr>
        <w:t xml:space="preserve"> og rationalisering af deres struktur og drift</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Formålet med denne foranstaltning er at øge effektiviteten i de offentlige forskningsinstitutioner (PRO) efter en analyse af udfordringerne ved at omorganisere de offentlige forskningsprogrammer, herunder deres forvaltningsstruktur. I begyndelsen af 2021 gennemførte et ekspertudvalg en analyse af Pros og konkluderede, at større, uafhængige og fleksible forskningsorganer havde bedre strukturer til at konkurrere.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På baggrund af denne analyse skal Spanien integrere tre Pros i det spanske nationale forskningsråd (</w:t>
      </w:r>
      <w:r>
        <w:rPr>
          <w:rFonts w:ascii="Times New Roman" w:hAnsi="Times New Roman"/>
          <w:i/>
          <w:noProof/>
          <w:color w:val="000000" w:themeColor="text1"/>
          <w:sz w:val="24"/>
        </w:rPr>
        <w:t>Centro Superior de Investigaciones Científicas</w:t>
      </w:r>
      <w:r>
        <w:rPr>
          <w:rFonts w:ascii="Times New Roman" w:hAnsi="Times New Roman"/>
          <w:noProof/>
          <w:color w:val="000000" w:themeColor="text1"/>
          <w:sz w:val="24"/>
        </w:rPr>
        <w:t xml:space="preserve">, CSIC): </w:t>
      </w:r>
      <w:r>
        <w:rPr>
          <w:rFonts w:ascii="Times New Roman" w:hAnsi="Times New Roman"/>
          <w:noProof/>
        </w:rPr>
        <w:t>Det nationale institut for landbrugs- og fødevareforskning (</w:t>
      </w:r>
      <w:r>
        <w:rPr>
          <w:rFonts w:ascii="Times New Roman" w:hAnsi="Times New Roman"/>
          <w:i/>
          <w:noProof/>
        </w:rPr>
        <w:t>Instituto Nacional de Investigación y Tecnología Agraria</w:t>
      </w:r>
      <w:r>
        <w:rPr>
          <w:rFonts w:ascii="Times New Roman" w:hAnsi="Times New Roman"/>
          <w:noProof/>
        </w:rPr>
        <w:t>, INIA), det spanske institut for oceanografi (</w:t>
      </w:r>
      <w:r>
        <w:rPr>
          <w:rFonts w:ascii="Times New Roman" w:hAnsi="Times New Roman"/>
          <w:i/>
          <w:noProof/>
        </w:rPr>
        <w:t>Instituto Español de Oceanografía</w:t>
      </w:r>
      <w:r>
        <w:rPr>
          <w:rFonts w:ascii="Times New Roman" w:hAnsi="Times New Roman"/>
          <w:noProof/>
        </w:rPr>
        <w:t>, IEO) og det spanske institut for geologiske undersøgelser og minedrift (</w:t>
      </w:r>
      <w:r>
        <w:rPr>
          <w:rFonts w:ascii="Times New Roman" w:hAnsi="Times New Roman"/>
          <w:i/>
          <w:noProof/>
        </w:rPr>
        <w:t>Instituto Geológico Minero de España</w:t>
      </w:r>
      <w:r>
        <w:rPr>
          <w:rFonts w:ascii="Times New Roman" w:hAnsi="Times New Roman"/>
          <w:noProof/>
        </w:rPr>
        <w:t>, IGME).</w:t>
      </w:r>
      <w:r>
        <w:rPr>
          <w:rFonts w:ascii="Times New Roman" w:hAnsi="Times New Roman"/>
          <w:noProof/>
          <w:color w:val="000000" w:themeColor="text1"/>
          <w:sz w:val="24"/>
        </w:rPr>
        <w:t xml:space="preserve"> Denne omstrukturering skal styrke Spaniens kapacitetskapacitetspolitik for eksperter, landbrugsfødevarer og økologisk omstilling. De tre forvaltningsorganisationer skal have en retlig ordning for et statsligt agentur, som giver større fleksibilitet og en resultatbaseret ramme, der er fastlagt i en flerårig forvaltningskontrakt. Spanien indfører endvidere resultatbaseret budgettering. Reformen skal styrke styringen, evalueringen af resultaterne og kontrollen med de deraf følgende enheder. </w:t>
      </w:r>
    </w:p>
    <w:p>
      <w:pPr>
        <w:pStyle w:val="Text1"/>
        <w:ind w:left="0"/>
        <w:rPr>
          <w:noProof/>
          <w:color w:val="000000" w:themeColor="text1"/>
        </w:rPr>
      </w:pPr>
      <w:r>
        <w:rPr>
          <w:noProof/>
          <w:color w:val="000000" w:themeColor="text1"/>
        </w:rPr>
        <w:t xml:space="preserve">Gennemførelsen af reformerne skal være afsluttet senest den 31. december 2022.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1 (C17.I1): Supplerende forsknings- og udviklingsplaner med selvstyrende regioner</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Formålet med denne foranstaltning er at fremme koordineringen mellem statsniveau og regioner inden for FUI gennem udarbejdelse af supplerende FUI-planer, der skal medfinansieres af genopretnings- og resiliensfaciliteten og regionerne. Dette nye instrument skal også fremme samarbejdet mellem regionerne, da de fastlægger fælles prioriteter i deres respektive regionale strategier for intelligent specialisering (RIS3). </w:t>
      </w:r>
    </w:p>
    <w:p>
      <w:pPr>
        <w:spacing w:before="120" w:after="120" w:line="240" w:lineRule="auto"/>
        <w:jc w:val="both"/>
        <w:rPr>
          <w:rFonts w:ascii="Times New Roman" w:hAnsi="Times New Roman" w:cs="Times New Roman"/>
          <w:noProof/>
          <w:sz w:val="24"/>
        </w:rPr>
      </w:pPr>
      <w:r>
        <w:rPr>
          <w:rFonts w:ascii="Times New Roman" w:hAnsi="Times New Roman"/>
          <w:noProof/>
          <w:sz w:val="24"/>
        </w:rPr>
        <w:t>I overensstemmelse med den spanske strategi for videnskab, teknologi og innovation 2021-2027 skal de supplerende planer forbedre vidensdannelsen og den teknologiske innovation, koordineringen af de forskellige forvaltningsniveauer og sætte skub i den territoriale økonomiske omstilling på følgende strategiske områder: kvantekommunikation, energi og grøn brint, landbrugsfødevarer, biodiversitet, astrofysik og højenergifysik, havvidenskab, materialevidenskab og bioteknologi anvendt på sundhed. For at skabe territoriale synergier omfatter de supplerende planer flere regioners deltagelse i et program med mulighed for at deltage i flere programmer. Det er således muligt at medtage og udnytte specifikke regionale kapaciteter i flere planer. Planerne skal strække sig over to eller tre år og kræve samfinansieringsforpligtelser fra regionerne.</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 xml:space="preserve">Aktionerne under denne investering omfatter undertegnelse af otte finansieringsaftaler mellem ministeriet for videnskab og innovation og regionerne. </w:t>
      </w:r>
    </w:p>
    <w:p>
      <w:pPr>
        <w:pStyle w:val="Text1"/>
        <w:ind w:left="0"/>
        <w:rPr>
          <w:noProof/>
          <w:szCs w:val="24"/>
        </w:rPr>
      </w:pPr>
      <w:r>
        <w:rPr>
          <w:noProof/>
        </w:rPr>
        <w:t>Gennemførelsen af investeringen skal være afsluttet senest den 31. december 2025.</w:t>
      </w:r>
      <w:r>
        <w:rPr>
          <w:noProof/>
          <w:color w:val="000000"/>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Investering 2 (C17.I2): </w:t>
      </w:r>
      <w:r>
        <w:rPr>
          <w:rFonts w:ascii="Times New Roman" w:hAnsi="Times New Roman"/>
          <w:noProof/>
          <w:sz w:val="24"/>
          <w:u w:val="single"/>
        </w:rPr>
        <w:t>Styrkelse af kapaciteten, infrastrukturen og udstyret i det statslige system for videnskab, teknologi og innovation</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Denne investering skal fokusere på tilvejebringelse, forbedring og opdatering af det tekniske videnskabelige udstyr og infrastruktur i F &amp; D &amp; I-systemet for at lette forskning i topkvalitet og forbedre systemets konkurrenceevne.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Denne investering skal støtte infrastruktur og udstyr i videnskabs-, teknologi- og innovationssektoren gennem indkaldelser af forslag. Investeringen skal også finansiere restaurering, opdatering eller ny strategisk national infrastruktur såsom: </w:t>
      </w:r>
      <w:r>
        <w:rPr>
          <w:rFonts w:ascii="Times New Roman" w:hAnsi="Times New Roman"/>
          <w:noProof/>
          <w:sz w:val="24"/>
        </w:rPr>
        <w:t xml:space="preserve">en infrastruktur på biosikkerhedsniveau 3 for at imødegå de nye udfordringer i forbindelse med overførbare patogener, opførelse af et nyt fytogenplante, oprettelse af et nyt center for avanceret optik og opgradering af infrastrukturen i </w:t>
      </w:r>
      <w:r>
        <w:rPr>
          <w:rFonts w:ascii="Times New Roman" w:hAnsi="Times New Roman"/>
          <w:i/>
          <w:noProof/>
          <w:sz w:val="24"/>
        </w:rPr>
        <w:t>Centro de Investigaciones Energéticas, Medioambientales y Tecnológicas</w:t>
      </w:r>
      <w:r>
        <w:rPr>
          <w:rFonts w:ascii="Times New Roman" w:hAnsi="Times New Roman"/>
          <w:noProof/>
          <w:sz w:val="24"/>
        </w:rPr>
        <w:t xml:space="preserve"> (CIEMAT) med den nødvendige infrastruktur til at udføre forskning i vedvarende energi .</w:t>
      </w:r>
      <w:r>
        <w:rPr>
          <w:rFonts w:ascii="Times New Roman" w:hAnsi="Times New Roman"/>
          <w:noProof/>
          <w:color w:val="000000" w:themeColor="text1"/>
          <w:sz w:val="24"/>
        </w:rPr>
        <w:t xml:space="preserve"> </w:t>
      </w:r>
      <w:r>
        <w:rPr>
          <w:rFonts w:ascii="Times New Roman" w:hAnsi="Times New Roman"/>
          <w:noProof/>
          <w:sz w:val="24"/>
        </w:rPr>
        <w:t>Specifikke foranstaltninger under denne investering, der skal støttes, omfatter store videnskabelige infrastrukturer i Spanien, navnlig dem, der er omfattet af "Kort over unique Scientific and Technical Infrastructures" (ICTS) (</w:t>
      </w:r>
      <w:r>
        <w:rPr>
          <w:rFonts w:ascii="Times New Roman" w:hAnsi="Times New Roman"/>
          <w:i/>
          <w:noProof/>
          <w:sz w:val="24"/>
        </w:rPr>
        <w:t>Mapa de Infraestructuras Científicas y Técnicas Singulares</w:t>
      </w:r>
      <w:r>
        <w:rPr>
          <w:rFonts w:ascii="Times New Roman" w:hAnsi="Times New Roman"/>
          <w:noProof/>
          <w:sz w:val="24"/>
        </w:rPr>
        <w:t>) .</w:t>
      </w:r>
      <w:r>
        <w:rPr>
          <w:rFonts w:ascii="Times New Roman" w:hAnsi="Times New Roman"/>
          <w:noProof/>
          <w:color w:val="000000" w:themeColor="text1"/>
          <w:sz w:val="24"/>
        </w:rPr>
        <w:t xml:space="preserve"> Desuden skal investeringen støtte europæiske og internationale infrastrukturer såsom CERN og Deep Underground Neutrino Experiment.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Desuden omfatter investeringen en række indkaldelser af ansøgninger om tilskud med henblik på at øge internationaliseringskapaciteten i det spanske FUI-system, herunder: indkaldelse af forslag til europæisk projektstyring, indkaldelse af forslag til Europe Research 2020, indkaldelse af forslag til Europe Excellence 2020, 2022 og 2023. Investeringen omfatter også digitalisering af forvaltningen af FoU.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Støtte under denne investering ydes i form af investeringsstøtte og direkte offentlige investeringer. Foranstaltningerne under denne investering skal gennemføres med indkaldelser af forslag og direkte offentlige investeringer. </w:t>
      </w:r>
    </w:p>
    <w:p>
      <w:pPr>
        <w:pStyle w:val="Text1"/>
        <w:ind w:left="0"/>
        <w:rPr>
          <w:noProof/>
          <w:sz w:val="22"/>
        </w:rPr>
      </w:pPr>
      <w:r>
        <w:rPr>
          <w:noProof/>
        </w:rPr>
        <w:t>Gennemførelsen af investeringen skal være afsluttet senest den 30. juni 2026.</w:t>
      </w:r>
      <w:r>
        <w:rPr>
          <w:noProof/>
          <w:color w:val="000000"/>
          <w:sz w:val="20"/>
          <w:szCs w:val="20"/>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Investering 3 (C17.I3): </w:t>
      </w:r>
      <w:r>
        <w:rPr>
          <w:rFonts w:ascii="Times New Roman" w:hAnsi="Times New Roman"/>
          <w:noProof/>
          <w:sz w:val="24"/>
          <w:u w:val="single"/>
        </w:rPr>
        <w:t>Nye private, tværfaglige, offentlige FUI-projekter, koncepttest og tildeling af støtte som følge af internationale konkurrenceudsatte indkaldelser af forslag. Avanceret FoU, der er gearet til samfundsmæssige udfordringer. Prækommercielle indkøb i forbindelse med offentlige udbud</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Formålet med aktionerne under denne investering er at styrke videngenerering, videnoverførsel og offentlig-private partnerskaber i FUI. Gennem aktionerne under denne investering skal forsknings- og innovationsaktiviteten i den private sektor intensiveres, og samarbejdet mellem offentlige forskningsinstitutioner og den private sektor skal styrkes. Foranstaltningen har også til formål at øge F &amp; D &amp; I-aktiviteterne på strategiske områder såsom grøn og digital omstilling samt at øge internationaliseringen af spanske forskningsgrupper.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Der er planlagt syv indkaldelser af forslag under denne investering: 1) en indkaldelse af forslag til </w:t>
      </w:r>
      <w:r>
        <w:rPr>
          <w:rFonts w:ascii="Times New Roman" w:hAnsi="Times New Roman"/>
          <w:i/>
          <w:iCs/>
          <w:noProof/>
          <w:sz w:val="24"/>
        </w:rPr>
        <w:t>proof of concept</w:t>
      </w:r>
      <w:r>
        <w:rPr>
          <w:rFonts w:ascii="Times New Roman" w:hAnsi="Times New Roman"/>
          <w:noProof/>
          <w:sz w:val="24"/>
        </w:rPr>
        <w:t xml:space="preserve"> skal finansiere projekter i de tidlige faser af den prækompetitive udvikling med henblik på at fremskynde omdannelsen af videnskabelig viden til produkter eller tjenester, 2) en indkaldelse af </w:t>
      </w:r>
      <w:r>
        <w:rPr>
          <w:rFonts w:ascii="Times New Roman" w:hAnsi="Times New Roman"/>
          <w:i/>
          <w:iCs/>
          <w:noProof/>
          <w:sz w:val="24"/>
        </w:rPr>
        <w:t>tværfaglige projekter</w:t>
      </w:r>
      <w:r>
        <w:rPr>
          <w:rFonts w:ascii="Times New Roman" w:hAnsi="Times New Roman"/>
          <w:noProof/>
          <w:sz w:val="24"/>
        </w:rPr>
        <w:t xml:space="preserve"> skal finansiere projekter fra offentlig-private konsortier, der styrker den spanske FUI &amp;-konkurrenceevne, 3) en indkaldelse af forslag til FUI&amp;-projekter, der er knyttet til den grønne og digitale omstilling, 4) en indkaldelse af </w:t>
      </w:r>
      <w:r>
        <w:rPr>
          <w:rFonts w:ascii="Times New Roman" w:hAnsi="Times New Roman"/>
          <w:i/>
          <w:iCs/>
          <w:noProof/>
          <w:sz w:val="24"/>
        </w:rPr>
        <w:t>offentlig-private partnerskabsprojekter</w:t>
      </w:r>
      <w:r>
        <w:rPr>
          <w:rFonts w:ascii="Times New Roman" w:hAnsi="Times New Roman"/>
          <w:noProof/>
          <w:sz w:val="24"/>
        </w:rPr>
        <w:t xml:space="preserve"> til finansiering af projekter med et højere teknologisk beredskabsniveau, der er gearet til at opnå sikre resultater, 5) en indkaldelse af forslag til</w:t>
      </w:r>
      <w:r>
        <w:rPr>
          <w:rFonts w:ascii="Times New Roman" w:hAnsi="Times New Roman"/>
          <w:i/>
          <w:iCs/>
          <w:noProof/>
          <w:sz w:val="24"/>
        </w:rPr>
        <w:t xml:space="preserve"> internationale samarbejdsprojekter</w:t>
      </w:r>
      <w:r>
        <w:rPr>
          <w:rFonts w:ascii="Times New Roman" w:hAnsi="Times New Roman"/>
          <w:noProof/>
          <w:sz w:val="24"/>
        </w:rPr>
        <w:t xml:space="preserve"> til finansiering af spanske offentlige forskeres projekter, der indgår i projekter, der er udvalgt til finansiering under Horisont 2020- og Horisont Europa-partnerskaberne, 6) en indkaldelse af FoU rettet mod samfundsmæssige udfordringer, herunder f.eks. sikker, effektiv og ren energi eller cybersikkerhed, og 7) en indkaldelse til finansiering af prækommercielle offentlige indkøb kaldet </w:t>
      </w:r>
      <w:r>
        <w:rPr>
          <w:rFonts w:ascii="Times New Roman" w:hAnsi="Times New Roman"/>
          <w:i/>
          <w:iCs/>
          <w:noProof/>
          <w:sz w:val="24"/>
        </w:rPr>
        <w:t>Alliance for Innovation</w:t>
      </w:r>
      <w:r>
        <w:rPr>
          <w:rFonts w:ascii="Times New Roman" w:hAnsi="Times New Roman"/>
          <w:noProof/>
          <w:sz w:val="24"/>
        </w:rPr>
        <w:t>.</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Investeringerne under denne foranstaltning vil finde sted i perioden 2020-2026 med indkaldelser af forslag og prækommercielle offentlige indkøb, der skal koncentreres i perioden 2020-2023, og med gennemførelsen af nogle af de mere komplekse investeringer, der strækker sig frem til 2026. </w:t>
      </w:r>
      <w:r>
        <w:rPr>
          <w:rFonts w:ascii="Times New Roman" w:hAnsi="Times New Roman"/>
          <w:noProof/>
          <w:sz w:val="24"/>
        </w:rPr>
        <w:t>Mindst 3 000 forsknings- og udviklingsprojekter kunne finansieres under denne investering i første halvdel af 2024.</w:t>
      </w:r>
      <w:r>
        <w:rPr>
          <w:rFonts w:ascii="Times New Roman" w:hAnsi="Times New Roman"/>
          <w:noProof/>
          <w:color w:val="000000" w:themeColor="text1"/>
          <w:sz w:val="24"/>
        </w:rPr>
        <w:t xml:space="preserve"> </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69"/>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70"/>
      </w:r>
      <w:r>
        <w:rPr>
          <w:noProof/>
        </w:rPr>
        <w:t xml:space="preserve"> iii) Aktiviteter i forbindelse med affaldsdeponeringsanlæg, forbrændingsanlæg</w:t>
      </w:r>
      <w:r>
        <w:rPr>
          <w:rStyle w:val="FootnoteReference"/>
          <w:noProof/>
          <w:lang w:val="en-IE"/>
        </w:rPr>
        <w:footnoteReference w:id="71"/>
      </w:r>
      <w:r>
        <w:rPr>
          <w:noProof/>
        </w:rPr>
        <w:t xml:space="preserve"> og anlæg til mekanisk-biologisk behandling</w:t>
      </w:r>
      <w:r>
        <w:rPr>
          <w:rStyle w:val="FootnoteReference"/>
          <w:noProof/>
          <w:lang w:val="en-IE"/>
        </w:rPr>
        <w:footnoteReference w:id="72"/>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before="120" w:after="120" w:line="240" w:lineRule="auto"/>
        <w:jc w:val="both"/>
        <w:rPr>
          <w:rFonts w:ascii="Times New Roman" w:hAnsi="Times New Roman" w:cs="Times New Roman"/>
          <w:noProof/>
          <w:sz w:val="24"/>
        </w:rPr>
      </w:pPr>
      <w:r>
        <w:rPr>
          <w:rFonts w:ascii="Times New Roman" w:hAnsi="Times New Roman"/>
          <w:noProof/>
          <w:sz w:val="24"/>
        </w:rPr>
        <w:t>Følgende F &amp; D &amp; I-aktioner under denne investering anses for at være i overensstemmelse med den tekniske vejledning om DNSH-princippet (2021/C58/01): i) de FUI-aktioner under denne investering, der resulterer i teknologineutrale resultater på anvendelsesniveau ii) de F &amp; D &amp; I-aktioner under denne investering, der støtter alternativer med lav miljøpåvirkning, for hvilke disse findes eller iii) de FUI-aktioner under denne investering, der primært fokuserer på at udvikle alternativer med de lavest mulige miljøvirkninger i sektoren for de aktiviteter, for hvilke der ikke findes noget teknologisk og økonomisk gennemførligt lavpåvirkningsalternativ.</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r>
        <w:rPr>
          <w:rFonts w:ascii="Times New Roman" w:hAnsi="Times New Roman"/>
          <w:noProof/>
          <w:color w:val="000000"/>
          <w:sz w:val="24"/>
          <w:szCs w:val="24"/>
        </w:rPr>
        <w:t xml:space="preserve">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4 (C17.I4): Ny videnskabelig karriere</w:t>
      </w:r>
    </w:p>
    <w:p>
      <w:pPr>
        <w:keepNext/>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Formålet med denne investering er at fremme en stabil videnskabelig karriere. Den er knyttet til C17.R1. Den ajourførte videnskabslov skal omfatte en ny videnskabelig karriere i Spanien, som skal danne ramme for alt forskningspersonale, herunder universitetspersonale. Systemet skal sikre gennemsigtighed i forbindelse med ansættelse af personale, fleksibilitet, mobilitet og stabilitet i forskningskarrieren.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Støtten ydes i form af tilskud, der tildeles via indkaldelser af konkurrerende forslag i følgende programmer: 1) </w:t>
      </w:r>
      <w:r>
        <w:rPr>
          <w:rFonts w:ascii="Times New Roman" w:hAnsi="Times New Roman"/>
          <w:i/>
          <w:iCs/>
          <w:noProof/>
          <w:color w:val="000000" w:themeColor="text1"/>
          <w:sz w:val="24"/>
        </w:rPr>
        <w:t>Doctores Industriales</w:t>
      </w:r>
      <w:r>
        <w:rPr>
          <w:rFonts w:ascii="Times New Roman" w:hAnsi="Times New Roman"/>
          <w:noProof/>
          <w:color w:val="000000" w:themeColor="text1"/>
          <w:sz w:val="24"/>
        </w:rPr>
        <w:t xml:space="preserve">-stipendium, et fireårigt program for ph.d.-studerende i virksomheden (50 pladser), 2) </w:t>
      </w:r>
      <w:r>
        <w:rPr>
          <w:rFonts w:ascii="Times New Roman" w:hAnsi="Times New Roman"/>
          <w:i/>
          <w:iCs/>
          <w:noProof/>
          <w:color w:val="000000" w:themeColor="text1"/>
          <w:sz w:val="24"/>
        </w:rPr>
        <w:t>Torres Quevedo</w:t>
      </w:r>
      <w:r>
        <w:rPr>
          <w:rFonts w:ascii="Times New Roman" w:hAnsi="Times New Roman"/>
          <w:noProof/>
          <w:color w:val="000000" w:themeColor="text1"/>
          <w:sz w:val="24"/>
        </w:rPr>
        <w:t xml:space="preserve">-stipendium, et treårigt program for ph.d.-forskere i virksomheden (170 pladser), 3) </w:t>
      </w:r>
      <w:r>
        <w:rPr>
          <w:rFonts w:ascii="Times New Roman" w:hAnsi="Times New Roman"/>
          <w:i/>
          <w:iCs/>
          <w:noProof/>
          <w:color w:val="000000" w:themeColor="text1"/>
          <w:sz w:val="24"/>
        </w:rPr>
        <w:t>Juan de la Cierva</w:t>
      </w:r>
      <w:r>
        <w:rPr>
          <w:rFonts w:ascii="Times New Roman" w:hAnsi="Times New Roman"/>
          <w:noProof/>
          <w:color w:val="000000" w:themeColor="text1"/>
          <w:sz w:val="24"/>
        </w:rPr>
        <w:t xml:space="preserve">-uddannelsesstipendium , et toårigt program for ph.d.-grader på akademiske institutioner, det omfatter et mobilitetsstipendium (1 200 pladser) og 4) </w:t>
      </w:r>
      <w:r>
        <w:rPr>
          <w:rFonts w:ascii="Times New Roman" w:hAnsi="Times New Roman"/>
          <w:i/>
          <w:iCs/>
          <w:noProof/>
          <w:color w:val="000000" w:themeColor="text1"/>
          <w:sz w:val="24"/>
        </w:rPr>
        <w:t>Juan de la Cierva Incorporation</w:t>
      </w:r>
      <w:r>
        <w:rPr>
          <w:rFonts w:ascii="Times New Roman" w:hAnsi="Times New Roman"/>
          <w:noProof/>
          <w:color w:val="000000" w:themeColor="text1"/>
          <w:sz w:val="24"/>
        </w:rPr>
        <w:t>-stipendium, et treårigt ph.d.-studieprogram i akademiske institutioner, omfatter et stipendium (650 pladser). Denne foranstaltning omfatter også en opstartspakke for 750 forskere med stabile kontrakter i akademiske institutioner eller offentlige forskningsorganisationer.</w:t>
      </w:r>
    </w:p>
    <w:p>
      <w:pPr>
        <w:pStyle w:val="Text1"/>
        <w:ind w:left="0"/>
        <w:rPr>
          <w:noProof/>
          <w:color w:val="000000" w:themeColor="text1"/>
        </w:rPr>
      </w:pPr>
      <w:r>
        <w:rPr>
          <w:noProof/>
          <w:color w:val="000000" w:themeColor="text1"/>
        </w:rPr>
        <w:t xml:space="preserve">Foranstaltningerne under denne investering gennemføres med indkaldelser af konkurrerende tilskud. </w:t>
      </w:r>
    </w:p>
    <w:p>
      <w:pPr>
        <w:pStyle w:val="Text1"/>
        <w:ind w:left="0"/>
        <w:rPr>
          <w:noProof/>
          <w:sz w:val="22"/>
        </w:rPr>
      </w:pPr>
      <w:r>
        <w:rPr>
          <w:noProof/>
        </w:rPr>
        <w:t>Gennemførelsen af investeringen skal være afsluttet senest den 30. juni 2026.</w:t>
      </w:r>
      <w:r>
        <w:rPr>
          <w:noProof/>
          <w:color w:val="000000"/>
          <w:sz w:val="20"/>
          <w:szCs w:val="20"/>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5 (C17.I5): Vidensoverførsel</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Formålet med denne investering er at fremme teknologioverførsel og støtte overførslen af forskningsresultater inden for innovative teknologier. Denne investering er knyttet til reformen C17.R1; den ajourførte videnskabslov skal støtte videnoverførsel ved at fremme forskermobilitet, skabe et fleksibelt juridisk instrument til at investere i nystartede teknologiske virksomheder og omlægge incitamentsstrukturen, således at videnoverførsel anerkendes behørigt i forskernes løn sammen med den traditionelle forskningsaktivitet.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Disse foranstaltninger omfatter seks specifikke aktioner til fremme af videnoverførsel: 1) indkaldelse "Innovationsøkosystemer baseret på </w:t>
      </w:r>
      <w:r>
        <w:rPr>
          <w:rFonts w:ascii="Times New Roman" w:hAnsi="Times New Roman"/>
          <w:i/>
          <w:noProof/>
          <w:color w:val="000000" w:themeColor="text1"/>
          <w:sz w:val="24"/>
        </w:rPr>
        <w:t>Cervera</w:t>
      </w:r>
      <w:r>
        <w:rPr>
          <w:rFonts w:ascii="Times New Roman" w:hAnsi="Times New Roman"/>
          <w:noProof/>
          <w:color w:val="000000" w:themeColor="text1"/>
          <w:sz w:val="24"/>
        </w:rPr>
        <w:t xml:space="preserve"> Networks of Excellence", 2) forbedring af forskningsresultaternes kapacitet og orientering, 3) opfordringer til </w:t>
      </w:r>
      <w:r>
        <w:rPr>
          <w:rFonts w:ascii="Times New Roman" w:hAnsi="Times New Roman"/>
          <w:i/>
          <w:noProof/>
          <w:color w:val="000000" w:themeColor="text1"/>
          <w:sz w:val="24"/>
        </w:rPr>
        <w:t>Cervera</w:t>
      </w:r>
      <w:r>
        <w:rPr>
          <w:rFonts w:ascii="Times New Roman" w:hAnsi="Times New Roman"/>
          <w:noProof/>
          <w:color w:val="000000" w:themeColor="text1"/>
          <w:sz w:val="24"/>
        </w:rPr>
        <w:t xml:space="preserve"> Grants til teknologicentre, forskningscentre og SMV'er og midcapselskaber til at udføre FoU inden for prioriterede teknologier, 4) opfordre til støtte til spanske SMV'er med det europæiske kvalitetsstempel, 5) risikokapitalstøtte til at med-investere og investere i virksomheder med strategiske teknologier gennem en teknologioverførselsfond og 6) støtte til NEOTEC, et igangværende FoU-rammeprogram til støtte for oprettelse og konsolidering af teknologibaserede virksomheder.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Foranstaltningerne under denne investering skal hovedsagelig gennemføres ved indkaldelse af forslag. </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73"/>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74"/>
      </w:r>
      <w:r>
        <w:rPr>
          <w:noProof/>
        </w:rPr>
        <w:t xml:space="preserve"> iii) Aktiviteter i forbindelse med affaldsdeponeringsanlæg, forbrændingsanlæg</w:t>
      </w:r>
      <w:r>
        <w:rPr>
          <w:rStyle w:val="FootnoteReference"/>
          <w:noProof/>
          <w:lang w:val="en-IE"/>
        </w:rPr>
        <w:footnoteReference w:id="75"/>
      </w:r>
      <w:r>
        <w:rPr>
          <w:noProof/>
        </w:rPr>
        <w:t xml:space="preserve"> og anlæg til mekanisk-biologisk behandling</w:t>
      </w:r>
      <w:r>
        <w:rPr>
          <w:rStyle w:val="FootnoteReference"/>
          <w:noProof/>
          <w:lang w:val="en-IE"/>
        </w:rPr>
        <w:footnoteReference w:id="76"/>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before="120" w:after="120" w:line="240" w:lineRule="auto"/>
        <w:jc w:val="both"/>
        <w:rPr>
          <w:rFonts w:ascii="Times New Roman" w:hAnsi="Times New Roman" w:cs="Times New Roman"/>
          <w:noProof/>
          <w:sz w:val="24"/>
        </w:rPr>
      </w:pPr>
      <w:r>
        <w:rPr>
          <w:rFonts w:ascii="Times New Roman" w:hAnsi="Times New Roman"/>
          <w:noProof/>
          <w:sz w:val="24"/>
        </w:rPr>
        <w:t>Følgende F &amp; D &amp; I-aktioner under denne investering anses for at være i overensstemmelse med den tekniske vejledning om DNSH-princippet (2021/C58/01): i) de F &amp; D &amp; I-aktioner under denne investering, der resulterer i teknologineutrale resultater på anvendelsesniveau ii) de F &amp; D &amp; I-aktioner under denne investering, der støtter alternativer med lav miljøpåvirkning, for hvilke disse findes eller iii) de F &amp; D &amp; I-aktioner under denne investering, der primært fokuserer på at udvikle alternativer med de lavest mulige miljøvirkninger i sektoren for de aktiviteter, for hvilke der ikke findes noget teknologisk og økonomisk gennemførligt lavvirkningsalternativ.</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szCs w:val="24"/>
        </w:rPr>
        <w:t>Gennemførelsen af investeringen skal være afsluttet senest den 30. juni 2026.</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6 (C17.I6): Sundhed</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 xml:space="preserve">Formålet med denne foranstaltning er at fremme forskning og innovation i sundhedssektoren. Foranstaltningen omfatter fire specifikke indsatsområder: </w:t>
      </w:r>
      <w:r>
        <w:rPr>
          <w:rFonts w:ascii="Times New Roman" w:hAnsi="Times New Roman"/>
          <w:noProof/>
          <w:sz w:val="24"/>
        </w:rPr>
        <w:t xml:space="preserve">1) investeringer inden for avancerede terapier, nye lægemidler og skræddersyet medicin , 2) foranstaltninger til styrkelse af det nationale sundhedssystems strategiske kapacitet og internationalisering, 3) foranstaltninger til støtte for </w:t>
      </w:r>
      <w:r>
        <w:rPr>
          <w:rFonts w:ascii="Times New Roman" w:hAnsi="Times New Roman"/>
          <w:i/>
          <w:noProof/>
          <w:sz w:val="24"/>
        </w:rPr>
        <w:t>Instituto de Salud Carlos III</w:t>
      </w:r>
      <w:r>
        <w:rPr>
          <w:rFonts w:ascii="Times New Roman" w:hAnsi="Times New Roman"/>
          <w:noProof/>
          <w:sz w:val="24"/>
        </w:rPr>
        <w:t xml:space="preserve">'s kapacitet til at bekæmpe smitsomme sygdomme og globale trusler, navnlig det nationale center for mikrobiologi, det nationale center for epidemiologi og den nationale skole for erhvervsmedicin og den nationale sundhedshøjskole, 4) deltagelse i projektet "The Genome of Europe" som del af initiativet "1+ Million Genomes", 5) kapacitetsopbyggende foranstaltninger i forbindelse med forskning i smitsomme sygdomme, andre globale sundhedstrusler og aldring.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Foranstaltningerne under denne investering gennemføres med indkaldelser af forslag, offentlige og private risikokapitalinvesteringer og direkte offentlige investeringer.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7 (C17.I7): Miljø, klimaændringer og energi</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 xml:space="preserve">Formålet med denne foranstaltning er at fremme forskning og innovation inden for miljø, klimaændringer og energisektoren. Foranstaltningen skal støtte: </w:t>
      </w:r>
      <w:r>
        <w:rPr>
          <w:rFonts w:ascii="Times New Roman" w:hAnsi="Times New Roman"/>
          <w:noProof/>
          <w:sz w:val="24"/>
        </w:rPr>
        <w:t xml:space="preserve">1) FUI-projekter vedrørende bæredygtig plast i en cirkulær økonomi, produktion af alternativ plast og bæredygtig håndtering af plastaffald, 2) et projekt om klimaændringer og indvirkning på vandreserver, 3) et projekt om højteknologiske komponenter i energiomstillingen, navnlig med hensyn til energilagring og udvikling af prototypeanlæg til CO2-opsamling fra industrielle procesemissioner i energiintensive industrier ved </w:t>
      </w:r>
      <w:r>
        <w:rPr>
          <w:rFonts w:ascii="Times New Roman" w:hAnsi="Times New Roman"/>
          <w:i/>
          <w:noProof/>
          <w:sz w:val="24"/>
        </w:rPr>
        <w:t>Consejo Superior de Investigaciones Científicas</w:t>
      </w:r>
      <w:r>
        <w:rPr>
          <w:rFonts w:ascii="Times New Roman" w:hAnsi="Times New Roman"/>
          <w:noProof/>
          <w:sz w:val="24"/>
        </w:rPr>
        <w:t xml:space="preserve"> (CSIC). Hvis der er tale om anlæg under EU's emissionshandelssystem (ETS), skal de opnå forventede drivhusgasemissioner, der mindst er lavere end de relevante benchmarks</w:t>
      </w:r>
      <w:r>
        <w:rPr>
          <w:rFonts w:ascii="Times New Roman" w:hAnsi="Times New Roman" w:cs="Times New Roman"/>
          <w:noProof/>
          <w:sz w:val="24"/>
          <w:vertAlign w:val="superscript"/>
          <w:lang w:val="en-IE"/>
        </w:rPr>
        <w:footnoteReference w:id="77"/>
      </w:r>
      <w:r>
        <w:rPr>
          <w:rFonts w:ascii="Times New Roman" w:hAnsi="Times New Roman"/>
          <w:noProof/>
          <w:sz w:val="24"/>
        </w:rPr>
        <w:t>, og aktiviteter i forbindelse med fossile brændstoffer, herunder downstreamanvendelse, udelukkes</w:t>
      </w:r>
      <w:r>
        <w:rPr>
          <w:rFonts w:ascii="Times New Roman" w:hAnsi="Times New Roman" w:cs="Times New Roman"/>
          <w:noProof/>
          <w:sz w:val="24"/>
          <w:vertAlign w:val="superscript"/>
          <w:lang w:val="en-IE"/>
        </w:rPr>
        <w:footnoteReference w:id="78"/>
      </w:r>
      <w:r>
        <w:rPr>
          <w:rFonts w:ascii="Times New Roman" w:hAnsi="Times New Roman"/>
          <w:noProof/>
          <w:sz w:val="24"/>
        </w:rPr>
        <w:t xml:space="preserve">, 4) et forskningsprojekt om strategiske metaller til energiomstillingen og 5) oprettelse af et FoU-center for energilagring i Extremadura med det formål at fremme den teknologiske og videnskabelige reaktion på forvaltningen af produktionen af grøn energi, navnlig hvad angår industrielle hydrogenanvendelser, samt transport af grøn hydrogen. Foranstaltningen skal også støtte kapacitetsopbygning, der skal leveres i centret for at uddanne videnskabsmænd og forskere i energi- og energilagringsindustrier.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Foranstaltningerne under denne investering gennemføres ved udbud.</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79"/>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80"/>
      </w:r>
      <w:r>
        <w:rPr>
          <w:noProof/>
        </w:rPr>
        <w:t xml:space="preserve"> iii) Aktiviteter i forbindelse med affaldsdeponeringsanlæg, forbrændingsanlæg</w:t>
      </w:r>
      <w:r>
        <w:rPr>
          <w:rStyle w:val="FootnoteReference"/>
          <w:noProof/>
          <w:lang w:val="en-IE"/>
        </w:rPr>
        <w:footnoteReference w:id="81"/>
      </w:r>
      <w:r>
        <w:rPr>
          <w:noProof/>
        </w:rPr>
        <w:t xml:space="preserve"> og anlæg til mekanisk-biologisk behandling</w:t>
      </w:r>
      <w:r>
        <w:rPr>
          <w:rStyle w:val="FootnoteReference"/>
          <w:noProof/>
          <w:lang w:val="en-IE"/>
        </w:rPr>
        <w:footnoteReference w:id="82"/>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before="120" w:after="120" w:line="240" w:lineRule="auto"/>
        <w:jc w:val="both"/>
        <w:rPr>
          <w:rFonts w:ascii="Times New Roman" w:hAnsi="Times New Roman" w:cs="Times New Roman"/>
          <w:noProof/>
          <w:sz w:val="24"/>
        </w:rPr>
      </w:pPr>
      <w:r>
        <w:rPr>
          <w:rFonts w:ascii="Times New Roman" w:hAnsi="Times New Roman"/>
          <w:noProof/>
          <w:sz w:val="24"/>
        </w:rPr>
        <w:t>Følgende F &amp; D &amp; I-aktioner under denne investering anses for at være i overensstemmelse med den tekniske vejledning om DNSH-princippet (2021/C58/01): i) de F &amp; D &amp; I-aktioner under denne investering, der resulterer i teknologineutrale resultater på anvendelsesniveau ii) de F &amp; D &amp; I-aktioner under denne investering, der støtter alternativer med lav miljøpåvirkning, for hvilke disse findes eller iii) de F &amp; D &amp; I-aktioner under denne investering, der primært fokuserer på at udvikle alternativer med de lavest mulige miljøvirkninger i sektoren for de aktiviteter, for hvilke der ikke findes noget teknologisk og økonomisk gennemførligt lavvirkningsalternativ.</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i juni 2026.</w:t>
      </w:r>
      <w:r>
        <w:rPr>
          <w:rFonts w:ascii="Times New Roman" w:hAnsi="Times New Roman"/>
          <w:noProof/>
          <w:color w:val="000000"/>
          <w:sz w:val="24"/>
          <w:szCs w:val="24"/>
        </w:rPr>
        <w:t xml:space="preserve">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8 (C17.I8):</w:t>
      </w:r>
      <w:r>
        <w:rPr>
          <w:rFonts w:ascii="Times New Roman" w:hAnsi="Times New Roman"/>
          <w:noProof/>
          <w:sz w:val="24"/>
          <w:u w:val="single"/>
        </w:rPr>
        <w:t xml:space="preserve"> Bæredygtig bilindustri F &amp; D &amp; I (PTAS)</w:t>
      </w:r>
      <w:r>
        <w:rPr>
          <w:rFonts w:ascii="Times New Roman" w:hAnsi="Times New Roman"/>
          <w:noProof/>
          <w:color w:val="000000" w:themeColor="text1"/>
          <w:sz w:val="24"/>
          <w:u w:val="single"/>
        </w:rPr>
        <w:t xml:space="preserve"> </w:t>
      </w:r>
    </w:p>
    <w:p>
      <w:pPr>
        <w:keepNext/>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 xml:space="preserve">Formålet med denne foranstaltning er at fremme forskning og innovation i den bæredygtige bilindustri. Foranstaltningen har navnlig til formål at: </w:t>
      </w:r>
      <w:r>
        <w:rPr>
          <w:rFonts w:ascii="Times New Roman" w:hAnsi="Times New Roman"/>
          <w:noProof/>
          <w:sz w:val="24"/>
        </w:rPr>
        <w:t xml:space="preserve">1) støtte udviklingen af komponenter og platforme udelukkende til elektriske køretøjer, hybridkøretøjer og brintkøretøjer, 2) fremme forskning og udvikling inden for selvkørende biler og forbundet mobilitet ved at udvikle ny arkitektur for hardware- og softwarekøretøjer og 3) tilpasse produktionsområder for komponenter og systemer udelukkende til elektriske køretøjer, hybridkøretøjer og brintkøretøjer. Projekterne skal gennemføres af virksomhedskonsortier på tre til otte virksomheder (mindst én skal være en SMV), højst tre år.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Foranstaltningerne under denne investering skal gennemføres med indkaldelser af forslag. </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83"/>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84"/>
      </w:r>
      <w:r>
        <w:rPr>
          <w:noProof/>
        </w:rPr>
        <w:t xml:space="preserve"> iii) Aktiviteter i forbindelse med affaldsdeponeringsanlæg, forbrændingsanlæg</w:t>
      </w:r>
      <w:r>
        <w:rPr>
          <w:rStyle w:val="FootnoteReference"/>
          <w:noProof/>
          <w:lang w:val="en-IE"/>
        </w:rPr>
        <w:footnoteReference w:id="85"/>
      </w:r>
      <w:r>
        <w:rPr>
          <w:noProof/>
        </w:rPr>
        <w:t xml:space="preserve"> og anlæg til mekanisk-biologisk behandling</w:t>
      </w:r>
      <w:r>
        <w:rPr>
          <w:rStyle w:val="FootnoteReference"/>
          <w:noProof/>
          <w:lang w:val="en-IE"/>
        </w:rPr>
        <w:footnoteReference w:id="86"/>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before="120" w:after="120" w:line="240" w:lineRule="auto"/>
        <w:jc w:val="both"/>
        <w:rPr>
          <w:rFonts w:ascii="Times New Roman" w:hAnsi="Times New Roman" w:cs="Times New Roman"/>
          <w:noProof/>
          <w:sz w:val="24"/>
        </w:rPr>
      </w:pPr>
      <w:r>
        <w:rPr>
          <w:rFonts w:ascii="Times New Roman" w:hAnsi="Times New Roman"/>
          <w:noProof/>
          <w:sz w:val="24"/>
        </w:rPr>
        <w:t>Følgende F &amp; D &amp; I-aktioner under denne investering anses for at være i overensstemmelse med den tekniske vejledning om DNSH-princippet (2021/C58/01): i) de FUI-aktioner under denne investering, der resulterer i teknologineutrale resultater på anvendelsesniveau ii) de FUI-aktioner under denne investering, der støtter alternativer med lav miljøpåvirkning, for hvilke disse findes eller iii) de FUI-aktioner under denne investering, der primært fokuserer på at udvikle alternativer med de lavest mulige miljøvirkninger i sektoren for de aktiviteter, for hvilke der ikke findes noget teknologisk og økonomisk gennemførligt lavpåvirkningsalternativ.</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2024.</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Investering 9 (C17.I9): Rumfart</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Formålet med denne foranstaltning er at fremme forskning og innovation inden for luft- og rumfartsindustrien med hovedfokus på aktioner under denne investering vedrørende lav- eller kulstoffri luft- og rumfartsteknologier og luftfart. Formålet med foranstaltningen e</w:t>
      </w:r>
      <w:r>
        <w:rPr>
          <w:noProof/>
        </w:rPr>
        <w:t>r</w:t>
      </w:r>
      <w:r>
        <w:rPr>
          <w:rFonts w:ascii="Times New Roman" w:hAnsi="Times New Roman"/>
          <w:noProof/>
          <w:sz w:val="24"/>
        </w:rPr>
        <w:t xml:space="preserve"> at forbedre den industrielle kapacitet i forbindelse med fremtidige lav- og nulemissionsluftfartøjer, kritisk teknologisk udvikling i forbindelse med UAV'er, ombordværende systemer, luftfartøjer til flere formål og avancerede fremstillingssystemer, der omfatter oprettelse af digitale tvillinger, fremme af effektivitet og lavere ressourceforbrug eller lavere miljøpåvirkning.</w:t>
      </w:r>
      <w:bookmarkStart w:id="4" w:name="_Hlk70075465"/>
      <w:r>
        <w:rPr>
          <w:rFonts w:ascii="Times New Roman" w:hAnsi="Times New Roman"/>
          <w:noProof/>
          <w:sz w:val="24"/>
        </w:rPr>
        <w:t xml:space="preserve"> </w:t>
      </w:r>
      <w:bookmarkEnd w:id="4"/>
      <w:r>
        <w:rPr>
          <w:rFonts w:ascii="Times New Roman" w:hAnsi="Times New Roman"/>
          <w:noProof/>
          <w:sz w:val="24"/>
        </w:rPr>
        <w:t>Foranstaltningen skal også støtte rumteknologiområder såsom adgang til rummet, jordobservation og optiske og sikre kommunikationssystemer. Projekterne skal gennemføres af konsortier på to til seks virksomheder (mindst én SMV) med en varighed på to til fire år.</w:t>
      </w:r>
      <w:r>
        <w:rPr>
          <w:rFonts w:ascii="Times New Roman" w:hAnsi="Times New Roman"/>
          <w:noProof/>
          <w:color w:val="000000" w:themeColor="text1"/>
          <w:sz w:val="24"/>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Foranstaltningerne under denne investering skal gennemføres med indkaldelser af forslag og offentlige indkøb. </w:t>
      </w:r>
    </w:p>
    <w:p>
      <w:pPr>
        <w:pStyle w:val="Text1"/>
        <w:ind w:left="0"/>
        <w:rPr>
          <w:iCs/>
          <w:noProof/>
          <w:highlight w:val="green"/>
        </w:rPr>
      </w:pPr>
      <w:r>
        <w:rPr>
          <w:noProof/>
        </w:rPr>
        <w:t>For at sikre, at foranstaltningen er i overensstemmelse medden tekniske vejledning om DNSH-princippet (2021/C58/01), skal kriterierne for støtteberettigelse i forbindelse med kommende indkaldelser af projekter eller offentlige udbud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87"/>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88"/>
      </w:r>
      <w:r>
        <w:rPr>
          <w:noProof/>
        </w:rPr>
        <w:t xml:space="preserve"> iii) Aktiviteter i forbindelse med affaldsdeponeringsanlæg, forbrændingsanlæg</w:t>
      </w:r>
      <w:r>
        <w:rPr>
          <w:rStyle w:val="FootnoteReference"/>
          <w:noProof/>
          <w:lang w:val="en-IE"/>
        </w:rPr>
        <w:footnoteReference w:id="89"/>
      </w:r>
      <w:r>
        <w:rPr>
          <w:noProof/>
        </w:rPr>
        <w:t xml:space="preserve"> og anlæg til mekanisk-biologisk behandling</w:t>
      </w:r>
      <w:r>
        <w:rPr>
          <w:rStyle w:val="FootnoteReference"/>
          <w:noProof/>
          <w:lang w:val="en-IE"/>
        </w:rPr>
        <w:footnoteReference w:id="90"/>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before="120" w:after="120" w:line="240" w:lineRule="auto"/>
        <w:jc w:val="both"/>
        <w:rPr>
          <w:rFonts w:ascii="Times New Roman" w:hAnsi="Times New Roman" w:cs="Times New Roman"/>
          <w:noProof/>
          <w:sz w:val="24"/>
        </w:rPr>
      </w:pPr>
      <w:r>
        <w:rPr>
          <w:rFonts w:ascii="Times New Roman" w:hAnsi="Times New Roman"/>
          <w:noProof/>
          <w:sz w:val="24"/>
        </w:rPr>
        <w:t>Følgende FUI-aktioner under denne investering kan anses for at være i overensstemmelse med den tekniske vejledning om DNSH-princippet (2021/C58/01): i) de FUI-aktioner under denne investering, der resulterer i teknologineutrale resultater på anvendelsesniveau ii) de FUI-aktioner under denne investering, der støtter alternativer med lav miljøpåvirkning, for hvilke disse findes eller iii) de FUI-aktioner under denne investering, der primært fokuserer på at udvikle alternativer med de lavest mulige miljøvirkninger i sektoren for de aktiviteter, for hvilke der ikke findes noget teknologisk og økonomisk gennemførligt lavpåvirkningsalternativ.</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30. juni 2026.</w:t>
      </w:r>
      <w:r>
        <w:rPr>
          <w:rFonts w:ascii="Times New Roman" w:hAnsi="Times New Roman"/>
          <w:noProof/>
          <w:color w:val="000000"/>
          <w:sz w:val="24"/>
          <w:szCs w:val="24"/>
        </w:rPr>
        <w:t xml:space="preserve"> </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Q.2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sz w:val="24"/>
        </w:rPr>
        <w:sectPr>
          <w:headerReference w:type="even" r:id="rId211"/>
          <w:headerReference w:type="default" r:id="rId212"/>
          <w:footerReference w:type="even" r:id="rId213"/>
          <w:footerReference w:type="default" r:id="rId214"/>
          <w:headerReference w:type="first" r:id="rId215"/>
          <w:footerReference w:type="first" r:id="rId216"/>
          <w:pgSz w:w="11907" w:h="16839"/>
          <w:pgMar w:top="1134" w:right="1417" w:bottom="1134" w:left="1417" w:header="709" w:footer="709" w:gutter="0"/>
          <w:cols w:space="720"/>
          <w:docGrid w:linePitch="360"/>
        </w:sect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 medmindre andet er angivet i beskrivelsen af foranstaltningen. Beløbene i tabellen omfatter ikke moms.</w:t>
      </w: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552"/>
        <w:gridCol w:w="1134"/>
        <w:gridCol w:w="850"/>
        <w:gridCol w:w="709"/>
        <w:gridCol w:w="567"/>
        <w:gridCol w:w="567"/>
        <w:gridCol w:w="567"/>
        <w:gridCol w:w="5954"/>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Nummer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Foranstaltning</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Milepæl</w:t>
            </w:r>
            <w:r>
              <w:rPr>
                <w:rFonts w:ascii="Times New Roman" w:hAnsi="Times New Roman"/>
                <w:b/>
                <w:noProof/>
                <w:color w:val="000000"/>
                <w:sz w:val="18"/>
                <w:szCs w:val="18"/>
              </w:rPr>
              <w:t xml:space="preserve"> </w:t>
            </w:r>
            <w:r>
              <w:rPr>
                <w:rFonts w:ascii="Times New Roman" w:hAnsi="Times New Roman"/>
                <w:b/>
                <w:bCs/>
                <w:noProof/>
                <w:color w:val="000000"/>
                <w:sz w:val="18"/>
                <w:szCs w:val="18"/>
              </w:rPr>
              <w:t xml:space="preserve"> / Mål</w:t>
            </w:r>
          </w:p>
        </w:tc>
        <w:tc>
          <w:tcPr>
            <w:tcW w:w="2552"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Betegnelse</w:t>
            </w:r>
          </w:p>
        </w:tc>
        <w:tc>
          <w:tcPr>
            <w:tcW w:w="1134"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Kvalitativ indikator for milepæle</w:t>
            </w:r>
          </w:p>
        </w:tc>
        <w:tc>
          <w:tcPr>
            <w:tcW w:w="2126" w:type="dxa"/>
            <w:gridSpan w:val="3"/>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Kvantitativ indikator for målet</w:t>
            </w:r>
          </w:p>
        </w:tc>
        <w:tc>
          <w:tcPr>
            <w:tcW w:w="1134" w:type="dxa"/>
            <w:gridSpan w:val="2"/>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Tid</w:t>
            </w:r>
          </w:p>
        </w:tc>
        <w:tc>
          <w:tcPr>
            <w:tcW w:w="5954"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55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Enhed</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sz w:val="18"/>
                <w:szCs w:val="18"/>
              </w:rPr>
              <w:t>Reference</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Målsætning</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År</w:t>
            </w:r>
          </w:p>
        </w:tc>
        <w:tc>
          <w:tcPr>
            <w:tcW w:w="5954"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ændringen af lov nr. 14/2011 af 1. juni om videnskab, teknologi og innovation.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Bestemmelse i loven om ikrafttræden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Ikrafttrædelsen af ændringen af loven om videnskab, teknologi og innovation, der forbedrer koordineringen mellem de forskellige forvaltningsniveauer af videnskabs-, forsknings- og innovationspolitikker, forbedrer forvaltningen og koordineringen af det spanske videnskabelige teknologi- og innovationssystem, indfører en ny videnskabelig karriere og forbedrer videnoverførsel.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den spanske strategi for videnskab, teknologi og innovation 2021-2027</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den spanske strategi for videnskab, teknologi og innovation 2021-2027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Den spanske strategi for videnskab, teknologi og innovation (EECTI) fastlægger den overordnede strategi, som alle offentlige forvaltninger, herunder det regionale og lokale niveau, skal følge på området for forskning, udvikling og innovation. Strategien er strategien for intelligent specialisering for Spanien. Der nedsættes et overvågningsudvalg for strategien, der omfatter repræsentanter for staten, regionerne, de økonomiske og sociale aktører og det videnskabelige samfund. Strategien er baseret på princippet om koordinering af de forskellige forvaltningsniveauer og er opbygget for at sikre kønsperspektivet i FUI. Det har til formål at styrke offentlig-privat samarbejde, fremme overførsel af viden, fastholde videnskabelige talenter og udvikle en videnskabelig karriere, sikre passende skatteincitamenter til at støtte FUI i den private sektor og indarbejde et kønsperspektiv.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Midtvejsevalueringen af den spanske strategi for videnskab, teknologi og innovation 2021-2027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Aftale på </w:t>
            </w:r>
            <w:r>
              <w:rPr>
                <w:rFonts w:ascii="Times New Roman" w:hAnsi="Times New Roman"/>
                <w:i/>
                <w:noProof/>
                <w:color w:val="000000"/>
                <w:sz w:val="18"/>
                <w:szCs w:val="18"/>
              </w:rPr>
              <w:t>Consejo de Política Científica, Tecnológica y de Innovación</w:t>
            </w:r>
            <w:r>
              <w:rPr>
                <w:rFonts w:ascii="Times New Roman" w:hAnsi="Times New Roman"/>
                <w:noProof/>
                <w:color w:val="000000"/>
                <w:sz w:val="18"/>
                <w:szCs w:val="18"/>
              </w:rPr>
              <w:t xml:space="preserve"> og offentliggørelse af evalueringen på videnskabs- og innovationsministeriets websted.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Den midtvejsevaluering, som overvågningsudvalget har foretaget af den spanske strategi for videnskab, teknologi og innovation 2021-2027, offentliggøres i december 2023. De indikatorer, der skal anvendes i evalueringen, er fastlagt i</w:t>
            </w:r>
            <w:r>
              <w:rPr>
                <w:rFonts w:ascii="Times New Roman" w:hAnsi="Times New Roman"/>
                <w:i/>
                <w:noProof/>
                <w:color w:val="000000"/>
                <w:sz w:val="18"/>
                <w:szCs w:val="18"/>
              </w:rPr>
              <w:t xml:space="preserve"> Consejo de Política Científica, Tecnológica y de Innovación</w:t>
            </w:r>
            <w:r>
              <w:rPr>
                <w:rFonts w:ascii="Times New Roman" w:hAnsi="Times New Roman"/>
                <w:noProof/>
                <w:color w:val="000000"/>
                <w:sz w:val="18"/>
                <w:szCs w:val="18"/>
              </w:rPr>
              <w:t xml:space="preserve"> (hvor de 17 selvstyrende regioner er repræsenteret), en vejledende liste over disse indikatorer og datasøgning i den spanske strategi for videnskab, teknologi og innovation 2021-2027. Systemet for videnskab, teknologi og innovation anvendes til at indsamle data om de fremskridt, der er gjort med gennemførelsen af strategien.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det kongelige dekret om reorganisering af offentlige forskningsinstitutioner.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Bestemmelse i den kongelige anordning om ikrafttræden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kongeligt dekret om reorganisering af offentlige forskningsorganisationer (PROs). Dette skal sigte mod at forbedre forvaltnings- og rådgivningskapaciteten for de tre producentorganisationer med reduceret kritisk masse gennem integration i en større PRO ved at: i) forbedring af det resulterende PRO's konkurrencemæssige stilling, ii) forbedring af deres effektivitet og iii) tilvejebringelse af administrativ fleksibilitet.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Aftaler indgået af ministeriet for videnskab og innovation med de selvstyrende regioner om gennemførelse af "supplerende F &amp; D-planer".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Fire aftaler indgået af ministeriet for videnskab og innovation med de selvstyrende regioner om gennemførelse af "supplerende F &amp; D-planer" på mindst 140 000 000 EUR. Aftalerne skal give mulighed for strategisk koordinering og synergier mellem regionale og nationale strategier for intelligent specialisering.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259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Priser til projekter, der forbedrer nationale videnskabelige infrastrukturer og det spanske videnskabelige teknologi- og innovationssystems kapacitet, og bilaterale aftaler med internationale enheder om finansiering af europæiske og internationale infrastrukturprojekter.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EUR (mio.)</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300,2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Offentliggørelse i den nationale tilskudsdatabase af mindst 255 155 000 EUR til projekter til forbedring af nationale videnskabelige infrastrukturer, kapaciteten i det spanske videnskabelige teknologi- og innovationssystem og aftaler indgået med internationale enheder om finansiering af projekter på mindst 45 000 000 EUR i europæisk og international infrastruktur (CERN, dune, HKK, ESS-Lund, Harmony og SKA).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alle projekter til forbedring af den videnskabelige infrastruktur og kapaciteten i det spanske videnskabelige teknologi- og innovationssystem, herunder projekter vedrørende europæisk og international infrastruktur.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100 % af F &amp; I-projekterne (samlet budget på 439 000 000 EUR) afsluttet i overensstemmelse med målet om at forbedre det spanske videnskabelige teknologi- og innovationssystems videnskabelige infrastruktur og kapacitet ved at forny videnskabeligt udstyr, modernisere BSL3-anlægget, skabe en ny fytogeninfrastruktur, udstyre CIEMAT (</w:t>
            </w:r>
            <w:r>
              <w:rPr>
                <w:rFonts w:ascii="Times New Roman" w:hAnsi="Times New Roman"/>
                <w:i/>
                <w:noProof/>
                <w:color w:val="000000"/>
                <w:sz w:val="18"/>
                <w:szCs w:val="18"/>
              </w:rPr>
              <w:t>Centro de Investigaciones Energéticas, Medioambientales y Tecnologica</w:t>
            </w:r>
            <w:r>
              <w:rPr>
                <w:rFonts w:ascii="Times New Roman" w:hAnsi="Times New Roman"/>
                <w:noProof/>
                <w:color w:val="000000"/>
                <w:sz w:val="18"/>
                <w:szCs w:val="18"/>
              </w:rPr>
              <w:t>s) med den infrastruktur, der er nødvendig for at udføre forskning i vedvarende energi (herunder hydrogen og lagring), ogoprettelse af et center for avanceret optik samt FoU-infrastruktur efter "</w:t>
            </w:r>
            <w:r>
              <w:rPr>
                <w:rFonts w:ascii="Times New Roman" w:hAnsi="Times New Roman"/>
                <w:i/>
                <w:noProof/>
                <w:color w:val="000000"/>
                <w:sz w:val="18"/>
                <w:szCs w:val="18"/>
              </w:rPr>
              <w:t>Planes Estratégicos de Infrastructuras científicas y Técnicas Singulares</w:t>
            </w:r>
            <w:r>
              <w:rPr>
                <w:rFonts w:ascii="Times New Roman" w:hAnsi="Times New Roman"/>
                <w:noProof/>
                <w:color w:val="000000"/>
                <w:sz w:val="18"/>
                <w:szCs w:val="18"/>
              </w:rPr>
              <w:t>" og projekter til støtte for den europæiske og internationale infrastruktur (CERN, DUNE, HKK, ESS-Lund, Harmony og SKA).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Tildeling af nye private, tværfaglige, offentlige F &amp; D &amp; I-projekter, konceptprøver, internationale indkaldelser af konkurrerende forslag og avanceret F &amp; D, der er gearet til sociale udfordringer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lang w:eastAsia="en-GB"/>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EUR (mio.)</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897</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EUT af tildeling af mindst 897 000 000 EUR i henhold til følgende indkaldelser: indkaldelse af proof of concept-projekter (80 000 000 EUR), indkaldelse af tværfaglige projekter under strategiske budgetposter (73 000 000 EUR), indkaldelse af FoU-projekter i forbindelse med den grønne og digitale omstilling (296 000 000 EUR), indkaldelse af offentlig-private samarbejdsprojekter (140 000 000 EUR), indkaldelse af FoU til at tage sigte på samfundsmæssige udfordringer (230 000 000 EUR) og indkaldelse af internationale samarbejdsprojekter (78 000 000 EUR). Udvælgelseskriterierne for indkaldelsen skal sikre overensstemmelse med den tekniske vejledning om DNSH-princippet (2021/C58/01), uudvalgte og ufinansierede aktiviteter og den relevante EU-lovgivning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Godkendelse af F &amp; I-projekter, hvor mindst 35 % er knyttet til den grønne og den digitale omstilling</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3 000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3 000 F &amp; I-projekter er blevet godkendt med mindst 35 % i tilknytning til den grønne og digitale omstilling med udvælgelseskriterier, der skal sikre overholdelse af den tekniske vejledning om DNSH-princippet (2021/C58/01), uudvalgte og ufinansierede aktiviteter og den relevante EU-lovgivning og nationale miljølovgivning.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Støtte til forskerkarrierer gennem stipendier og legater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2 070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Den spanske forskerkarriere styrkes gennem støtte fra mindst 2 070 forskere gennem programmet Juan de la Cierva Incorporation, Juan de la Cierva uddannelsesprogram, det industrielle ph.d.-program og Torres Quevedo-programmet. Desuden har mindst 750 forskere modtaget en "opstartsordning for forskning" inden for den stabile kontrakt, der svarer til Tenure Track</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Supplering af stipendier og legater til støtte for den spanske forskeres karriere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2 070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954"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Den spanske forskerkarriere styrkes af mindst 2070 forskere, der har gennemført Juan de la Cierva Incorporation programmet, Juan de la Cierva-uddannelsesprogrammet, det industrielle ph.d.-program og Torres Quevedo-programmet.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Innovative og teknologibaserede virksomheder har modtaget kapital under programmet Innvierte for at styrke deres forskningsaktiviteter på et tidligt tidspunkt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45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For at fremme teknologioverførsel og bidrage til at skabe en innovativ forretningsstruktur baseret på innovative teknologier har mindst 45 innovative og teknologibaserede virksomheder modtaget kapital under programmet Innvierte for at styrke deres forskningsaktiviteter på et tidligt tidspunkt. Alle disse virksomheder har også modtaget investeringer fra den private sektor. I overensstemmelse med udvælgelseskriterierne skal projekterne under denne investering sikre overensstemmelse med den tekniske vejledning om DNSH-princippet (2021/C58/01), uudvalgte og ufinansierede aktiviteter og den relevante EU-lovgivning og nationale miljølovgivning.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Støtte til unge teknologibaserede virksomheder til at gennemføre deres forretningsplan.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348</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Gennem indkaldelserne af NEOTEC-tilskud til fremme af teknologioverførsel og til oprettelse af nye virksomheder baseret på innovative teknologier: Mindst 348 nye teknologibaserede virksomheder, der har fået tilladelse til at videreføre deres forretningsplan. Disse virksomheder bør være tre år eller mindre gamle, og de bør være innovative virksomheder som defineret i den generelle gruppefritagelsesforordning. I overensstemmelse med udvælgelseskriterierne skal projekterne sikre overensstemmelse med den tekniske vejledning om DNSH-princippet(2021/C58/01), uudvalgte og ufinansierede aktiviteter og den relevante EU-lovgivning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Støtte til projekter til styrkelse af det nationale sundhedssystems strategiske kapacitet og internationalisering, projekter vedrørende strategien for præcisionsskræddersyet medicin og bidrag til et offentligt — privat investeringsinstrument i avancerede terapier.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EUR (mio.)</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351,2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Offentliggørelse i EUT af mindst 351 185 000 EUR, der tildeles: * 174 000 000 EUR til projekter til styrkelse af det nationale sundhedssystems strategiske kapacitet og internationalisering, herunder:  — 80 000 000 EUR til prisen for den strategiske indsats på sundhedsområdet</w:t>
            </w:r>
            <w:r>
              <w:rPr>
                <w:rFonts w:ascii="Times New Roman" w:hAnsi="Times New Roman"/>
                <w:noProof/>
                <w:color w:val="000000"/>
                <w:sz w:val="18"/>
                <w:szCs w:val="18"/>
              </w:rPr>
              <w:br/>
              <w:t>—75 000 000 EUR i tilskud til forøgelse af den videnskabelige kapacitet i de forskningscentre, der er tilknyttet det nationale sundhedssystem, og tilskud til forslag i forbindelse med finansiering af videnskabeligt og teknisk udstyr, herunder fornyelse af videnskabeligt og teknisk udstyr i forældelse</w:t>
            </w:r>
            <w:r>
              <w:rPr>
                <w:rFonts w:ascii="Times New Roman" w:hAnsi="Times New Roman"/>
                <w:noProof/>
                <w:color w:val="000000"/>
                <w:sz w:val="18"/>
                <w:szCs w:val="18"/>
              </w:rPr>
              <w:br/>
              <w:t>— 6 000 000 EUR til tilskud til kvalitetsstemplet Instituto de Salud Carlos III — 13 000 000 EUR i tilskud til offentlig-private partnerskaber til inkorporering af GMP/LPG-miljøet i SNS-forskningsgrupperne, dvs. tilskud til internationalisering af det nationale sundhedssystem * 140 500 000 EUR i projekter vedrørende - Generel indkaldelse på 29 500 000 EUR til personaliseret medicin — indkaldelse på 91 500 000 EUR til særlige programmer vedrørende personaliseret medicin — indkaldelse på 15 000 000 EUR til planen for personaliserede og avancerede terapier — indkaldelse på 4 500 000 EUR til den spanske internationalisering af personaliserede medicinske foranstaltninger med henblik på internationalisering af sundhedssystemet skal støtte Spaniens stilling i den europæiske sundhedssektor gennem tilskyndelse til Spaniens deltagelse i EU's sundhedsprogram og i Horisont Europa. Det skal gøre det muligt at finansiere forsknings- og innovationsklynger, der indgår i fælles grænseoverskridende programlægningsprojekter, der udvælges til finansiering gennem Horisont Europa og Horisont 2020-partnerskaber, såsom ERA-Network-medfonden, europæiske fælles programlægningsinitiativer (EJP) eller internationale fælles programlægningsinitiativer (FPI'er), initiativer oprettet i henhold til artikel 187 og 185 i traktaten om Den Europæiske Unions funktionsmåde (TEUF) og partnerskaber, der er etableret under Horisont Europa-rammeprogrammet. * Og mindst 1 bidrag på 36 685 000 EUR til et offentlig-privat investeringsselskab i avancerede terapier.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Afslutning af alle projekter til styrkelse af forskning og innovation i sundhedssektoren.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alle projekter til et samlet beløb af 527 126 000 EUR. Projekter, der tildeles, herunder følgende indkaldelser: * Med henblik på at styrke det nationale sundhedssystems strategiske kapacitet og internationalisering:  — Den strategiske indsats på sundhedsområdet — projekter, der skal øge den videnskabelige kapacitet i de forskningscentre, der er tilknyttet det nationale sundhedssystem — forslag vedrørende finansiering af videnskabeligt og teknisk udstyr, herunder fornyelse af videnskabeligt og teknisk udstyr i forældelse — projekter vedrørende kvalitetsmærket Instituto de Salud Carlos III offentlig-private partnerskaber med henblik på inkorporering af GMP/LPG-miljøet i SNS-forskningsgrupperne. * For så vidt angår strategien for personaliseret medicin:  - projekter under den generelle indkaldelse af forslag vedrørende personaliseret medicin — projekter i forbindelse med indkaldelsen af forslag til en plan for personaliserede og avancerede terapier — projekter vedrørende den spanske internationalisering af personaliseret medicin * Mindst 2 kapitalforhøjelser til gennemførelse af kliniske forsøg (fase II og III) med lægemidler til avanceret terapi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269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Energilagring F &amp; D-center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Center bygget og udstyret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Et energilagringscenter F &amp; D bygges og udstyres i Extremadura med det formål at fremme teknologisk og videnskabelig reaktion på forvaltningen af produktionen af grøn energi, navnlig med hensyn til industrielle hydrogenanvendelser, samt produktion, lagring og transport af grøn brint. Centret skal omfatte forsøgsdemonstrationsanlæg til afprøvning og validering af energilagringsløsninger. Det skal være udstyret med det nødvendige videnskabelige og tekniske udstyr. I overensstemmelse med udvælgelseskriterierne skal projekterne under denne investering sikre overensstemmelse med den tekniske vejledning om DNSH-princippet (2021/C58/01), uudvalgte og ufinansierede aktiviteter og den relevante EU-lovgivning og nationale miljølovgivning.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C17.I8</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Støtte til F &amp; D &amp; I-projekter inden for bæredygtig bilindustri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35 virksomheder, der har fået tildelt F &amp; D &amp; I-projekter inden for bæredygtig bilindustri for at øge virksomhedernes teknologiske kapacitet på de områder, der vedrører udvikling af energilagringssystemer med meget lave emissioner og høj genanvendelighed, højeffektive brintmobilitetssystemer, selvkørende og forbundet mobilitet eller tilpasning af produktionsmiljøer til sikre og robuste systemer til interaktion mellem menneske og maskine i det intelligente fremstillingsmiljø. Projekterne skal sikre overensstemmelse medden tekniske vejledning om DNSH-princippet (2021/C58/01), uudvalgte og ufinansierede aktiviteter og den relevante EU-lovgivning og nationale miljølovgivning. Projekterne skal vedrøre: udvikling af komponenter og platforme til elektriske køretøjer, plug-in-hybridkøretøjer og brintkøretøjer — selvkørende og forbundet mobilitet, udvikling af nye hardware- og softwarekøretøjers arkitektur — tilpasning af produktionsområder for komponenter og systemer til elektriske køretøjer, plug-in-hybridkøretøjer og brintkøretøjer. Projekterne skal gennemføres af virksomhedskonsortier på tre til otte virksomheder (mindst én skal være SMV), højst tre år og med et budget på mindst 5 000 000 EUR.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Støtte til F &amp; D &amp; innovationsprojekter på luft- og rumfartsområdet med fokus på lave emissioner og nulemissioner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65 virksomheder er blevet tildelt F &amp; D &amp; Innovationsprojekter på luft- og rumfartsområdet med fokus på lave og ingen emissioner, herunder investeringer i luft- og rumfartsteknologier og luftfartsteknik, med støtte fra Aeronautica-planen. Projekterne skal gennemføres af virksomhedskonsortier på 3-6 virksomheder (mindst én skal være SMV), højst 3 år. I overensstemmelse med udvælgelseskriterierne skal projekterne sikre overensstemmelse med den tekniske vejledning om DNSH-princippet(2021/C58/01), uudvalgte og ufinansierede aktiviteter og den relevante EU-lovgivning og nationale miljølovgivning.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C17.I9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Afslutning af F &amp; D &amp; innovationsprojekter på luft- og rumfartsområdet med fokus på lave emissioner og nulemissioner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2026</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65 virksomheder har afsluttet deres F &amp; D &amp; Innovationsprojekter på luft- og rumfartsområdet med fokus på lave og ingen emissioner, herunder investeringer i luft- og rumfartsteknologier og luftfartsteknik, med støtte fra Aeronautica-planen. I overensstemmelse med udvælgelseskriterierne skal projekterne sikre overensstemmelse med den tekniske vejledning om DNSH-princippet(2021/C58/01), uudvalgte og ufinansierede aktiviteter og den relevante EU-lovgivning og nationale miljølovgivning. </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217"/>
          <w:headerReference w:type="default" r:id="rId218"/>
          <w:footerReference w:type="even" r:id="rId219"/>
          <w:footerReference w:type="default" r:id="rId220"/>
          <w:headerReference w:type="first" r:id="rId221"/>
          <w:footerReference w:type="first" r:id="rId222"/>
          <w:pgSz w:w="16839" w:h="11907" w:orient="landscape"/>
          <w:pgMar w:top="1417" w:right="1134" w:bottom="1417" w:left="1134" w:header="709" w:footer="709" w:gutter="0"/>
          <w:cols w:space="720"/>
          <w:docGrid w:linePitch="360"/>
        </w:sectPr>
      </w:pPr>
    </w:p>
    <w:p>
      <w:pPr>
        <w:pStyle w:val="Heading1"/>
        <w:rPr>
          <w:noProof/>
        </w:rPr>
      </w:pPr>
      <w:r>
        <w:rPr>
          <w:noProof/>
        </w:rPr>
        <w:t>R. KOMPONENT 18: Renovering og udvidelse af kapaciteten i det nationale sundhedssystem</w:t>
      </w:r>
    </w:p>
    <w:p>
      <w:pPr>
        <w:spacing w:before="120" w:after="120" w:line="240" w:lineRule="auto"/>
        <w:jc w:val="both"/>
        <w:rPr>
          <w:rFonts w:ascii="Times New Roman" w:hAnsi="Times New Roman" w:cs="Times New Roman"/>
          <w:noProof/>
          <w:sz w:val="24"/>
        </w:rPr>
      </w:pPr>
      <w:r>
        <w:rPr>
          <w:rFonts w:ascii="Times New Roman" w:hAnsi="Times New Roman"/>
          <w:noProof/>
          <w:sz w:val="24"/>
        </w:rPr>
        <w:t>Sundhedskrisen har vist det spanske sundhedssystems styrke, men har også blotlagt de vanskeligheder, det står over for i forbindelse med situationer, der kræver foregribelse, hurtig reaktion og koordinering, samt behovet for at afhjælpe eksisterende strukturelle problemer og reagere på nye sundhedsmæssige udfordringer i forbindelse med demografiske, sociale, teknologiske eller økonomiske tendenser. Komponenten i den spanske genopretnings- og resiliensplan skal tackle følgende udfordringer: i) sårbarheden over for den globale sundhedskrise, ii) omstillingen af sundhedssystemet som følge af en aldrende befolkning, iii) ligestilling mellem kønnene og iv) systemets bæredygtighed og modstandsdygtighed på lang sigt.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Formålet med denne komponent er: </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Forberede sundhedssystemet på at forebygge og imødegå potentielle globale sundhedstrusler såsom det nuværende covid-19 ved at øge folkesundhedskapaciteten og epidemiologiske overvågningssystemer.</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Tilbyde en sundhedstjeneste med den højeste hastighed, kvalitet, sikkerhed og beslutsomhed, uanset patienternes ressourcer, bopæl, køn, oprindelse eller alder.</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 xml:space="preserve">At holde folk i centrum for sundhedssystemet, forbedre deres deltagelse og omforme sundhedsplejen til menneskers og lokalsamfundenes sundhed. </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Sikre informationssystemer, der måler ikke blot aktivitet, men endelige sundhedsresultater.</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Aktivt at fremme sundhed og trivsel og forebygge sygdomme og afhængighed gennem hele livet.</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Tiltrække og fastholde de bedste fagfolk, der tilbyder dem individuelle og kollektive udviklingsmuligheder.</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Bevæge sig i retning af et digitaliseret nationalt sundhedssystem, der genererer information og viden, og som styrker sundhedsforskning og -innovation som drivkraft for beskæftigelse, vækst, produktivitet og innovation.</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Sikre tilstrækkelig og bæredygtig finansiering til at tackle de nye sundhedsudfordringer i et moderne og udviklet samfund og sikre en effektiv anvendelse af midlerne.</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Styrke og udvikle koordinering og flerniveaustyring i forvaltningen af det nationale sundhedssystem og styrke den territoriale samhørighed. Aktivt fremme strategier til opnåelse af ligestilling mellem kønnene i sundhedssystemet.</w:t>
      </w:r>
    </w:p>
    <w:p>
      <w:pPr>
        <w:spacing w:before="120" w:after="120" w:line="240" w:lineRule="auto"/>
        <w:jc w:val="both"/>
        <w:rPr>
          <w:rFonts w:ascii="Times New Roman" w:hAnsi="Times New Roman" w:cs="Times New Roman"/>
          <w:noProof/>
          <w:sz w:val="24"/>
        </w:rPr>
      </w:pPr>
      <w:r>
        <w:rPr>
          <w:rFonts w:ascii="Times New Roman" w:hAnsi="Times New Roman"/>
          <w:noProof/>
          <w:sz w:val="24"/>
        </w:rPr>
        <w:t>Komponenten i den spanske genopretnings- og resiliensplan skal støtte gennemførelsen af de landespecifikke henstillinger vedrørende effektiv bekæmpelse af pandemien og styrkelse af sundhedssystemets kapacitet og modstandsdygtighed med hensyn til sundhedspersonale og vigtige medicinske produkter og infrastruktur (landespecifik henstilling nr. 1 fra 2020) og støtte beskæftigelsen gennem foranstaltninger til bevarelse af arbejdspladser, effektive ansættelsesincitamenter og kompetenceudvikling (landespecifik henstilling nr. 2 fra 2020).</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keepNext/>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R.1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1 (C18.R1) — Styrkelse af den primære sundhedspleje og pleje i nærmiljøet</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En styrkelse af den primære sundhedspleje er en af de største sundhedsmæssige udfordringer, som Spanien står over for i de kommende år. Formålet med denne reform er at give bedre svar på nye sundhedsproblemer, forbedre den enkeltes erfaringer med pleje for alle og forebygge sygdomme og øge evnen til at løse den primære sundhedspleje.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består i udarbejdelse og gennemførelse af en handlingsplan for udvikling af den strategiske ramme for styrkelse af primær sundhedspleje og pleje i nærmiljøet, som blev vedtaget af centralregeringen og de selvstyrende regioner i 2019. Handlingsplanen skal struktureres omkring aktionslinjer, inden for hvilke den regionale gennemførelse af projekterne skal udformes. Dette omfatter forbedring af de kliniske forvaltningsprocesser, udvidelse og fornyelse af diagnoseudstyr i sundhedscentre, IT-udvikling, uddannelse af fagfolk eller forbedring af infrastrukturer i sundhedscentre og sundheds- og beredskabstjenester. Handlingsplanen godkendes af det interterritoriale råd. Gennemførelsen heraf vil ikke blive finansieret af genopretnings- og resiliensplanen.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reformerne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2 (C18.R2) — Reform af det offentlige sundhedssystem</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reformen er at fastlægge en generel og integreret ramme for levering af offentlig sundhed. Den består i at udvikle et mere ambitiøst, mere integreret og bedre koordineret offentligt sundhedssystem ved hjælp af følgende foranstaltninger:</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En folkesundhedsstrategi, der fastlægger en generel og integreret ramme, som der vil blive taget hensyn til i alle folkesundhedspolitikker, og som skal have en varighed på fem år, med midtvejsevalueringer hvert andet år, hvor gennemførelsesgraden skal analyseres.</w:t>
      </w:r>
      <w:r>
        <w:rPr>
          <w:rFonts w:ascii="Times New Roman" w:hAnsi="Times New Roman"/>
          <w:noProof/>
          <w:color w:val="000000" w:themeColor="text1"/>
          <w:sz w:val="18"/>
          <w:szCs w:val="18"/>
        </w:rPr>
        <w:t xml:space="preserve"> </w:t>
      </w:r>
      <w:r>
        <w:rPr>
          <w:rFonts w:ascii="Times New Roman" w:hAnsi="Times New Roman"/>
          <w:noProof/>
          <w:sz w:val="24"/>
        </w:rPr>
        <w:t>Strategien godkendes efter aftale med det interterritoriale råd for det nationale sundhedssystem.</w:t>
      </w:r>
    </w:p>
    <w:p>
      <w:pPr>
        <w:spacing w:before="120" w:after="120" w:line="240" w:lineRule="auto"/>
        <w:ind w:left="850" w:hanging="425"/>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rPr>
        <w:tab/>
      </w:r>
      <w:r>
        <w:rPr>
          <w:rFonts w:ascii="Times New Roman" w:hAnsi="Times New Roman"/>
          <w:noProof/>
          <w:sz w:val="24"/>
          <w:szCs w:val="24"/>
        </w:rPr>
        <w:t>— Et offentligt sundhedsovervågningsnet og et nyt statsligt center for folkesundhed, som oprettes ved lov eller kongeligt dekret fra regeringen.</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3 (C18. R3) — Styrkelse af samhørigheden, ligheden og universaliteten</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reform er yderligere at styrke adgangen til universel sundhedspleje i Spanien, lige adgang til sundhedspleje og samhørighed inden for sundhedspleje mellem landets forskellige områder. Reformen består af tre søjler:</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Lov om lighed, universalitet og samhørighed i det nationale sundhedssystem Lovens formål er: i) sikre adgang til sundhedspleje for alle, ii) integrere patientrepræsentanter i det spanske nationale sundhedssystems forvaltningsorganer, iii) begrænse brugen af nye egenbetalinger, iv) ændre definitionen af sociale og sundhedsmæssige fordele i det nationale sundhedssystems ansvarsområde, v) sikre koordinering mellem sundheds- og socialmyndighederne, vi) indføre en konsekvensanalyse for alle lovgivningsmæssige ændringer på området og vii) reformere brugen af lægemidler i det nationale sundhedssystem. Denne lov ledsages af en tilbundsgående konsekvensanalyse, der også undersøger dens indvirkning på de offentlige finansers langsigtede holdbarhed, og den offentliggøres.</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 xml:space="preserve">Omlægning af meget komplekse sundhedsydelser i sundhedssystemet ved at konsolidere og udvikle netværket af focal points (CSUR'er) og omlægge meget komplekse ikke-CSUR-behandlinger. </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rFonts w:ascii="Times New Roman" w:hAnsi="Times New Roman"/>
          <w:noProof/>
          <w:sz w:val="24"/>
        </w:rPr>
        <w:tab/>
        <w:t>Øge den fælles portefølje af offentlige sundhedstjenester. Denne reform skal udvide og forbedre tjenesterne i den fælles portefølje med tandpleje, genommedicin, ortopædisk og protestetisk pleje og forebyggende pleje.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reformerne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4 (C18. R4) — Styrkelse af faglige kvalifikationer og reduktion af midlertidig beskæftigelse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Formålet med reformen er at afhjælpe manglen på sygeplejersker og læger, mindske brugen af midlertidige kontrakter, forbedre arbejdsvilkårene og fremme uddannelse og faglig udvikling. </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omfatter to områder:</w:t>
      </w:r>
    </w:p>
    <w:p>
      <w:pPr>
        <w:numPr>
          <w:ilvl w:val="0"/>
          <w:numId w:val="86"/>
        </w:numPr>
        <w:spacing w:before="120" w:after="160" w:line="259" w:lineRule="auto"/>
        <w:ind w:left="1134" w:hanging="425"/>
        <w:jc w:val="both"/>
        <w:rPr>
          <w:rFonts w:ascii="Times New Roman" w:hAnsi="Times New Roman" w:cs="Times New Roman"/>
          <w:noProof/>
          <w:sz w:val="24"/>
          <w:szCs w:val="24"/>
        </w:rPr>
      </w:pPr>
      <w:r>
        <w:rPr>
          <w:rFonts w:ascii="Times New Roman" w:hAnsi="Times New Roman"/>
          <w:noProof/>
          <w:sz w:val="24"/>
          <w:szCs w:val="24"/>
        </w:rPr>
        <w:t>Ændringen af lovgivningen om sundhedspersonale i Spanien (rammelov) med henblik på at reducere antallet af midlertidigt ansatte, sikre besættelsen af stillinger i visse geografiske områder, der ikke i tilstrækkelig grad betjenes ved hjælp af tilskyndelsesforanstaltninger, forbedre miljøet og arbejdsvilkårene gennem foranstaltninger, der bidrager til faglig udvikling og fastholde talent i det spanske system, med forbedringer ikke blot under de økonomiske forhold, men også ved at åbne muligheder inden for undervisning og forskning. I forbindelse med lovændringen skal der udarbejdes rapporter om dens økonomiske konsekvenser og navnlig om de langsigtede virkninger af loven om de offentlige finansers holdbarhed.</w:t>
      </w:r>
    </w:p>
    <w:p>
      <w:pPr>
        <w:numPr>
          <w:ilvl w:val="0"/>
          <w:numId w:val="86"/>
        </w:numPr>
        <w:spacing w:before="120" w:after="160" w:line="259" w:lineRule="auto"/>
        <w:ind w:left="1134" w:hanging="425"/>
        <w:contextualSpacing/>
        <w:jc w:val="both"/>
        <w:rPr>
          <w:rFonts w:ascii="Times New Roman" w:hAnsi="Times New Roman" w:cs="Times New Roman"/>
          <w:noProof/>
        </w:rPr>
      </w:pPr>
      <w:r>
        <w:rPr>
          <w:rFonts w:ascii="Times New Roman" w:hAnsi="Times New Roman"/>
          <w:noProof/>
          <w:sz w:val="24"/>
          <w:szCs w:val="24"/>
        </w:rPr>
        <w:t>Ikrafttrædelsen af et kongeligt lovdekret om forbedring af det specialiserede sundhedsuddannelsessystem. Loven regulerer tværgående uddannelse inden for sundhedsvidenskab, specifikke uddannelsesområder og proceduren for validering og anerkendelse af specialkvalifikationer inden for sundhedsvidenskab.</w:t>
      </w:r>
    </w:p>
    <w:p>
      <w:pPr>
        <w:spacing w:before="120" w:after="160" w:line="259" w:lineRule="auto"/>
        <w:ind w:left="1134"/>
        <w:contextualSpacing/>
        <w:jc w:val="both"/>
        <w:rPr>
          <w:rFonts w:ascii="Times New Roman" w:hAnsi="Times New Roman" w:cs="Times New Roman"/>
          <w:noProof/>
        </w:rPr>
      </w:pP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reform vedrører reform 1 i komponent 11 (C11.R1). </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5 (C18.R5) — Reform af reguleringen af lægemidler og forbedring af adgangen til lægemidler</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Hovedformålet med denne reform er at ajourføre den spanske lovramme for lægemidler og medicinsk udstyr ved at ændre loven om garantier og rationel anvendelse af lægemidler og medicinsk udstyr (kongeligt lovdekret nr. 1/2015 af 24. juli), som er den lovgivning, der i øjeblikket fastlægger de relevante lovgivningsmæssige rammer i Spanien. </w:t>
      </w:r>
      <w:r>
        <w:rPr>
          <w:rFonts w:ascii="Times New Roman" w:hAnsi="Times New Roman"/>
          <w:bCs/>
          <w:noProof/>
          <w:sz w:val="24"/>
        </w:rPr>
        <w:t xml:space="preserve">Systemet skal navnlig tilpasses for at tage højde for nye disruptive videnskabelige udviklinger, uddybe foranstaltningerne til rationalisering af lægemiddeludgifterne, tilskynde til rationel anvendelse af lægemidler og foretage ændringer i lyset af erfaringerne under pandemien. I forbindelse med udarbejdelsen af loven skal der udarbejdes rapporter om dens økonomiske konsekvenser og navnlig om de langsigtede virkninger af loven om de offentlige finansers holdbarhed. </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2022.</w:t>
      </w:r>
    </w:p>
    <w:p>
      <w:pPr>
        <w:keepNext/>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Investering 1 (C18.I1) — Investeringsplan for højteknologisk udstyr i det nationale sundhedssystem</w:t>
      </w:r>
    </w:p>
    <w:p>
      <w:pPr>
        <w:keepNext/>
        <w:spacing w:before="120" w:after="120" w:line="240" w:lineRule="auto"/>
        <w:jc w:val="both"/>
        <w:rPr>
          <w:rFonts w:ascii="Times New Roman" w:hAnsi="Times New Roman" w:cs="Times New Roman"/>
          <w:bCs/>
          <w:noProof/>
          <w:sz w:val="24"/>
        </w:rPr>
      </w:pPr>
      <w:r>
        <w:rPr>
          <w:rFonts w:ascii="Times New Roman" w:hAnsi="Times New Roman"/>
          <w:bCs/>
          <w:noProof/>
          <w:sz w:val="24"/>
        </w:rPr>
        <w:t>Spanien har et niveau af forældelse af udstyr, der er højere end det europæiske gennemsnit, og et lavere gennemsnitligt udstyrsniveau pr. indbygger, men med visse undtagelser såsom MRI-scannere. Den geografiske fordeling af udstyret er også ubalanceret. Formålet med denne investering er at forny eksisterende udstyr og forsyne Spanien med yderligere højteknologisk medicinsk udstyr.</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Investeringen skal dække:</w:t>
      </w:r>
    </w:p>
    <w:p>
      <w:pPr>
        <w:spacing w:before="120" w:after="120" w:line="240" w:lineRule="auto"/>
        <w:ind w:left="709"/>
        <w:jc w:val="both"/>
        <w:rPr>
          <w:rFonts w:ascii="Times New Roman" w:hAnsi="Times New Roman" w:cs="Times New Roman"/>
          <w:bCs/>
          <w:noProof/>
          <w:sz w:val="24"/>
        </w:rPr>
      </w:pPr>
      <w:r>
        <w:rPr>
          <w:rFonts w:ascii="Times New Roman" w:hAnsi="Times New Roman"/>
          <w:bCs/>
          <w:noProof/>
          <w:sz w:val="24"/>
        </w:rPr>
        <w:t>—</w:t>
      </w:r>
      <w:r>
        <w:rPr>
          <w:rFonts w:ascii="Times New Roman" w:hAnsi="Times New Roman"/>
          <w:bCs/>
          <w:noProof/>
          <w:sz w:val="24"/>
        </w:rPr>
        <w:tab/>
        <w:t>Fornyelse af udstyr på grund af forældelse.</w:t>
      </w:r>
    </w:p>
    <w:p>
      <w:pPr>
        <w:spacing w:before="120" w:after="120" w:line="240" w:lineRule="auto"/>
        <w:ind w:left="1418" w:hanging="709"/>
        <w:jc w:val="both"/>
        <w:rPr>
          <w:rFonts w:ascii="Times New Roman" w:hAnsi="Times New Roman" w:cs="Times New Roman"/>
          <w:bCs/>
          <w:noProof/>
          <w:sz w:val="24"/>
        </w:rPr>
      </w:pPr>
      <w:r>
        <w:rPr>
          <w:rFonts w:ascii="Times New Roman" w:hAnsi="Times New Roman"/>
          <w:bCs/>
          <w:noProof/>
          <w:sz w:val="24"/>
        </w:rPr>
        <w:t>—</w:t>
      </w:r>
      <w:r>
        <w:rPr>
          <w:rFonts w:ascii="Times New Roman" w:hAnsi="Times New Roman"/>
          <w:bCs/>
          <w:noProof/>
          <w:sz w:val="24"/>
        </w:rPr>
        <w:tab/>
        <w:t>Udvidelse af udstyrsbestanden for at udligne de interregionale forskelle og gradvis nå EU-gennemsnittet med hensyn til antal pr. million indbyggere med særligt fokus på områder i det spanske territorium, som er underforsynede pr. indbygger sammenlignet med det nationale gennemsnit.</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Planen skal omfatte følgende typer udstyr: lineære acceleratorer, computer-aksial tomografi (CAT), herunder acceleratorer til planlægning magnetisk resonans, positronemissionstomografi (PET), positronemissionstomografi og CAT (PET-CAT), gammakammer, digitalt braquiterapiudstyr, vaskulær angiografi, neurorradiologisk angiografi og hemodynamiske rum.</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31. december 2023.</w:t>
      </w:r>
    </w:p>
    <w:p>
      <w:pPr>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Investering 2 (C18.I2) — aktioner til styrkelse af forebyggelse og sundhedsfremme</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Denne investering har til formål at styrke den forebyggende pleje. Den fokuserer især på at fremme en sund livsstil og et sundt miljø. Den skal dække områder som f.eks.: bekæmpelse af rygning, forebyggelse af alkoholforbrug, forebyggelse af mental sundhed, fremme af sunde livsmiljøer og livsstil, planen for antimikrobiel resistens og forebyggelse af kræft, herunder udbredelse af den europæiske kræftkodeks.</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31. december 2023.</w:t>
      </w:r>
    </w:p>
    <w:p>
      <w:pPr>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Investering 3 (C18.I3) — Øget kapacitet til at reagere på sundhedskriser</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Pandemien har understreget behovet for at styrke kapaciteten til overvågning, tidlig påvisning og hurtig reaktion på kritiske situationer samt behovet for at styrke laboratoriernes og sundhedsinstitutionernes kapacitet. Denne investering består af en række foranstaltninger, der har til formål at øge kapaciteten til at reagere på fremtidige sundhedskriser:</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1. Udstyr til det nye statslige sundhedscenter</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2. Informationssystemet for overvågning af folkesundheden, som skal udvide, forbedre og integrere eksisterende informationssystemer for overførbare og ikkeoverførbare sygdomme i Spanien</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3. Færdiggørelse af Melilla universitetshospital og opførelse af den nye bygning af det nationale dosimetriske center</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4. Forøgelse af kapaciteten i prøvningslaboratoriet for individuelt beskyttelsesudstyr ved det nationale center for beskyttelsesudstyr</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5. Styrkelse af det nationale center for fødevarer og laboratorier for biotoksiner</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6. Teknologiske investeringer i Lægemiddelstyrelsen og den nationale transplantationsorganisation</w:t>
      </w:r>
    </w:p>
    <w:p>
      <w:pPr>
        <w:spacing w:before="120" w:after="120" w:line="240" w:lineRule="auto"/>
        <w:ind w:left="720"/>
        <w:jc w:val="both"/>
        <w:rPr>
          <w:rFonts w:ascii="Times New Roman" w:hAnsi="Times New Roman" w:cs="Times New Roman"/>
          <w:bCs/>
          <w:noProof/>
          <w:sz w:val="24"/>
        </w:rPr>
      </w:pPr>
      <w:r>
        <w:rPr>
          <w:rFonts w:ascii="Times New Roman" w:hAnsi="Times New Roman"/>
          <w:bCs/>
          <w:noProof/>
          <w:sz w:val="24"/>
        </w:rPr>
        <w:t>7. Vurdering af det nationale sundhedssystems resultater under pandemien.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31. december 2023. </w:t>
      </w:r>
    </w:p>
    <w:p>
      <w:pPr>
        <w:keepNext/>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Investering 4 (C18.I4) — Uddannelse af sundhedspersonale og ressourcer til videndeling</w:t>
      </w:r>
    </w:p>
    <w:p>
      <w:pPr>
        <w:keepNext/>
        <w:tabs>
          <w:tab w:val="left" w:pos="1560"/>
        </w:tabs>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Denne investering har til formål at styrke sundhedspersonalets færdigheder og kompetencer med særligt fokus på uddannelse i forbindelse med reformer og investeringer i denne komponent af den spanske genopretnings- og resiliensplan. Det har også til formål at fremme værktøjer, der gør det muligt for sundhedspersonale at dele viden med henblik på at forbedre koordineringen og kvaliteten af sundhedsplejen, herunder på prioriterede områder, der er omfattet af denne komponent. </w:t>
      </w:r>
    </w:p>
    <w:p>
      <w:pPr>
        <w:keepNext/>
        <w:tabs>
          <w:tab w:val="left" w:pos="1560"/>
        </w:tabs>
        <w:spacing w:before="120" w:after="120" w:line="240" w:lineRule="auto"/>
        <w:jc w:val="both"/>
        <w:rPr>
          <w:rFonts w:ascii="Times New Roman" w:hAnsi="Times New Roman" w:cs="Times New Roman"/>
          <w:bCs/>
          <w:noProof/>
          <w:sz w:val="24"/>
        </w:rPr>
      </w:pPr>
      <w:r>
        <w:rPr>
          <w:rFonts w:ascii="Times New Roman" w:hAnsi="Times New Roman"/>
          <w:bCs/>
          <w:noProof/>
          <w:sz w:val="24"/>
        </w:rPr>
        <w:t>Investeringen skal dække fire områder:</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Efter- og videreuddannelse inden for følgende områder: anvendelse af medicinske teknologier og informationssystemer, overvågning af folkesundhed og epidemiologi, patientsikkerhed og professionel sikkerhed, rationel anvendelse af diagnostiske og terapeutiske ressourcer, tidlig påvisning af kræft, mental sundhed, miljøsundhed, forebyggelse af risikofaktorer, tidlig påvisning af kønsrelateret vold, tidlig påvisning af børnemisbrug, bioetik, behandling af slutprodukter, klinisk kommunikation, evidensbaseret medicin, teamwork, forskningsmetodologi, udvikling af ledelsesfærdigheder hos dem, der er ansvarlige for sundhedscentre, uddannelse af personer med speciel sundhedsuddannelse og uddannelse for bedømmere af løbende uddannelse.</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Indførelse af et system til vurdering og godkendelse af ikke-regulerede færdigheder erhvervet af fagfolk i det nationale sundhedssystem</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Samarbejdsværktøjer til håndtering af meget komplekse forhold.</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Udvikling af en elektronisk kortlægning for at visualisere fælles ressourcer og tjenester inden for tidlig pleje og genommedicin i Spanien.</w:t>
      </w:r>
    </w:p>
    <w:p>
      <w:pPr>
        <w:spacing w:before="120" w:after="160" w:line="259" w:lineRule="auto"/>
        <w:ind w:left="720"/>
        <w:contextualSpacing/>
        <w:jc w:val="both"/>
        <w:rPr>
          <w:rFonts w:ascii="Times New Roman" w:hAnsi="Times New Roman" w:cs="Times New Roman"/>
          <w:bCs/>
          <w:noProof/>
          <w:sz w:val="24"/>
          <w:szCs w:val="24"/>
        </w:rPr>
      </w:pP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5 (C18.I5) — Planlægning til rationalisering af forbruget af lægemidler og fremme af bæredygtighed</w:t>
      </w:r>
    </w:p>
    <w:p>
      <w:pPr>
        <w:spacing w:before="120" w:after="120" w:line="240" w:lineRule="auto"/>
        <w:jc w:val="both"/>
        <w:rPr>
          <w:rFonts w:ascii="Times New Roman" w:hAnsi="Times New Roman" w:cs="Times New Roman"/>
          <w:bCs/>
          <w:noProof/>
          <w:sz w:val="24"/>
          <w:szCs w:val="24"/>
        </w:rPr>
      </w:pPr>
      <w:r>
        <w:rPr>
          <w:rFonts w:ascii="Times New Roman" w:hAnsi="Times New Roman"/>
          <w:bCs/>
          <w:noProof/>
          <w:sz w:val="24"/>
          <w:szCs w:val="24"/>
        </w:rPr>
        <w:t>Denne investering skal bestå i gennemførelse af en plan for rationalisering af anvendelsen af lægemidler og medicinsk udstyr. Planen sigter mod at nå følgende mål:</w:t>
      </w:r>
    </w:p>
    <w:p>
      <w:pPr>
        <w:numPr>
          <w:ilvl w:val="0"/>
          <w:numId w:val="88"/>
        </w:numPr>
        <w:spacing w:before="120" w:after="160" w:line="259" w:lineRule="auto"/>
        <w:contextualSpacing/>
        <w:jc w:val="both"/>
        <w:rPr>
          <w:rFonts w:ascii="Times New Roman" w:hAnsi="Times New Roman" w:cs="Times New Roman"/>
          <w:bCs/>
          <w:noProof/>
          <w:sz w:val="24"/>
          <w:szCs w:val="24"/>
        </w:rPr>
      </w:pPr>
      <w:r>
        <w:rPr>
          <w:rFonts w:ascii="Times New Roman" w:hAnsi="Times New Roman"/>
          <w:noProof/>
          <w:sz w:val="24"/>
          <w:szCs w:val="24"/>
        </w:rPr>
        <w:t>anvendelse af lægemidler, hvor det er nødvendigt, og, hvis de anvendes, de lægemidler, der er mest omkostningseffektive</w:t>
      </w:r>
    </w:p>
    <w:p>
      <w:pPr>
        <w:numPr>
          <w:ilvl w:val="0"/>
          <w:numId w:val="88"/>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Reduce polyphary (over fem lægemidler) og unødvendig brug af lægemidler </w:t>
      </w:r>
    </w:p>
    <w:p>
      <w:pPr>
        <w:numPr>
          <w:ilvl w:val="0"/>
          <w:numId w:val="88"/>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mindske den kliniske usikkerhed, der er forbundet med nye lægemidler, ved at øge den videnskabelige viden, forbedre den tilgængelige information og mindske den finansielle usikkerhed.</w:t>
      </w:r>
    </w:p>
    <w:p>
      <w:pPr>
        <w:spacing w:before="120" w:after="160" w:line="259" w:lineRule="auto"/>
        <w:ind w:left="720"/>
        <w:contextualSpacing/>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bCs/>
          <w:noProof/>
          <w:sz w:val="24"/>
          <w:szCs w:val="24"/>
        </w:rPr>
      </w:pPr>
      <w:r>
        <w:rPr>
          <w:rFonts w:ascii="Times New Roman" w:hAnsi="Times New Roman"/>
          <w:bCs/>
          <w:noProof/>
          <w:sz w:val="24"/>
          <w:szCs w:val="24"/>
        </w:rPr>
        <w:t>Planen omfatter oprettelse eller videreudvikling af tre systemer til forbedring af evalueringen af narkotika og sundhedsteknologi i Spanien:</w:t>
      </w:r>
    </w:p>
    <w:p>
      <w:pPr>
        <w:numPr>
          <w:ilvl w:val="0"/>
          <w:numId w:val="90"/>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Oprettelse af netværket til evaluering af lægemidler i det nationale sundhedssystem: Der skal udvikles en teknologisk platform til forvaltning og udveksling af rapporter om vurdering af lægemidler og positionsbestemmelse (som analyserer merværdien af nye lægemidler på grundlag af deres omkostningseffektivitet) i deres forskellige udviklingsstadier.</w:t>
      </w:r>
    </w:p>
    <w:p>
      <w:pPr>
        <w:numPr>
          <w:ilvl w:val="0"/>
          <w:numId w:val="90"/>
        </w:numPr>
        <w:spacing w:before="120" w:after="160" w:line="259" w:lineRule="auto"/>
        <w:contextualSpacing/>
        <w:jc w:val="both"/>
        <w:rPr>
          <w:rFonts w:ascii="Times New Roman" w:hAnsi="Times New Roman" w:cs="Times New Roman"/>
          <w:bCs/>
          <w:noProof/>
          <w:sz w:val="24"/>
          <w:szCs w:val="24"/>
        </w:rPr>
      </w:pPr>
      <w:r>
        <w:rPr>
          <w:rFonts w:ascii="Times New Roman" w:hAnsi="Times New Roman"/>
          <w:bCs/>
          <w:noProof/>
          <w:sz w:val="24"/>
          <w:szCs w:val="24"/>
        </w:rPr>
        <w:t>Udvidelse af systemet for lægemidler med høj virkning (VALTERMED). Dette værktøj er baseret på et register over administrative, kliniske og terapeutiske data til at spore og analysere patienternes oprindelige status og udvikling efter påbegyndelse af den farmakologiske behandling. Formålet med dette nye værktøj skal integreres i informationssystemerne i de selvstyrende regioner og omfatte oplysninger om lægemidlers indvirkning på patienternes livskvalitet.</w:t>
      </w:r>
    </w:p>
    <w:p>
      <w:pPr>
        <w:numPr>
          <w:ilvl w:val="0"/>
          <w:numId w:val="90"/>
        </w:numPr>
        <w:spacing w:before="120" w:after="160" w:line="240" w:lineRule="auto"/>
        <w:contextualSpacing/>
        <w:jc w:val="both"/>
        <w:rPr>
          <w:rFonts w:ascii="Times New Roman" w:hAnsi="Times New Roman" w:cs="Times New Roman"/>
          <w:bCs/>
          <w:noProof/>
          <w:sz w:val="24"/>
          <w:szCs w:val="24"/>
        </w:rPr>
      </w:pPr>
      <w:r>
        <w:rPr>
          <w:rFonts w:ascii="Times New Roman" w:hAnsi="Times New Roman"/>
          <w:bCs/>
          <w:noProof/>
          <w:sz w:val="24"/>
          <w:szCs w:val="24"/>
        </w:rPr>
        <w:t>Oprettelse af det spanske netværk for sundhedsteknologier og -pleje (REDETS). Dette netværk spiller en central rolle med hensyn til at yde videnskabelig og teknisk rådgivning i forbindelse med beslutningstagning om integration af sundhedsteknologier og -tjenester i den offentlige finansiering. Den teknologiske platform skal gøre det muligt at forvalte og dele de forskellige REDETS-produkter i deres forskellige udviklingsstadier mellem de agenturer/enheder, der udgør netværket, og at overvåge overholdelsen af de frister, der er fastsat for hver fase.</w:t>
      </w:r>
    </w:p>
    <w:p>
      <w:pPr>
        <w:spacing w:before="120" w:after="120" w:line="240" w:lineRule="auto"/>
        <w:contextualSpacing/>
        <w:jc w:val="both"/>
        <w:rPr>
          <w:rFonts w:ascii="Times New Roman" w:hAnsi="Times New Roman" w:cs="Times New Roman"/>
          <w:bCs/>
          <w:noProof/>
          <w:sz w:val="24"/>
          <w:szCs w:val="24"/>
        </w:rPr>
      </w:pPr>
      <w:r>
        <w:rPr>
          <w:rFonts w:ascii="Times New Roman" w:hAnsi="Times New Roman"/>
          <w:bCs/>
          <w:noProof/>
          <w:sz w:val="24"/>
          <w:szCs w:val="24"/>
        </w:rPr>
        <w:t>Investeringen vil omfatte projekter vedrørende: fremme af anvendelsen af generiske og biosimilære lægemidler, udvikling og modernisering af ortopædiske og protesetiske tjenesteydelser og produkter, uddannelse af sundhedspersonale i rationel anvendelse af lægemidler og løsninger til fremme af innovation inden for lægemidler.</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investeringen skal være afsluttet senest den 31. december 2023.</w:t>
      </w:r>
    </w:p>
    <w:p>
      <w:pPr>
        <w:spacing w:before="120" w:after="120" w:line="240" w:lineRule="auto"/>
        <w:jc w:val="both"/>
        <w:rPr>
          <w:rFonts w:ascii="Times New Roman" w:hAnsi="Times New Roman" w:cs="Times New Roman"/>
          <w:bCs/>
          <w:noProof/>
          <w:sz w:val="24"/>
          <w:szCs w:val="24"/>
          <w:u w:val="single"/>
        </w:rPr>
      </w:pPr>
      <w:r>
        <w:rPr>
          <w:rFonts w:ascii="Times New Roman" w:hAnsi="Times New Roman"/>
          <w:bCs/>
          <w:noProof/>
          <w:sz w:val="24"/>
          <w:szCs w:val="24"/>
          <w:u w:val="single"/>
        </w:rPr>
        <w:t>Investering 6 (C18.I6) — Sundhedsdatasøen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Denne investering består i oprettelse af en Health Data Lake, som indsamler oplysninger fra forskellige informationssystemer, herunder regionale systemer, med henblik på at lette en analyse af massedata i realtid for at støtte og forbedre diagnosticering og behandling, identifikation af risikofaktorer, tendensanalyse, identifikation af mønstre, forudsigelse af sundhedsrisikosituationer og programmering af ressourcer til håndtering heraf, herunder ved hjælp af algoritmer for kunstig intelligens, og nye skalerbare systemarkitekturer og nye værktøjer til behandling og identifikation af modeller.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31. december 2023.</w:t>
      </w:r>
    </w:p>
    <w:p>
      <w:pPr>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szCs w:val="24"/>
          <w:u w:val="single"/>
        </w:rPr>
        <w:t xml:space="preserve">R.2 </w:t>
      </w:r>
      <w:r>
        <w:rPr>
          <w:rFonts w:ascii="Times New Roman" w:hAnsi="Times New Roman"/>
          <w:b/>
          <w:noProof/>
          <w:sz w:val="24"/>
          <w:u w:val="single"/>
        </w:rPr>
        <w:tab/>
      </w:r>
      <w:r>
        <w:rPr>
          <w:rFonts w:ascii="Times New Roman" w:hAnsi="Times New Roman"/>
          <w:b/>
          <w:noProof/>
          <w:sz w:val="24"/>
          <w:szCs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den 1. februar 2020, medmindre andet er angivet i beskrivelsen af foranstaltningen. Beløbene i tabellen omfatter ikke moms.</w:t>
      </w:r>
    </w:p>
    <w:p>
      <w:pPr>
        <w:spacing w:before="120" w:after="120" w:line="240" w:lineRule="auto"/>
        <w:jc w:val="both"/>
        <w:rPr>
          <w:rFonts w:ascii="Times New Roman" w:hAnsi="Times New Roman" w:cs="Times New Roman"/>
          <w:noProof/>
          <w:sz w:val="24"/>
          <w:lang w:val="en-IE"/>
        </w:rPr>
        <w:sectPr>
          <w:headerReference w:type="even" r:id="rId223"/>
          <w:headerReference w:type="default" r:id="rId224"/>
          <w:footerReference w:type="even" r:id="rId225"/>
          <w:footerReference w:type="default" r:id="rId226"/>
          <w:headerReference w:type="first" r:id="rId227"/>
          <w:footerReference w:type="first" r:id="rId22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835"/>
        <w:gridCol w:w="1276"/>
        <w:gridCol w:w="851"/>
        <w:gridCol w:w="425"/>
        <w:gridCol w:w="709"/>
        <w:gridCol w:w="425"/>
        <w:gridCol w:w="567"/>
        <w:gridCol w:w="5812"/>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83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1985"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581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835"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Referencescenarie</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581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Handlingsplan for primær sundhedspleje og pleje i nærmiljøet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Godkendelse ve</w:t>
            </w:r>
            <w:r>
              <w:rPr>
                <w:rFonts w:ascii="Times New Roman" w:hAnsi="Times New Roman"/>
                <w:i/>
                <w:noProof/>
                <w:color w:val="000000"/>
                <w:sz w:val="18"/>
                <w:szCs w:val="18"/>
              </w:rPr>
              <w:t>d Consejo Interterritorial</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Hovedformålet med handlingsplanen er at styrke den primære sundhedspleje i det nationale sundhedssystem for at give bedre svar på nye sundhedsproblemer, forbedre den enkeltes erfaringer med pleje for alle, forebygge sygdomme og øge kapaciteten af primær sundhedspleje til at løse sundhedsproblemer.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Godkendelse af den spanske folkesundhedsstrategi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Godkendelse ved </w:t>
            </w:r>
            <w:r>
              <w:rPr>
                <w:rFonts w:ascii="Times New Roman" w:hAnsi="Times New Roman"/>
                <w:i/>
                <w:noProof/>
                <w:color w:val="000000"/>
                <w:sz w:val="18"/>
                <w:szCs w:val="18"/>
              </w:rPr>
              <w:t>Consejo Interterritorial Sanidad</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Folkesundhedsstrategien fastlægger de strategiske retningslinjer for foranstaltninger på folkesundhedsområdet i hele Spanien. Formålet med strategien er at forbedre den spanske befolknings sundhed ved at fastlægge de vigtigste linjer og prioriteter, som alle sundhedsforvaltninger skal følge i deres politikker for fremme, forebyggelse og beskyttelse af folkesundheden, i aktioner vedrørende målgrupper, oplysning af borgerne, uddannelse af fagfolk og imødekommelse af deres behov. Strategien skal sikre, at folkesundhed og lige adgang til sundhedspleje tages i betragtning i alle offentlige politikker, og fremme tværsektorielle tiltag på dette område. Den skal have en varighed på fem år med midtvejsevalueringer hvert andet år, hvor gennemførelsesgraden analyseres. Den skal omfatte foranstaltninger og tiltag vedrørende alle folkesundhedsområder, der skal gennemføres i alle sundhedsadministrationers politikker, planer og programmer i Spanien i løbet af strategiens varighed, inden for de frister, der er fastsat i strategien.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Lov om lighed, universalitet og samhørighed i det nationale sundhedssystem</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Lovens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Formålet med lovgivningen og byggestenene er: Sikre adgang til sundhedspleje for alle, integrere patientrepræsentanter i styringsorganerne for det spanske nationale sundhedssystem, begrænse brugen af nye egenbetalinger ændre definitionen af sociale og sundhedsmæssige fordele i det nationale sundhedssystems portefølje, sikre koordinering mellem sundheds- og socialmyndigheder og indføre en konsekvensanalyse for alle lovgivningsmæssige ændringer på området og endelig reformere brugen af lægemidler i det nationale sundhedssystem. Denne lov skal ledsages af en tilbundsgående konsekvensanalyse, der også skal offentliggøres, og som også undersøger dens indvirkning på de offentlige finansers langsigtede holdbarhed.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Lov om rammelov for personale i sundhedsvæsenet.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lovændringen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Rammestatutten er den grundlæggende norm, der regulerer adgangen til sundhedspersonalets status og regulerer tilrådighedsstillelse af stillinger, forfremmelse, mobilitet og arbejdsvilkår. Ændringsforslaget har følgende formål:  — Reducere antallet af tidsbegrænsede kontrakter.  — Sikre, at udstationering af fagfolk i visse geografiske områder ikke i tilstrækkelig grad betjenes ved hjælp af tilskyndelsesforanstaltninger.  — Forbedre miljøet og arbejdsvilkårene ved hjælp af foranstaltninger, der bidrager til faglig udvikling og fastholdelse af talent i det spanske system, ved at forbedre ikke blot de økonomiske vilkår, men også ved at åbne op for muligheder inden for sundhedspleje, undervisning og forskning.  Denne lov skal ledsages af en tilbundsgående konsekvensanalyse, der også undersøger dens indvirkning på de offentlige finansers holdbarhed på lang sigt.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Lov om garantier og rationel anvendelse af lægemidler</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Lovens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loven om garantier og rationel anvendelse af lægemidler. Nogle af hovedformålene med denne reform er: - Ændring af referenceprissystemet ved at indføre elementer, der øger konkurrencen.  — Konsolidere fjernudlevering af lægemidler.  — Tillade, at de sociale og sundhedsmæssige centres lægemiddellagre forbindes med de primære apotekertjenester.  — Ændre systemet til beregning af det kvartalsvise bidrag til det nationale sundhedssystem fra producenter, importører og leverandører af lægemidler og sundhedsprodukter, der finansieres med offentlige midler.  — Præcisere kompetencerne med hensyn til kontrol med reklame for narkotika.  — Ændre de satser, der anvendes af Lægemiddelstyrelsen.  — Ændre og ajourføre sanktionsproceduren og overtrædelser.  Denne lov skal ledsages af en tilbundsgående konsekvensanalyse, der også undersøger dens indvirkning på de offentlige finansers langsigtede holdbarhed.</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Godkendelse af planen for investering i udstyr og fordeling af midler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Godkendelse ved </w:t>
            </w:r>
            <w:r>
              <w:rPr>
                <w:rFonts w:ascii="Times New Roman" w:hAnsi="Times New Roman"/>
                <w:i/>
                <w:noProof/>
                <w:color w:val="000000"/>
                <w:sz w:val="18"/>
                <w:szCs w:val="18"/>
              </w:rPr>
              <w:t>Consejo Interterritorial Sanidad</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812"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Consejo Interterritorial godkender planen og fordelingen af midlerne og fastsætter mekanismer for tildeling af 796 100 000 EUR i tilskud.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279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Installation/udskiftning/udvidelse af udstyr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750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Sætte mindst 750 nye udstyrsanordninger i drift gennem fornyelser, udvidelser eller nye installationer i hele landet.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Kampagner og aktioner på folkesundhedsområdet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11</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Der er gennemført mindst 11 formidlings- eller screeningkampagner på folkesundhedsområdet på områder som f.eks.: bekæmpelse af rygning, forebyggelse af alkoholforbrug, forebyggelse af mental sundhed, fremme af sunde livsmiljøer og livsstil, planen for antimikrobiel resistens og forebyggelse af kræft, herunder udbredelse af den europæiske kræftkodeks. Kampagnerne skal være landsdækkende. Formidling sker via radio, trykte medier, internettet, direkte markedsføring og udendørs aktioner.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Informationssystem for netværket for overvågning af folkesundheden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Driftscertifikat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Et overvågningssystem for staten og de selvstyrende regioner (informationssystemet for overvågning af folkesundheden) skal være operationelt for at muliggøre tidlig varsling og hurtig reaktion med henblik på at opdage problemer, der kan udgøre en sundhedsrisiko, formidle oplysninger fra de kompetente myndigheder og lette gennemførelsen af kontrolforanstaltninger.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Sundhedspersoner, der er uddannet inden for rammerne af planer for efter- og videreuddannelse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90 000 sundhedspersoner har fuldført i alt 360 000 point for videreuddannelse, hvilket svarer til i alt 3.6 mio. uddannelsestimer inden for rammerne af efteruddannelsesplaner, der er udformet i overensstemmelse med prioriteterne i definitionen af C18.I4. Uddannelsen skal omfatte: Anvendelse af medicinske teknologier og informationssystemer, overvågning af folkesundheden og epidemiologi, patientsikkerhed og professionel sikkerhed, rationel brug af diagnostiske og terapeutiske ressourcer, tidlig påvisning af kræft, mental sundhed, miljøsundhed, forebyggelse af risikofaktorer, tidlig påvisning af kønsbaseret vold, tidlig påvisning af børnemisbrug, bioetik, klinisk kommunikation, evidensbaseret medicin, samarbejde med andre, undersøgelsesmetoder, udvikling af ledelseskompetencer hos ledere af sundhedsinstitutioner og uddannelse af mentorer inden for specialiseret sundhedsuddannelse. Uddannelse er blevet gennemført som klassebaseret uddannelse, online og blandet læring og er blevet gennemført af kvalificerede sundhedspersoner og fagfolk inden for sundhedsuddannelse.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VALTERMED-systemet og platformen for vurdering af sundhedsteknologier og fordele ved det nationale sundhedssystem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Driftscertifikat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Netværket mellem sundhedsministeriet og de selvstyrende regioner til evaluering af lægemidler er operationelt, VALTERMED-systemet er operationelt, og der er oprettet en platform for det spanske netværk af agenturer for vurdering af sundhedsteknologier og fordele ved det nationale sundhedssystem (SNS REDETS).</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C18.I6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Sundhedsdatasøen er operationel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17</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En sundhedsdatasø skal være operationel for staten og omfatte mindst 17 selvstyrende regioner eller byer med det formål at muliggøre massedataanalyse med henblik på identifikation og forbedring af diagnoser og behandlinger.</w:t>
            </w:r>
          </w:p>
        </w:tc>
      </w:tr>
    </w:tbl>
    <w:p>
      <w:pPr>
        <w:spacing w:before="120" w:after="120" w:line="240" w:lineRule="auto"/>
        <w:ind w:left="709"/>
        <w:jc w:val="both"/>
        <w:rPr>
          <w:rFonts w:ascii="Times New Roman" w:hAnsi="Times New Roman" w:cs="Times New Roman"/>
          <w:noProof/>
          <w:sz w:val="24"/>
          <w:szCs w:val="24"/>
        </w:rPr>
        <w:sectPr>
          <w:headerReference w:type="even" r:id="rId229"/>
          <w:headerReference w:type="default" r:id="rId230"/>
          <w:footerReference w:type="even" r:id="rId231"/>
          <w:footerReference w:type="default" r:id="rId232"/>
          <w:headerReference w:type="first" r:id="rId233"/>
          <w:footerReference w:type="first" r:id="rId234"/>
          <w:pgSz w:w="16839" w:h="11907" w:orient="landscape"/>
          <w:pgMar w:top="1417" w:right="1134" w:bottom="1417" w:left="1134" w:header="709" w:footer="709" w:gutter="0"/>
          <w:cols w:space="720"/>
          <w:docGrid w:linePitch="360"/>
        </w:sectPr>
      </w:pPr>
    </w:p>
    <w:p>
      <w:pPr>
        <w:pStyle w:val="Heading1"/>
        <w:rPr>
          <w:noProof/>
        </w:rPr>
      </w:pPr>
      <w:r>
        <w:rPr>
          <w:noProof/>
        </w:rPr>
        <w:t>S. KOMPONENT 19: Digitale færdigheder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Hovedformålet med denne komponent i den spanske genopretnings- og resiliensplan er at øge niveauet af digitale færdigheder (grundlæggende og avancerede) gennem foranstaltninger rettet mod forskellige befolkningsgrupper. Erhvervelsen af disse færdigheder er afgørende for, at Spanien kan udnytte de muligheder, som den øgede digitalisering af økonomien og samfundet giver.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Målrettede foranstaltninger til digitalisering af SMV'er supplerer de foranstaltninger, der er planlagt i planens komponent 13 (Støtte til SMV'er). Tiltag, der skal øge antallet af højtkvalificerede personer inden for IKT, supplerer aktionerne i komponent 15 (digital konnektivitet). Endelig bør foranstaltninger til digitalisering af skoler styrke foranstaltningerne i komponent 21 (uddannelse) og øge virkningen af de foranstaltninger, der er planlagt i komponent 23 (arbejdsmarkedet).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Komponenten vedrører landespecifikke henstillinger om fremme af innovation (landespecifik henstilling nr. 3 fra 2019), adgang til digital læring (landespecifik henstilling nr. 2 fra 2020) og fremskyndelse af modne offentlige investeringsprojekter, fremme af private investeringer for at fremme den økonomiske genopretning og fokus på investeringer i den grønne og digitale omstilling (landespecifik henstilling nr. 3 fra 2020).</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ind w:left="709"/>
        <w:jc w:val="both"/>
        <w:rPr>
          <w:rFonts w:ascii="Times New Roman" w:hAnsi="Times New Roman" w:cs="Times New Roman"/>
          <w:b/>
          <w:i/>
          <w:noProof/>
          <w:color w:val="4F81BD" w:themeColor="accent1"/>
          <w:sz w:val="24"/>
          <w:szCs w:val="24"/>
        </w:rPr>
      </w:pPr>
      <w:r>
        <w:rPr>
          <w:rFonts w:ascii="Times New Roman" w:hAnsi="Times New Roman"/>
          <w:b/>
          <w:noProof/>
          <w:sz w:val="24"/>
          <w:szCs w:val="24"/>
          <w:u w:val="single"/>
        </w:rPr>
        <w:t xml:space="preserve">S.1 </w:t>
      </w:r>
      <w:r>
        <w:rPr>
          <w:rFonts w:ascii="Times New Roman" w:hAnsi="Times New Roman"/>
          <w:b/>
          <w:noProof/>
          <w:sz w:val="24"/>
          <w:u w:val="single"/>
        </w:rPr>
        <w:tab/>
      </w:r>
      <w:r>
        <w:rPr>
          <w:rFonts w:ascii="Times New Roman" w:hAnsi="Times New Roman"/>
          <w:b/>
          <w:noProof/>
          <w:sz w:val="24"/>
          <w:szCs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1 (C19.R1) — National plan for digitale kompetencer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Denne foranstaltning består af en strategisk plan, der har til formål at: i) uddannelse i digitale færdigheder for den brede befolkning ii) at slå bro over den digitale kløft mellem kønnene iii) digitalisering af uddannelsessystemet og udvikling af digitale færdigheder til læring iv) tilvejebringelse af digitale færdigheder med henblik på bedre beskæftigelsesegnethed for private arbejdstagere og arbejdsløse, v) støtte til offentlige arbejdstageres digitale færdigheder vi) udvikling af digitale færdigheder i SMV'er og vii) at øge antallet af IKT-specialister. Investeringerne i komponenten skal bidrage til at opfylde målene i den strategiske plan.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31. januar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 1 (C19. I1) — Transverse digitale færdigheder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denne foranstaltning er at forbedre befolkningens digitale færdigheder. Foranstaltningen skal omfatte: a) udvikling af et netværk af støttecentre for uddannelse i grundlæggende og avancerede digitale færdigheder, b) e-integrationsforanstaltninger med henblik på at styrke ældre eller fremme uddannelse af sårbare børn, c) forskellige bevidstgørelseskampagner, d) aktiviteter, der skal øge den almene befolknings digitale kapacitet, og e) udvikling af digitale ressourcer til udbredelse af og undervisning i spansk. Foranstaltningen skal også fremme kvinders digitale indflydelse og fremme videnskabelige og teknologiske erhverv i skolen.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 xml:space="preserve">Gennemførelsen af reformerne skal være afsluttet senest den 31. december 2025.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2 (C19. I2) — Digital omstilling af uddannelse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forbedre adgangen til digital læring ved at stille bærbart udstyr til rådighed for mindst 300 000 studerende fra sårbare grupper i offentlige eller offentligt støttede skoler. Det skal også installere, ajourføre og vedligeholde interaktive digitale systemer (IDS) i mindst 240 000 klasseværelser i offentlige og offentligt støttede skoler for at muliggøre fjernundervisning og blandet læring. Foranstaltningen skal også støtte udarbejdelsen eller revisionen af en digital strategi i mindst 22 000 offentlige og offentligt støttede skolecentre, og den skal omfatte digital uddannelse af 700 000 lærere.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Denne foranstaltning skal også støtte gennemførelsen af planen for digital erhvervsuddannelse. Dette skal opnås ved hjælp af et digitalt akkrediteringsstyringsværktøj for faglige kvalifikationer, der er erhvervet gennem erhvervserfaring (som forventes at tjene til akkreditering af 3 500 000 personer), og gennem oprettelse af digitale værktøjer til forvaltning af erhvervsuddannelser til beskæftigelse i overensstemmelse med det nationale kvalifikationskatalog og med registret over erhvervsuddannelseslivet. Endelig skal foranstaltningen støtte skabelsen af simulatorer, digitale tvillinger og teknologiske knudepunkter.</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 xml:space="preserve">Gennemførelsen af reformerne skal være afsluttet senest den 31. december 2025.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Investering 3 (C19. I3) — Digitale færdigheder til beskæftigelse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denne foranstaltning er at styrke de digitale færdigheder hos de beskæftigede og hos de arbejdsløse — navnlig de unge — for at forbedre deres beskæftigelsesegnethed. Uddannelsen skal også være rettet mod den offentlige forvaltning (bl.a. sundhedspersonale, tropper og søfarende i de væbnede styrker og reservister med særlig disponibilitet, personale, der arbejder inden for social sikring og finans). Endelig skal foranstaltningen støtte digitaliseringen af SMV'er gennem aktioner rettet mod specifikke sektorer i økonomien og uddannelse af personer, der kan fungere som forandringskatalysatorer, herunder eksperter og virksomhedsledere.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Målet med denne investering er at nå ud til den del af arbejdsstyrken, der har meget begrænsede digitale færdigheder. Ifølge data fra det nationale statistiske institut (INE) i 2019 tegner denne del af befolkningen sig for 3,62 % af den samlede arbejdsstyrke, svarende til ca. 832 600 personer. Denne foranstaltning sigter mod at nå op på 60 % af denne gruppe, hvilket svarer til målet om knap 500 000 personer.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Gennemførelsen af reformerne skal være afsluttet senest den 31. december 2025.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4 (C19. I4) — Digitale fagfolk</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foranstaltning er at tilpasse de eksisterende erhvervsuddannelsestilbud om højtudviklede IT-færdigheder og at tiltrække og fastholde talent på disse områder. Det skal også skabe åbne uddannelsesressourcer til digital undervisning inden for kunstig intelligens og cybersikkerhed på forskellige niveauer.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Foranstaltningen omfatter særlige kurser for ca. 20 000 IT-eksperter med fokus på cybersikkerhed samt finansiering af 4-årige stipendier for at tiltrække og fastholde talent inden for avancerede digitale færdigheder. </w:t>
      </w:r>
    </w:p>
    <w:p>
      <w:pPr>
        <w:spacing w:before="120" w:after="120" w:line="240" w:lineRule="auto"/>
        <w:jc w:val="both"/>
        <w:rPr>
          <w:rFonts w:ascii="Times New Roman" w:hAnsi="Times New Roman" w:cs="Times New Roman"/>
          <w:b/>
          <w:noProof/>
          <w:sz w:val="24"/>
          <w:szCs w:val="24"/>
          <w:u w:val="single"/>
        </w:rPr>
      </w:pPr>
      <w:r>
        <w:rPr>
          <w:rFonts w:ascii="Times New Roman" w:hAnsi="Times New Roman"/>
          <w:noProof/>
          <w:sz w:val="24"/>
          <w:szCs w:val="24"/>
        </w:rPr>
        <w:t xml:space="preserve">Gennemførelsen af reformerne skal være afsluttet senest den 31. december 2025. </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S.2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startdatoen for foranstaltningen, medmindre andet er angivet i beskrivelsen af foranstaltningen. Beløbene i tabellen omfatter ikke moms.</w:t>
      </w:r>
    </w:p>
    <w:p>
      <w:pPr>
        <w:spacing w:before="120" w:after="120" w:line="240" w:lineRule="auto"/>
        <w:jc w:val="both"/>
        <w:rPr>
          <w:rFonts w:ascii="Times New Roman" w:hAnsi="Times New Roman" w:cs="Times New Roman"/>
          <w:b/>
          <w:bCs/>
          <w:noProof/>
          <w:sz w:val="24"/>
          <w:u w:val="single"/>
          <w:lang w:val="en-IE"/>
        </w:rPr>
      </w:pPr>
    </w:p>
    <w:p>
      <w:pPr>
        <w:spacing w:before="120" w:after="120" w:line="240" w:lineRule="auto"/>
        <w:ind w:left="709"/>
        <w:jc w:val="both"/>
        <w:rPr>
          <w:rFonts w:ascii="Times New Roman" w:hAnsi="Times New Roman" w:cs="Times New Roman"/>
          <w:noProof/>
          <w:sz w:val="24"/>
          <w:lang w:val="en-IE"/>
        </w:rPr>
      </w:pPr>
    </w:p>
    <w:p>
      <w:pPr>
        <w:spacing w:before="120" w:after="120" w:line="240" w:lineRule="auto"/>
        <w:ind w:left="709"/>
        <w:jc w:val="both"/>
        <w:rPr>
          <w:rFonts w:ascii="Times New Roman" w:hAnsi="Times New Roman" w:cs="Times New Roman"/>
          <w:noProof/>
          <w:sz w:val="24"/>
          <w:lang w:val="en-IE"/>
        </w:rPr>
        <w:sectPr>
          <w:headerReference w:type="even" r:id="rId235"/>
          <w:headerReference w:type="default" r:id="rId236"/>
          <w:footerReference w:type="even" r:id="rId237"/>
          <w:footerReference w:type="default" r:id="rId238"/>
          <w:headerReference w:type="first" r:id="rId239"/>
          <w:footerReference w:type="first" r:id="rId24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11"/>
        <w:gridCol w:w="818"/>
        <w:gridCol w:w="852"/>
        <w:gridCol w:w="2700"/>
        <w:gridCol w:w="1420"/>
        <w:gridCol w:w="853"/>
        <w:gridCol w:w="568"/>
        <w:gridCol w:w="710"/>
        <w:gridCol w:w="427"/>
        <w:gridCol w:w="568"/>
        <w:gridCol w:w="5683"/>
      </w:tblGrid>
      <w:tr>
        <w:trPr>
          <w:trHeight w:val="309"/>
          <w:tblHeader/>
        </w:trPr>
        <w:tc>
          <w:tcPr>
            <w:tcW w:w="711"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Nummer</w:t>
            </w:r>
          </w:p>
        </w:tc>
        <w:tc>
          <w:tcPr>
            <w:tcW w:w="818"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Foranstaltning</w:t>
            </w:r>
          </w:p>
        </w:tc>
        <w:tc>
          <w:tcPr>
            <w:tcW w:w="852"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Milepæl</w:t>
            </w:r>
            <w:r>
              <w:rPr>
                <w:rFonts w:ascii="Times New Roman" w:hAnsi="Times New Roman"/>
                <w:noProof/>
                <w:sz w:val="18"/>
                <w:szCs w:val="18"/>
              </w:rPr>
              <w:t xml:space="preserve"> </w:t>
            </w:r>
            <w:r>
              <w:rPr>
                <w:rFonts w:ascii="Times New Roman" w:hAnsi="Times New Roman"/>
                <w:b/>
                <w:bCs/>
                <w:noProof/>
                <w:color w:val="000000" w:themeColor="text1"/>
                <w:sz w:val="18"/>
                <w:szCs w:val="18"/>
              </w:rPr>
              <w:t xml:space="preserve"> / Mål</w:t>
            </w:r>
          </w:p>
        </w:tc>
        <w:tc>
          <w:tcPr>
            <w:tcW w:w="2700"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Betegnelse</w:t>
            </w:r>
          </w:p>
        </w:tc>
        <w:tc>
          <w:tcPr>
            <w:tcW w:w="1420"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Kvalitativ indikator for milepæle</w:t>
            </w:r>
          </w:p>
        </w:tc>
        <w:tc>
          <w:tcPr>
            <w:tcW w:w="2131" w:type="dxa"/>
            <w:gridSpan w:val="3"/>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Kvantitativ indikator for målet</w:t>
            </w:r>
          </w:p>
        </w:tc>
        <w:tc>
          <w:tcPr>
            <w:tcW w:w="995" w:type="dxa"/>
            <w:gridSpan w:val="2"/>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Tid</w:t>
            </w:r>
          </w:p>
        </w:tc>
        <w:tc>
          <w:tcPr>
            <w:tcW w:w="5683"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sz w:val="18"/>
                <w:szCs w:val="18"/>
              </w:rPr>
              <w:t>Beskrivelse af hver milepæl og hvert mål</w:t>
            </w:r>
          </w:p>
        </w:tc>
      </w:tr>
      <w:tr>
        <w:trPr>
          <w:trHeight w:val="309"/>
          <w:tblHeader/>
        </w:trPr>
        <w:tc>
          <w:tcPr>
            <w:tcW w:w="71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18"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70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42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3"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Enhed</w:t>
            </w:r>
          </w:p>
        </w:tc>
        <w:tc>
          <w:tcPr>
            <w:tcW w:w="568"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Reference</w:t>
            </w:r>
          </w:p>
        </w:tc>
        <w:tc>
          <w:tcPr>
            <w:tcW w:w="710"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Målsætning</w:t>
            </w:r>
          </w:p>
        </w:tc>
        <w:tc>
          <w:tcPr>
            <w:tcW w:w="427"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Q</w:t>
            </w:r>
          </w:p>
        </w:tc>
        <w:tc>
          <w:tcPr>
            <w:tcW w:w="568"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bCs/>
                <w:noProof/>
                <w:color w:val="000000" w:themeColor="text1"/>
                <w:sz w:val="18"/>
                <w:szCs w:val="18"/>
              </w:rPr>
              <w:t>År</w:t>
            </w:r>
          </w:p>
        </w:tc>
        <w:tc>
          <w:tcPr>
            <w:tcW w:w="5683"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285</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C19.R1</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 af den nationale digitale kompetenceplan</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henvisning</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 af den nationale plan for digitale kompetencer. Planen har til formål at: (1) uddannelse i digitale færdigheder for den brede befolkning (2) mindskelse af den digitale kløft mellem kønnene; (3) digitalisering af uddannelsessystemet og udvikling af digitale færdigheder til læring (4, 5) tilvejebringelse af digitale færdigheder med henblik på bedre beskæftigelsesegnethed for private og offentlige arbejdstagere (6) udvikling af digitale færdigheder i SMV'er og (7) forøgelse af antallet af IKT-specialister, som ikke er bindende for regioner og lokale enheder.</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286</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C19.I1</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Uddannelse af borgerne i digitale færdigheder.</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75</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75 % af budgettet skal være afsat til foranstaltninger under investeringen til uddannelse af borgerne i digitale færdigheder.</w:t>
            </w:r>
          </w:p>
        </w:tc>
      </w:tr>
      <w:tr>
        <w:trPr>
          <w:trHeight w:val="309"/>
        </w:trPr>
        <w:tc>
          <w:tcPr>
            <w:tcW w:w="71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287</w:t>
            </w:r>
          </w:p>
        </w:tc>
        <w:tc>
          <w:tcPr>
            <w:tcW w:w="81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C19.I1</w:t>
            </w:r>
          </w:p>
        </w:tc>
        <w:tc>
          <w:tcPr>
            <w:tcW w:w="85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00"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Afslutning af aktioner til forbedring af den digitale kapacitet</w:t>
            </w:r>
          </w:p>
        </w:tc>
        <w:tc>
          <w:tcPr>
            <w:tcW w:w="1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Kvalifikationsbevis fra nationale digitale uddannelsescentre</w:t>
            </w:r>
          </w:p>
        </w:tc>
        <w:tc>
          <w:tcPr>
            <w:tcW w:w="85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1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68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Oprettelse af et nationalt netværk af digitale færdigheder (herunder reformen af 1 500 erhvervsuddannelsescentre) og gennemførelse af oplysningskampagner og kommunikationsplaner</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288</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C19.I1</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Uddannelse af borgerne i digitale færdigheder.</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2 600 000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2 600 000 borgere uddannet i digitale færdigheder i overensstemmelse med foranstaltningerne under foranstaltningen. Uddannelsen skal omfatte mindst 10 ECTS. </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289</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C19.I2</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Program til at udstyre offentlige og offentligt støttede skoler med digitale værktøjer</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Godkendelse af programmet med henblik på at udstyre mindst 240 000 klasseværelser, uddanne 700 000 lærere og forberede eller revidere den digitale strategi for mindst 22 000 offentlige og offentligt støttede skolecentre og stille 300 000 internetforbundne digitale enheder (bærbare computere, tablets) til rådighed i offentlige og offentligt støttede skoler i samarbejde med de selvstyrende regioner. Programmet er bindende for de selvstyrende regioner.</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290</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C19.I2</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Afslutning af aktioner vedrørende den digitale omstilling af uddannelse</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Certificering fra den statslige og regionale forvaltning</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Fuldførelse af aktionerne vedrørende den digitale omstilling af uddannelse, herunder certificering af digitale færdigheder for mindst 80 % af de 700 000 lærere, der er uddannet i digitale færdigheder og mindst 22 000 centre har støttet udarbejdelsen og revisionen af deres digitale strategier. </w:t>
            </w:r>
          </w:p>
        </w:tc>
      </w:tr>
      <w:tr>
        <w:trPr>
          <w:trHeight w:val="309"/>
        </w:trPr>
        <w:tc>
          <w:tcPr>
            <w:tcW w:w="71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291</w:t>
            </w:r>
          </w:p>
        </w:tc>
        <w:tc>
          <w:tcPr>
            <w:tcW w:w="81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C19.I2</w:t>
            </w:r>
          </w:p>
        </w:tc>
        <w:tc>
          <w:tcPr>
            <w:tcW w:w="85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27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Levering af opkoblede digitale enheder i offentlige og offentligt støttede skoler for at slå bro over den "digitale kløft" og udstyre mindst 240 000 klasseværelser</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Nummer</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0</w:t>
            </w:r>
          </w:p>
        </w:tc>
        <w:tc>
          <w:tcPr>
            <w:tcW w:w="71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themeColor="text1"/>
                <w:sz w:val="18"/>
                <w:szCs w:val="18"/>
              </w:rPr>
            </w:pPr>
            <w:r>
              <w:rPr>
                <w:rFonts w:ascii="Times New Roman" w:hAnsi="Times New Roman"/>
                <w:noProof/>
                <w:color w:val="000000"/>
                <w:sz w:val="18"/>
                <w:szCs w:val="18"/>
              </w:rPr>
              <w:t>540 000</w:t>
            </w:r>
          </w:p>
        </w:tc>
        <w:tc>
          <w:tcPr>
            <w:tcW w:w="42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568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Færdiggjort levering af opkoblet og interaktivt digitalt udstyr til mindst 300 000 elever og udstyr til mindst 240 000 klasseværelser i offentlige og offentligt støttede skoler for at slå bro over den "digitale kløft". Statslige og regionale myndigheders certificering af anskaffelse og levering af udstyret.</w:t>
            </w:r>
          </w:p>
        </w:tc>
      </w:tr>
      <w:tr>
        <w:trPr>
          <w:trHeight w:val="309"/>
        </w:trPr>
        <w:tc>
          <w:tcPr>
            <w:tcW w:w="71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292</w:t>
            </w:r>
          </w:p>
        </w:tc>
        <w:tc>
          <w:tcPr>
            <w:tcW w:w="81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C19.I3</w:t>
            </w:r>
          </w:p>
        </w:tc>
        <w:tc>
          <w:tcPr>
            <w:tcW w:w="85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700"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Digital uddannelse med henblik på beskæftigelse</w:t>
            </w:r>
          </w:p>
        </w:tc>
        <w:tc>
          <w:tcPr>
            <w:tcW w:w="1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1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450 000</w:t>
            </w:r>
          </w:p>
        </w:tc>
        <w:tc>
          <w:tcPr>
            <w:tcW w:w="42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68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450 000 personer deltog i kurser om digitale færdigheder. Hver træning skal have mindst 15 ECTS-point. </w:t>
            </w:r>
          </w:p>
        </w:tc>
      </w:tr>
      <w:tr>
        <w:trPr>
          <w:trHeight w:val="309"/>
        </w:trPr>
        <w:tc>
          <w:tcPr>
            <w:tcW w:w="71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293</w:t>
            </w:r>
          </w:p>
        </w:tc>
        <w:tc>
          <w:tcPr>
            <w:tcW w:w="81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C19.I4</w:t>
            </w:r>
          </w:p>
        </w:tc>
        <w:tc>
          <w:tcPr>
            <w:tcW w:w="85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27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Stipendieprogrammer for digitale talenter </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w:t>
            </w:r>
          </w:p>
        </w:tc>
        <w:tc>
          <w:tcPr>
            <w:tcW w:w="85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Nummer</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0</w:t>
            </w:r>
          </w:p>
        </w:tc>
        <w:tc>
          <w:tcPr>
            <w:tcW w:w="71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themeColor="text1"/>
                <w:sz w:val="18"/>
                <w:szCs w:val="18"/>
              </w:rPr>
            </w:pPr>
            <w:r>
              <w:rPr>
                <w:rFonts w:ascii="Times New Roman" w:hAnsi="Times New Roman"/>
                <w:noProof/>
                <w:color w:val="000000"/>
                <w:sz w:val="18"/>
                <w:szCs w:val="18"/>
              </w:rPr>
              <w:t>300</w:t>
            </w:r>
          </w:p>
        </w:tc>
        <w:tc>
          <w:tcPr>
            <w:tcW w:w="42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2024</w:t>
            </w:r>
          </w:p>
        </w:tc>
        <w:tc>
          <w:tcPr>
            <w:tcW w:w="568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300 modtagere har tildelt stipendieprogrammer til digital talenttiltrækning og fastholdelse (kumulativ 2021-2024). Hver træning skal have mindst 240 ECTS-point.</w:t>
            </w:r>
          </w:p>
        </w:tc>
      </w:tr>
      <w:tr>
        <w:trPr>
          <w:trHeight w:val="309"/>
        </w:trPr>
        <w:tc>
          <w:tcPr>
            <w:tcW w:w="71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294</w:t>
            </w:r>
          </w:p>
        </w:tc>
        <w:tc>
          <w:tcPr>
            <w:tcW w:w="81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C19.I4</w:t>
            </w:r>
          </w:p>
        </w:tc>
        <w:tc>
          <w:tcPr>
            <w:tcW w:w="852"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T</w:t>
            </w:r>
          </w:p>
        </w:tc>
        <w:tc>
          <w:tcPr>
            <w:tcW w:w="2700"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szCs w:val="18"/>
              </w:rPr>
              <w:t>Uddannelse af IT-fagfolk</w:t>
            </w:r>
          </w:p>
        </w:tc>
        <w:tc>
          <w:tcPr>
            <w:tcW w:w="142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 </w:t>
            </w:r>
          </w:p>
        </w:tc>
        <w:tc>
          <w:tcPr>
            <w:tcW w:w="853"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Nummer</w:t>
            </w:r>
          </w:p>
        </w:tc>
        <w:tc>
          <w:tcPr>
            <w:tcW w:w="56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0</w:t>
            </w:r>
          </w:p>
        </w:tc>
        <w:tc>
          <w:tcPr>
            <w:tcW w:w="710" w:type="dxa"/>
            <w:shd w:val="clear" w:color="auto" w:fill="C6EFCE"/>
            <w:noWrap/>
          </w:tcPr>
          <w:p>
            <w:pPr>
              <w:spacing w:after="0" w:line="240" w:lineRule="auto"/>
              <w:jc w:val="right"/>
              <w:rPr>
                <w:rFonts w:ascii="Times New Roman" w:hAnsi="Times New Roman" w:cs="Times New Roman"/>
                <w:noProof/>
                <w:color w:val="000000" w:themeColor="text1"/>
                <w:sz w:val="18"/>
                <w:szCs w:val="18"/>
              </w:rPr>
            </w:pPr>
            <w:r>
              <w:rPr>
                <w:rFonts w:ascii="Times New Roman" w:hAnsi="Times New Roman"/>
                <w:noProof/>
                <w:color w:val="000000"/>
                <w:sz w:val="18"/>
                <w:szCs w:val="18"/>
              </w:rPr>
              <w:t>18 000</w:t>
            </w:r>
          </w:p>
        </w:tc>
        <w:tc>
          <w:tcPr>
            <w:tcW w:w="427"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Q4</w:t>
            </w:r>
          </w:p>
        </w:tc>
        <w:tc>
          <w:tcPr>
            <w:tcW w:w="56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2025</w:t>
            </w:r>
          </w:p>
        </w:tc>
        <w:tc>
          <w:tcPr>
            <w:tcW w:w="568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Mindst 18 000 IT-fagfolk, der er uddannet i specialiserede kurser på hver 250 timer. </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241"/>
          <w:headerReference w:type="default" r:id="rId242"/>
          <w:footerReference w:type="even" r:id="rId243"/>
          <w:footerReference w:type="default" r:id="rId244"/>
          <w:headerReference w:type="first" r:id="rId245"/>
          <w:footerReference w:type="first" r:id="rId246"/>
          <w:pgSz w:w="16839" w:h="11907" w:orient="landscape"/>
          <w:pgMar w:top="1417" w:right="1134" w:bottom="1417" w:left="1134" w:header="709" w:footer="709" w:gutter="0"/>
          <w:cols w:space="720"/>
          <w:docGrid w:linePitch="360"/>
        </w:sectPr>
      </w:pPr>
    </w:p>
    <w:p>
      <w:pPr>
        <w:pStyle w:val="Heading1"/>
        <w:rPr>
          <w:noProof/>
        </w:rPr>
      </w:pPr>
      <w:r>
        <w:rPr>
          <w:noProof/>
        </w:rPr>
        <w:t>T. KOMPONENT 20: Strategisk plan for Boost Erhvervsuddannelse</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Komponenten i den spanske genopretnings- og resiliensplan har til formål at ændre og modernisere erhvervsuddannelsessystemet og tilpasse det til ændringerne i de produktive sektorer i økonomien. Med henblik herpå søger komponenten at bidrage til at forbedre arbejdstagernes beskæftigelsesegnethed og jobmobilitet og øge produktiviteten og konkurrenceevnen.</w:t>
      </w:r>
      <w:r>
        <w:rPr>
          <w:rFonts w:ascii="Times New Roman" w:hAnsi="Times New Roman"/>
          <w:noProof/>
          <w:color w:val="000000" w:themeColor="text1"/>
          <w:sz w:val="24"/>
          <w:szCs w:val="24"/>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Eksisterende misforhold mellem udbudte og efterspurgte kvalifikationer skal afhjælpes for at forbedre balancen mellem befolkningens uddannelsesniveau og arbejdsmarkedets behov, navnlig ved at støtte opkvalificering af lavtuddannede i retning af mere mellemlange kvalifikationer og omskoling. </w:t>
      </w:r>
      <w:r>
        <w:rPr>
          <w:rFonts w:ascii="Times New Roman" w:hAnsi="Times New Roman"/>
          <w:noProof/>
          <w:sz w:val="24"/>
          <w:szCs w:val="24"/>
        </w:rPr>
        <w:t xml:space="preserve">Der skal lægges særlig vægt på tekniske og digitale færdigheder, afhjælpe den kønsbestemte kvalifikationskløft og gøre videregående erhvervsuddannelsesprogrammer mere attraktive for at forbedre tilmeldingen. Komponenten skal også give mulighed for anerkendelse af eksisterende færdigheder med henblik på at give adgang til nye uddannelsesmuligheder og nye kvalifikationer i et mere integreret erhvervsuddannelsessystem, der ledsager folk både i den obligatoriske skolegang — hvilket bidrager til at mindske antallet af elever, der forlader skolen for tidligt — og gennem hele arbejdslivet. </w:t>
      </w:r>
    </w:p>
    <w:p>
      <w:pPr>
        <w:spacing w:before="120" w:after="12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szCs w:val="24"/>
        </w:rPr>
        <w:t>Komponenten bidrager til at adressere de landespecifikke henstillinger vedrørende mindskelse af skolefrafald (landespecifik henstilling nr. 2 fra 2019) øge samarbejdet mellem uddannelse og erhvervsliv med henblik på at forbedre udbuddet af arbejdsmarkedsrelevante færdigheder og kvalifikationer, navnlig inden for informations- og kommunikationsteknologi (landespecifik henstilling nr. 2 fra 2019) støtte beskæftigelsen gennem foranstaltninger til bevarelse af arbejdspladser, effektive incitamenter til ansættelse og kompetenceudvikling (landespecifik henstilling nr. 2 fra 2020) forbedre adgangen til digital læring (landespecifik henstilling nr. 2 fra 2020).</w:t>
      </w:r>
    </w:p>
    <w:p>
      <w:pPr>
        <w:spacing w:before="120" w:after="12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ind w:left="709"/>
        <w:jc w:val="both"/>
        <w:rPr>
          <w:rFonts w:ascii="Times New Roman" w:hAnsi="Times New Roman" w:cs="Times New Roman"/>
          <w:b/>
          <w:i/>
          <w:noProof/>
          <w:color w:val="4F81BD" w:themeColor="accent1"/>
          <w:sz w:val="24"/>
          <w:szCs w:val="24"/>
        </w:rPr>
      </w:pPr>
      <w:r>
        <w:rPr>
          <w:rFonts w:ascii="Times New Roman" w:hAnsi="Times New Roman"/>
          <w:b/>
          <w:noProof/>
          <w:sz w:val="24"/>
          <w:szCs w:val="24"/>
          <w:u w:val="single"/>
        </w:rPr>
        <w:t xml:space="preserve">T.1 </w:t>
      </w:r>
      <w:r>
        <w:rPr>
          <w:rFonts w:ascii="Times New Roman" w:hAnsi="Times New Roman"/>
          <w:b/>
          <w:noProof/>
          <w:sz w:val="24"/>
          <w:u w:val="single"/>
        </w:rPr>
        <w:tab/>
      </w:r>
      <w:r>
        <w:rPr>
          <w:rFonts w:ascii="Times New Roman" w:hAnsi="Times New Roman"/>
          <w:b/>
          <w:noProof/>
          <w:sz w:val="24"/>
          <w:szCs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 xml:space="preserve">Reform 1 (C20.R1) — Plan for modernisering af erhvervsuddannelse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zCs w:val="24"/>
          <w:shd w:val="clear" w:color="auto" w:fill="FFFFFF"/>
        </w:rPr>
        <w:t xml:space="preserve">Denne reform består i vedtagelse og gennemførelse af en plan for modernisering af erhvervsuddannelserne. Planen blev fremlagt den 22. juli 2020. </w:t>
      </w:r>
      <w:r>
        <w:rPr>
          <w:rFonts w:ascii="Times New Roman" w:hAnsi="Times New Roman"/>
          <w:noProof/>
          <w:sz w:val="24"/>
          <w:szCs w:val="24"/>
        </w:rPr>
        <w:t>Formålet er at sikre, at erhvervsuddannelsessystemet svarer til et arbejdsmarked, der kræver mellemkvalifikationer, og derved opfylde behovene i produktionssektoren (navnlig teknikere/seniorteknikere) og sikre, at erhvervsuddannelse og kvalifikationer forbedrer beskæftigelsesmulighederne.</w:t>
      </w:r>
      <w:r>
        <w:rPr>
          <w:rFonts w:ascii="Times New Roman" w:hAnsi="Times New Roman"/>
          <w:noProof/>
          <w:color w:val="000000" w:themeColor="text1"/>
          <w:sz w:val="24"/>
          <w:szCs w:val="24"/>
        </w:rPr>
        <w:t xml:space="preserve"> </w:t>
      </w:r>
      <w:r>
        <w:rPr>
          <w:rFonts w:ascii="Times New Roman" w:hAnsi="Times New Roman"/>
          <w:noProof/>
          <w:color w:val="000000"/>
          <w:sz w:val="24"/>
          <w:szCs w:val="24"/>
          <w:shd w:val="clear" w:color="auto" w:fill="FFFFFF"/>
        </w:rPr>
        <w:t>Den udpeger erhvervsuddannelse som et centralt element i indsatsen for at sætte skub i den økonomiske og sociale drivkraft i kølvandet på pandemien.</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Planen fokuserer på etablering af et enkelt integreret erhvervsuddannelsessystem, der giver uddannelse og erhvervsmæssige kvalifikationer til hele befolkningen, herunder studerende på erhvervsuddannelser i uddannelsessystemet og erhvervsuddannelse med henblik på beskæftigelse.</w:t>
      </w:r>
      <w:r>
        <w:rPr>
          <w:rFonts w:ascii="Times New Roman" w:hAnsi="Times New Roman"/>
          <w:noProof/>
          <w:color w:val="000000"/>
          <w:sz w:val="24"/>
          <w:szCs w:val="24"/>
          <w:shd w:val="clear" w:color="auto" w:fill="FFFFFF"/>
        </w:rPr>
        <w:t xml:space="preserve"> </w:t>
      </w:r>
      <w:r>
        <w:rPr>
          <w:rFonts w:ascii="Times New Roman" w:hAnsi="Times New Roman"/>
          <w:noProof/>
          <w:color w:val="000000"/>
          <w:sz w:val="24"/>
          <w:szCs w:val="24"/>
        </w:rPr>
        <w:t>Det skal gøre erhvervsuddannelser til et fast tilbagevendende element i den faglige udvikling for alle arbejdstagere gennem hele deres arbejdsliv.</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Det vigtigste instrument i planen er det nationale katalog over erhvervsmæssige kvalifikationer, som skal revideres og ajourføres, herunder ved at integrere anvendelsen af digital og grøn omstilling. Den skal omfatte udformningen af nye erhvervsuddannelseskvalifikationer inden for alle sektorer, men med fokus på de tolv strategiske sektorer, hvor erhvervsuddannelserne skal intensiveres under hensyntagen til regionale behov.</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Planen gennemføres ved vedtagelse af flere kongelige love, der svarer til udarbejdelsen af nye læseplaner.</w:t>
      </w:r>
      <w:r>
        <w:rPr>
          <w:rFonts w:ascii="Times New Roman" w:hAnsi="Times New Roman"/>
          <w:noProof/>
          <w:color w:val="000000"/>
          <w:sz w:val="24"/>
          <w:szCs w:val="24"/>
          <w:shd w:val="clear" w:color="auto" w:fill="FFFFFF"/>
        </w:rPr>
        <w:t xml:space="preserve"> I alt forventes der gradvist at blive etableret omkring 42 nye grader i perioden 2021-2023, der omfatter mellem-, højere og specialiserede grader. Reformen skal også omfatte en tilbagevendende revision af erhvervsuddannelseskvalifikationer og udformning af nye erhvervsuddannelsesgrader, der opfylder produktionssektorernes behov, med særlig fokus på de sektorer, der prioriteres i den strategiske plan for erhvervsuddannelse.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Andre prioriterede områder i planen omfatter innovation, anvendt forskning, iværksætteri, digitalisering og bæredygtighed som centrale elementer i erhvervsuddannelse; og at placere virksomheder som en integreret del af erhvervsuddannelserne og fremme samarbejdet mellem den offentlige og den private sektor i systemet, navnlig ved at fremme erhvervsuddannelsernes tosporede karakter. Med henblik herpå bygger reformen på et fælles arbejde mellem ministerier, virksomheder og arbejdsmarkedets parter for at identificere de færdigheder, der er behov for i økonomien.</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zCs w:val="24"/>
          <w:shd w:val="clear" w:color="auto" w:fill="FFFFFF"/>
        </w:rPr>
        <w:t>Gennemførelsen af reformerne skal være afsluttet senest den 31. december 2020.</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 xml:space="preserve">Reform 2 (C20.R2) — lov om regulering af det integrerede erhvervsuddannelsessystem knyttet til det nationale kvalifikationssystem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I overensstemmelse med målene i moderniseringsplanen for erhvervsuddannelse og med rammerne for det nationale kvalifikationssystem fremlægger og vedtager Spanien en lov, der regulerer det integrerede erhvervsuddannelsessystem.</w:t>
      </w:r>
      <w:r>
        <w:rPr>
          <w:rFonts w:ascii="Times New Roman" w:hAnsi="Times New Roman"/>
          <w:noProof/>
          <w:color w:val="000000"/>
          <w:sz w:val="24"/>
          <w:szCs w:val="24"/>
          <w:shd w:val="clear" w:color="auto" w:fill="FFFFFF"/>
        </w:rPr>
        <w:t xml:space="preserve"> Den nye lov skal integrere de to nuværende særskilte erhvervsuddannelsessystemer, det ene i uddannelsessystemet og det, der vedrører uddannelse med henblik på beskæftigelse, i et enkelt system. Den fastlægger et integreret system for livslang læring for befolkningen uanset alder og i enhver personlig situation eller arbejdssituation, der tilbyder supplerende og kumulative kurser, der fører til nye kvalifikationer. </w:t>
      </w:r>
      <w:r>
        <w:rPr>
          <w:rFonts w:ascii="Times New Roman" w:hAnsi="Times New Roman"/>
          <w:noProof/>
          <w:color w:val="000000"/>
          <w:sz w:val="24"/>
          <w:szCs w:val="24"/>
        </w:rPr>
        <w:t xml:space="preserve">Den skal også ledsages af en orienteringsproces gennem hele livet.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 xml:space="preserve">I den første forberedelsesfase udarbejdes et lovforslag af ministeriet for uddannelse og erhvervsuddannelse med konsensus mellem arbejdsmarkedets parter og regionale regeringer. </w:t>
      </w:r>
      <w:r>
        <w:rPr>
          <w:rFonts w:ascii="Times New Roman" w:hAnsi="Times New Roman"/>
          <w:noProof/>
          <w:color w:val="000000"/>
          <w:sz w:val="24"/>
          <w:szCs w:val="24"/>
          <w:shd w:val="clear" w:color="auto" w:fill="FFFFFF"/>
        </w:rPr>
        <w:t xml:space="preserve">Ministerrådet forventes at godkende lovforslaget inden den 31. december 2021, og vedtagelsen i parlamentet finder sted senest den 30. juni 2022.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Den endeligt godkendte lov, der forener de to tidligere eksisterende erhvervsuddannelsessystemer, har til formål at modernisere systemet, navnlig ved: </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szCs w:val="24"/>
        </w:rPr>
        <w:t xml:space="preserve">fokusere på opkvalificering af lavtuddannede og forbedre deres beskæftigelsesegnethed </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szCs w:val="24"/>
        </w:rPr>
        <w:t xml:space="preserve">tackling af misforholdet mellem udbudte og efterspurgte kvalifikationer </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szCs w:val="24"/>
        </w:rPr>
        <w:t>ajourføring af det nationale katalog over erhvervsmæssige kvalifikationer, tilpasning til økonomiens fremtidige behov, herunder støtte til grøn og digital omstilling og</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szCs w:val="24"/>
        </w:rPr>
        <w:t>gøre videregående erhvervsuddannelsesprogrammer mere attraktive med henblik på at forbedre tilmeldingen.</w:t>
      </w:r>
    </w:p>
    <w:p>
      <w:pPr>
        <w:spacing w:before="120" w:after="120" w:line="240" w:lineRule="auto"/>
        <w:jc w:val="both"/>
        <w:rPr>
          <w:rFonts w:ascii="Times New Roman" w:hAnsi="Times New Roman" w:cs="Times New Roman"/>
          <w:noProof/>
          <w:sz w:val="24"/>
          <w:szCs w:val="24"/>
          <w:u w:val="single"/>
          <w:shd w:val="clear" w:color="auto" w:fill="FFFFFF"/>
        </w:rPr>
      </w:pPr>
      <w:r>
        <w:rPr>
          <w:rFonts w:ascii="Times New Roman" w:hAnsi="Times New Roman"/>
          <w:noProof/>
          <w:color w:val="000000"/>
          <w:sz w:val="24"/>
          <w:szCs w:val="24"/>
          <w:shd w:val="clear" w:color="auto" w:fill="FFFFFF"/>
        </w:rPr>
        <w:t>Gennemførelsen af reformerne skal være afsluttet senest den 30. juni 2022.</w:t>
      </w:r>
    </w:p>
    <w:p>
      <w:pPr>
        <w:spacing w:before="120" w:after="120" w:line="240" w:lineRule="auto"/>
        <w:jc w:val="both"/>
        <w:rPr>
          <w:rFonts w:ascii="Times New Roman" w:hAnsi="Times New Roman" w:cs="Times New Roman"/>
          <w:noProof/>
          <w:sz w:val="24"/>
          <w:szCs w:val="24"/>
          <w:u w:val="single"/>
          <w:shd w:val="clear" w:color="auto" w:fill="FFFFFF"/>
        </w:rPr>
      </w:pPr>
      <w:r>
        <w:rPr>
          <w:rFonts w:ascii="Times New Roman" w:hAnsi="Times New Roman"/>
          <w:noProof/>
          <w:sz w:val="24"/>
          <w:szCs w:val="24"/>
          <w:u w:val="single"/>
          <w:shd w:val="clear" w:color="auto" w:fill="FFFFFF"/>
        </w:rPr>
        <w:t xml:space="preserve">Investering 1 (C20.I1) — Omkvalificering og opkvalificering af arbejdsstyrken i forbindelse med erhvervsmæssige kvalifikationer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Denne investering omfatter fire aktioner, der tager sigte på at bevare og forbedre erhvervskvalifikationerne hos den erhvervsaktive befolkning over 16 år (beskæftigede eller arbejdsløse):</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Vurdering og formel godkendelse af faglige kvalifikationer, der er erhvervet gennem erhvervserfaring og ikke-formel uddannelse. Med henblik herpå har den til formål at sikre, at eksisterende færdigheder anerkendes formelt, og giver adgang til videreuddannelse og nye kvalifikationer. Planen skal i alt investere i </w:t>
      </w:r>
      <w:r>
        <w:rPr>
          <w:rStyle w:val="normaltextrun"/>
          <w:rFonts w:ascii="Times New Roman" w:hAnsi="Times New Roman"/>
          <w:noProof/>
          <w:color w:val="000000"/>
          <w:sz w:val="24"/>
          <w:szCs w:val="24"/>
          <w:shd w:val="clear" w:color="auto" w:fill="FFFFFF"/>
        </w:rPr>
        <w:t>registrering, evaluering og</w:t>
      </w:r>
      <w:r>
        <w:rPr>
          <w:rFonts w:ascii="Times New Roman" w:hAnsi="Times New Roman"/>
          <w:noProof/>
          <w:color w:val="000000"/>
          <w:sz w:val="24"/>
          <w:szCs w:val="24"/>
          <w:shd w:val="clear" w:color="auto" w:fill="FFFFFF"/>
        </w:rPr>
        <w:t xml:space="preserve"> akkreditering af 3 000 000 kompetenceenheder over fire år.</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Digitalt modulopbygget tilbud til medarbejdere med tilknytning til kompetenceenheder i det nationale katalog over erhvervsmæssige kvalifikationer. </w:t>
      </w:r>
      <w:r>
        <w:rPr>
          <w:rFonts w:ascii="Times New Roman" w:hAnsi="Times New Roman"/>
          <w:noProof/>
          <w:color w:val="000000"/>
          <w:sz w:val="24"/>
          <w:szCs w:val="24"/>
        </w:rPr>
        <w:t>Foranstaltningen skal være rettet mod beskæftigelse og skal sikre, at mindst 300 000 arbejdstagere får digital uddannelse med henblik på faglig udvikling og sætter dem i stand til at erhverve højere færdigheder.</w:t>
      </w:r>
      <w:r>
        <w:rPr>
          <w:rStyle w:val="normaltextrun"/>
          <w:rFonts w:ascii="Times New Roman" w:hAnsi="Times New Roman"/>
          <w:noProof/>
          <w:color w:val="000000"/>
          <w:shd w:val="clear" w:color="auto" w:fill="FFFFFF"/>
        </w:rPr>
        <w:t xml:space="preserve"> </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Gøre erhvervsuddannelserne mere fleksible og tilgængelige gennem oprettelsen af " aulas Mentor ". Foranstaltningen skal tilbyde ikke-formel uddannelse i overensstemmelse med det nationale katalog over erhvervsmæssige kvalifikationer for personer i landdistrikter eller personer, der risikerer affolkning. Målet er at give adgang til uddannelse på disse områder, som er ikke-formelle, og som stadig udgør akkrediteret uddannelse. Der skal være særligt fokus på kvinder med henblik på at åbne nye muligheder for læring, jobskabelse og forbedring af den lokale økonomi. </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Modulopbygget opkvalificering og omskoling af ansatte og arbejdsløse. Foranstaltningen skal tilbyde uddannelse i nye og hurtigt skiftende fremadskuende færdigheder, der forventes at skabe job i fremtiden, herunder grøn omstilling, plejesektoren og andre strategiske sektorer, der er identificeret i moderniseringsplanen. </w:t>
      </w:r>
      <w:r>
        <w:rPr>
          <w:rFonts w:ascii="Times New Roman" w:hAnsi="Times New Roman"/>
          <w:noProof/>
          <w:color w:val="000000"/>
          <w:sz w:val="24"/>
          <w:szCs w:val="24"/>
        </w:rPr>
        <w:t>Der gives prioritet til de grupper, der er mest sårbare og tilbyder uddannelse med henblik på omskoling og opkvalificering af mindst 700 000 beskæftigede og arbejdsløse.</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shd w:val="clear" w:color="auto" w:fill="FFFFFF"/>
        </w:rPr>
        <w:t>Gennemførelsen af reformerne skal være afsluttet senest den 31. december 2024.</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u w:val="single"/>
          <w:shd w:val="clear" w:color="auto" w:fill="FFFFFF"/>
        </w:rPr>
        <w:t>Investering 2 (C20.I2): Digital omstilling af erhvervsuddannelse</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Denne investering har til formål at ændre og modernisere erhvervsuddannelserne for at støtte digitaliseringen af hver produktionssektor, men giver også prioritet til miljømæssig bæredygtighed som en nøglekompetence. Den skal omfatte fire aktioner: </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Digital og grøn uddannelse af lærere inden for erhvervsuddannelse, der sætter dem i stand til at fungere som en central søjle i uddannelsesprocessen og som løftestænger for den digitale og økologiske omstilling, der anvendes på de respektive produktive sektorer for erhvervsuddannelse. Der fokuseres på at sikre lærernes tekniske, faglige og pædagogiske færdigheder for at understøtte kvaliteten af uddannelsessystemet. </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rPr>
        <w:t>Omdannelse af klasseværelser til anvendte teknologirum, der genskaber arbejdsmiljøer ved hjælp af teknologiske ressourcer og giver eleverne mulighed for at nærme sig teknologier, som de senere skal finde i virksomhederne.</w:t>
      </w:r>
      <w:r>
        <w:rPr>
          <w:rFonts w:ascii="Times New Roman" w:hAnsi="Times New Roman"/>
          <w:noProof/>
          <w:color w:val="000000"/>
          <w:sz w:val="24"/>
          <w:szCs w:val="24"/>
        </w:rPr>
        <w:t xml:space="preserve"> Investeringen skal gøre det muligt at oprette mindst 600 "teknologiklasseværelser".</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Oprettelse af "iværksætterklasser" i offentlige erhvervsuddannelsescentre, som giver eleverne mulighed for som en integreret del af deres faglige kompetence at forstå iværksætterkultur og skaber et grundlag for, at de kan køre eller starte en virksomhed. Spanien sikrer, at foranstaltningen er finanspolitisk bæredygtig efter genopretnings- og resiliensfacilitetens ophør, herunder ved at anvende andre EU-finansieringskilder.</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rPr>
        <w:t>Oprettelse af et netværk af 50 ekspertisecentre, der stimulerer forskning og innovation inden for erhvervsuddannelse.</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Investeringerne i klasseværelserne inden for teknologi og iværksætterkultur skal sammen med ekspertisecentrene med fokus på forskning og innovation spille en vigtig rolle i moderniseringen af erhvervsstrukturen, støtten til omstillingen af økonomien og forbedringen af konkurrenceevnen. Desuden anses de for at bidrage til at fremme virksomhedsetablering i strategiske sektorer og øge SMV'ernes størrelse og produktivitet.</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zCs w:val="24"/>
          <w:shd w:val="clear" w:color="auto" w:fill="FFFFFF"/>
        </w:rPr>
        <w:t>Gennemførelsen af reformerne skal være afsluttet senest den 31. december 2024.</w:t>
      </w:r>
    </w:p>
    <w:p>
      <w:pPr>
        <w:keepNext/>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Investering 3 (C20.I3): Innovation og internationalisering af erhvervsuddannelse</w:t>
      </w:r>
    </w:p>
    <w:p>
      <w:pPr>
        <w:keepNext/>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shd w:val="clear" w:color="auto" w:fill="FFFFFF"/>
        </w:rPr>
        <w:t xml:space="preserve">Denne investering har til formål at øge det samlede udbud af erhvervsuddannelse ved at skabe i alt 135 000 nye pladser (sammenlignet med udgangen af 2020) frem til 2024, genskabe balancen mellem udbuddet og virksomhedernes behov og effektivt afhjælpe regionale og lokale mangler. Der fokuseres på at imødekomme arbejdsmarkedets efterspørgsel efter kvalifikationer på mellemniveau. </w:t>
      </w:r>
      <w:r>
        <w:rPr>
          <w:rFonts w:ascii="Times New Roman" w:hAnsi="Times New Roman"/>
          <w:noProof/>
          <w:color w:val="000000"/>
          <w:sz w:val="24"/>
          <w:szCs w:val="24"/>
        </w:rPr>
        <w:t xml:space="preserve">Den territoriale fordeling af de nye erhvervsuddannelsespladser baseres på en behovsvurdering og følger efter drøftelser med relevante interessenter for at sikre, at udbuddet effektivt afhjælper regionale/lokale mangler. Det forventes at blive aftalt i forbindelse med uddannelsessektorkonferencerne med de selvstyrende regioner.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sz w:val="24"/>
        </w:rPr>
        <w:t>Med henblik på at fremme kommunikationen på et fremmedsprog som et nøgleelement i faglige præstationer skal tosprogethed fremmes inden for VET som et strategisk mål.</w:t>
      </w:r>
      <w:r>
        <w:rPr>
          <w:rFonts w:ascii="Times New Roman" w:hAnsi="Times New Roman"/>
          <w:noProof/>
          <w:color w:val="000000" w:themeColor="text1"/>
          <w:sz w:val="24"/>
        </w:rPr>
        <w:t xml:space="preserve"> Fokus skal være på både lærer- og elevundervisning i fremmedsprog som led i det formelle forløb gennem konvertering af 3 700 cyklusser til tosprogede tilbud.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Desuden har investeringen til formål at udvikle innovations- og videnoverførselsprojekter mellem erhvervsuddannelsescentre og virksomheder med henblik på at gøre dem til et centralt element i den nye erhvervsuddannelsesmodel. Investeringen tager også sigte på at omdanne uddannelsescyklusser på mellemhøjt og højt niveau til tosprogede cyklusser som svar på den stigende internationalisering af virksomheder og globaliseringen af økonomierne.</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Spanien sikrer, at foranstaltningen er finanspolitisk bæredygtig efter genopretnings- og resiliensfacilitetens ophør, herunder ved at anvende andre EU-finansieringskilder.</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Gennemførelsen af reformerne skal være afsluttet senest den 31. december 2024.</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T.2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den 1. februar 2020 , medmindre andet er angivet i beskrivelsen af foranstaltningen. Beløbene i tabellen omfatter ikke moms.</w:t>
      </w:r>
    </w:p>
    <w:p>
      <w:pPr>
        <w:spacing w:before="120" w:after="120" w:line="240" w:lineRule="auto"/>
        <w:jc w:val="both"/>
        <w:rPr>
          <w:rFonts w:ascii="Times New Roman" w:hAnsi="Times New Roman" w:cs="Times New Roman"/>
          <w:b/>
          <w:noProof/>
          <w:sz w:val="24"/>
          <w:u w:val="single"/>
        </w:rPr>
      </w:pPr>
    </w:p>
    <w:p>
      <w:pPr>
        <w:spacing w:before="120" w:after="120" w:line="240" w:lineRule="auto"/>
        <w:ind w:left="709"/>
        <w:jc w:val="both"/>
        <w:rPr>
          <w:rFonts w:ascii="Times New Roman" w:hAnsi="Times New Roman" w:cs="Times New Roman"/>
          <w:noProof/>
          <w:sz w:val="24"/>
        </w:rPr>
      </w:pPr>
      <w:r>
        <w:rPr>
          <w:rFonts w:ascii="Times New Roman" w:hAnsi="Times New Roman"/>
          <w:i/>
          <w:iCs/>
          <w:noProof/>
          <w:color w:val="4F81BD" w:themeColor="accent1"/>
          <w:sz w:val="24"/>
        </w:rPr>
        <w:t xml:space="preserve"> </w:t>
      </w:r>
    </w:p>
    <w:p>
      <w:pPr>
        <w:spacing w:before="120" w:after="120" w:line="240" w:lineRule="auto"/>
        <w:ind w:left="709"/>
        <w:jc w:val="both"/>
        <w:rPr>
          <w:rFonts w:ascii="Times New Roman" w:hAnsi="Times New Roman" w:cs="Times New Roman"/>
          <w:noProof/>
          <w:sz w:val="24"/>
        </w:rPr>
        <w:sectPr>
          <w:headerReference w:type="even" r:id="rId247"/>
          <w:headerReference w:type="default" r:id="rId248"/>
          <w:footerReference w:type="even" r:id="rId249"/>
          <w:footerReference w:type="default" r:id="rId250"/>
          <w:headerReference w:type="first" r:id="rId251"/>
          <w:footerReference w:type="first" r:id="rId25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851"/>
        <w:gridCol w:w="850"/>
        <w:gridCol w:w="2693"/>
        <w:gridCol w:w="1418"/>
        <w:gridCol w:w="850"/>
        <w:gridCol w:w="993"/>
        <w:gridCol w:w="992"/>
        <w:gridCol w:w="425"/>
        <w:gridCol w:w="567"/>
        <w:gridCol w:w="4820"/>
      </w:tblGrid>
      <w:tr>
        <w:trPr>
          <w:trHeight w:val="309"/>
          <w:tblHeader/>
        </w:trPr>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693"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418"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283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482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693"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418"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993"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Referencescenarie</w:t>
            </w:r>
          </w:p>
        </w:tc>
        <w:tc>
          <w:tcPr>
            <w:tcW w:w="992"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482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 for modernisering af erhvervsuddannelserne og tilhørende kongelige lovtekster</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på MEFP's websted og præsentation ved premierministeren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Forelæggelse ved premierministeren af planen for modernisering af erhvervsuddannelserne og offentliggørelse i statstidende af 8 kongelige lovtekster til gennemførelse af planen, svarende til 5 læseplaner for specialister, 2 bachelorgrad og 1 videregående uddannelser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loven om det fælles integrerede erhvervsuddannelsessystem med det formål at modernisere systemet</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EU-Tidende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loven om det fælles integrerede erhvervsuddannelsessystem med det formål at modernisere systemet. Loven harmoniserer de to tidligere eksisterende erhvervsuddannelsessystemer og moderniserer dem ved at: i) fokusere på opkvalificering af lavtuddannede og forbedre deres beskæftigelsesegnethed ii) håndtering af misforhold mellem udbudte og efterspurgte færdigheder; iii) ajourføring af det nationale katalog over erhvervsmæssige kvalifikationer og tilpasning heraf til økonomiens fremtidige behov, herunder støtte til grøn og digital omstilling iv) gøre videregående erhvervsuddannelsesprogrammer mere attraktive med henblik på at forbedre tilmeldingen.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Nye kompetenceenheder i det nationale katalog over erhvervsmæssige kvalifikationer </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3 000 000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Registrering, evaluering og akkreditering af 3 000 000 kompetenceenheder i det nationale katalog over erhvervsmæssige kvalifikationer opnået gennem erhvervserfaring og ikke-formelle uddannelsesforløb.</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Modulopbygget uddannelse med henblik på opkvalificering og omskoling af beskæftigede og arbejdsløse </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Levering af modulopbygget digital uddannelse til opkvalificering og omskoling (heraf mindst 300 000 uddannede arbejdstagere) og modulopbygget uddannelse med henblik på omskoling og opkvalificering af beskæftigede og arbejdsløse (mindst 700 000 personer uddannet).</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299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Centre for ekspertise og innovation inden for erhvervsuddannelse</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50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Oprettelse af 50 centre for ekspertise og innovation inden for erhvervsuddannelse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50 000 nye erhvervsuddannelsespladser sammenlignet med udgangen af 2020.</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934 204</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984 204</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Akkumuleret oprettelse af mindst 50 000 nye erhvervsuddannelsespladser sammenlignet med udgangen af 2020. Den territoriale fordeling af de nye erhvervsuddannelsespladser baseres på en behovsvurdering og følger efter drøftelser med relevante interessenter for at sikre, at udbuddet effektivt afhjælper regionale/lokale mangler. Dato for basislinjen: 31-12-2020.</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Tosprogede erhvervsuddannelsesforløb </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3 700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3 700 erhvervsuddannelsesforløb (middel og høj) konverteret til tosprogede tilbud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C20.I3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Nye erhvervsuddannelsespladser sammenlignet med udgangen af 2020</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934 204</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1 069 204</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135 000 nye erhvervsuddannelsespladser sammenlignet med udgangen af 2020. Dato for basislinjen: 31-12-2020.</w:t>
            </w:r>
          </w:p>
        </w:tc>
      </w:tr>
    </w:tbl>
    <w:p>
      <w:pPr>
        <w:spacing w:before="120" w:after="120" w:line="240" w:lineRule="auto"/>
        <w:ind w:left="709"/>
        <w:jc w:val="both"/>
        <w:rPr>
          <w:rFonts w:ascii="Times New Roman" w:hAnsi="Times New Roman" w:cs="Times New Roman"/>
          <w:noProof/>
          <w:sz w:val="24"/>
          <w:lang w:val="en-IE"/>
        </w:rPr>
        <w:sectPr>
          <w:headerReference w:type="even" r:id="rId253"/>
          <w:headerReference w:type="default" r:id="rId254"/>
          <w:footerReference w:type="even" r:id="rId255"/>
          <w:footerReference w:type="default" r:id="rId256"/>
          <w:headerReference w:type="first" r:id="rId257"/>
          <w:footerReference w:type="first" r:id="rId258"/>
          <w:pgSz w:w="16839" w:h="11907" w:orient="landscape"/>
          <w:pgMar w:top="1417" w:right="1134" w:bottom="1417" w:left="1134" w:header="709" w:footer="709" w:gutter="0"/>
          <w:cols w:space="720"/>
          <w:docGrid w:linePitch="360"/>
        </w:sectPr>
      </w:pPr>
    </w:p>
    <w:p>
      <w:pPr>
        <w:pStyle w:val="Heading1"/>
        <w:rPr>
          <w:noProof/>
        </w:rPr>
      </w:pPr>
      <w:r>
        <w:rPr>
          <w:noProof/>
        </w:rPr>
        <w:t>U. KOMPONENT 21: Modernisering og digitalisering af uddannelse, herunder tidlig uddannelse 0-3</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Denne komponent i den spanske genopretnings- og resiliensplan fokuserer på at modernisere uddannelsessystemet og forbedre uddannelsesinfrastrukturen. Det sigter mod et mere fleksibelt og inklusivt system, der er bedre tilpasset den enkelte elevers behov og indfører nye undervisnings- og læringsteknikker, herunder digitale. De vigtigste mål på hvert uddannelsestrin er: </w:t>
      </w:r>
    </w:p>
    <w:p>
      <w:pPr>
        <w:numPr>
          <w:ilvl w:val="0"/>
          <w:numId w:val="94"/>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Pasnings- og undervisningsfaciliteter for små børn Komponenten har til formål gradvist at øge indskrivningen i førskolepædagogik ved at prioritere tilvejebringelse af nye offentlige pladser til børn i områder med højere risiko for fattigdom eller social udstødelse og landdistrikter. Der skal fokuseres på børn i alderen 0-3 år, og der skal lægges vægt på både adgang og prisoverkommelighed for navnlig at fremme integrationen af kvinder på arbejdsmarkedet og skabe grundlag for at forbedre uddannelsesresultaterne og forebygge skolefrafald på et senere tidspunkt. </w:t>
      </w:r>
    </w:p>
    <w:p>
      <w:pPr>
        <w:numPr>
          <w:ilvl w:val="0"/>
          <w:numId w:val="94"/>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Undervisning på primær- og sekundærtrinnet. Komponenten har til formål at forbedre uddannelsesresultaterne ved at mindske antallet af elever, der forlader skolen tidligt, og høje gentagelsesprocenter gennem yderligere støtte til elever, der klarer sig dårligt, og udvikle et nyt pensum for nøglekompetencer (herunder digitale) inden for førskoleundervisning, obligatorisk grundskole- og sekundærundervisning og studentereksamen. </w:t>
      </w:r>
    </w:p>
    <w:p>
      <w:pPr>
        <w:numPr>
          <w:ilvl w:val="0"/>
          <w:numId w:val="94"/>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Universitetssystem. Komponenten har til formål at modernisere universitetssystemet ved at tilpasse tilrettelæggelsen af universitetsuddannelserne til nutidens samfundsmæssige behov, forbedre de videregående uddannelsers arbejdsmarkedsrelevans og støtte den teknologiske omstilling. Det har også til formål at øge adgangen til og forbedre prisoverkommeligheden for videregående uddannelser.</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Komponenten bidrager til at adressere de landespecifikke henstillinger vedrørende mindskelse af skolefrafald og forbedring af uddannelsesresultaterne under hensyntagen til regionale forskelle (landespecifik henstilling nr. 2 2019) og forbedring af adgangen til digital læring (landespecifik henstilling nr. 2 fra 2020). </w:t>
      </w:r>
      <w:r>
        <w:rPr>
          <w:rFonts w:ascii="Times New Roman" w:hAnsi="Times New Roman"/>
          <w:noProof/>
          <w:sz w:val="24"/>
        </w:rPr>
        <w:t>Den bidrager også til at imødekomme tidligere landespecifikke henstillinger vedrørende bedre støtte til uddannelse af studerende og lærere samt til at forbedre støtten til familier (landespecifik henstilling nr. 2 fra 2019), herunder adgang til børnepasning af høj kvalitet.</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bCs/>
          <w:noProof/>
          <w:sz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U.1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 xml:space="preserve">Reform 1 (C21.R1) — ny organisk lov om uddannelse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Denne reform tilskynder til vedtagelse af en ny lov om undervisning, der omfatter</w:t>
      </w:r>
      <w:r>
        <w:rPr>
          <w:rFonts w:ascii="Times New Roman" w:hAnsi="Times New Roman"/>
          <w:noProof/>
          <w:sz w:val="24"/>
          <w:szCs w:val="24"/>
        </w:rPr>
        <w:t xml:space="preserve"> førskoleundervisning, obligatorisk undervisning på primær- og sekundærtrinnet og studentereksamen. Den skal danne grundlag for at øge uddannelses- og erhvervsuddannelsesmulighederne for hele befolkningen, bl.a. ved at forbedre uddannelsesresultaterne og tidlig opdagelse af vanskeligheder og styrke skolernes autonomi. Den skal fokusere på at mindske segregering af studerendes baggrund og forbedre systemets inkluderende kapacitet. Desuden er målet at styrke digitale kompetencer på alle uddannelsesniveauer og dermed reagere på den stadig mere digitaliserede økonomi. Den 29. december 2020 blev der vedtaget en ny lov (LOMLOE).</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Den lovgivningsmæssige udvikling af uddannelsesloven skal gennemføres ved hjælp af: </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bestemmelser om et nyt kompetencebaseret pensum </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evaluering, navnlig den generelle evaluering af uddannelsessystemet samt de diagnostiske evalueringer </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szCs w:val="24"/>
        </w:rPr>
        <w:t>udvikling af lærerfaget og</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bestemmelser om anerkendelse og validering af udenlandske ikke-universitetseksamensbeviser og -studier.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 xml:space="preserve">Med henblik herpå danner den grundlag for reform 2 og forskellige investeringer, der indgår i komponenten.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Endelig forventes reformen at fremme integrationen af elever med særlige undervisningsbehov i almindelige skoler og skal ledsages af en 10-årig rullende plan, der aftales med de regionale myndigheder med yderligere ressourcer til at støtte skoler, der huser elever med særlige behov.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Gennemførelsen af reformerne skal være afsluttet senest den 31. marts 2021.</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u w:val="single"/>
          <w:shd w:val="clear" w:color="auto" w:fill="FFFFFF"/>
        </w:rPr>
        <w:t>Reform 2 (C21.R2) — En ny uddannelsesmodel for nøglekompetencer, grundlæggende læring og inklusiv akademisk planlægning</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zCs w:val="24"/>
          <w:shd w:val="clear" w:color="auto" w:fill="FFFFFF"/>
        </w:rPr>
        <w:t xml:space="preserve">På grundlag af vedtagelsen af den nye uddannelseslov (LOMLOE), som der henvises til i Reformen 1, omfatter denne reform vedtagelse af love om mindstekrav til primærtrinnet, obligatorisk sekundærundervisning og studentereksamen. </w:t>
      </w:r>
      <w:r>
        <w:rPr>
          <w:rFonts w:ascii="Times New Roman" w:hAnsi="Times New Roman"/>
          <w:noProof/>
          <w:sz w:val="24"/>
          <w:szCs w:val="24"/>
        </w:rPr>
        <w:t>Det omfatter også indførelse af metodologiske retningslinjer for undervisning og læring baseret på et kompetencebaseret pensum og indarbejdelse af "bløde færdigheder" under hensyntagen til Rådets henstilling af 2018. maj 22 om nøglekompetencer for livslang læring.</w:t>
      </w:r>
      <w:r>
        <w:rPr>
          <w:rFonts w:ascii="Times New Roman" w:hAnsi="Times New Roman"/>
          <w:noProof/>
          <w:color w:val="000000" w:themeColor="text1"/>
          <w:sz w:val="24"/>
          <w:szCs w:val="24"/>
        </w:rPr>
        <w:t xml:space="preserve"> Lovene skal indeholde en evalueringsramme, der er udviklet i overensstemmelse med læseplanen, og som fokuserer på graden af erhvervelse af kompetencer og på vurderingen af de foranstaltninger, der fremmer de studerendes fremskridt. Målet er at udforme en mere fleksibel og åben uddannelsesmodel, der fremmer dybtgående læring ved hjælp af samarbejdsmetoder, der bidrager til at forbedre uddannelsesresultaterne. I den nye læseplan skal der lægges vægt på uddannelse i bæredygtig udvikling og medborgerskab. Udviklingen af digitale kompetencer skal inkluderes på alle niveauer, både gennem specifikt indhold og i et tværgående perspektiv.</w:t>
      </w:r>
    </w:p>
    <w:p>
      <w:pPr>
        <w:pStyle w:val="Text1"/>
        <w:ind w:left="0"/>
        <w:rPr>
          <w:noProof/>
          <w:color w:val="000000" w:themeColor="text1"/>
          <w:szCs w:val="24"/>
        </w:rPr>
      </w:pPr>
      <w:r>
        <w:rPr>
          <w:noProof/>
          <w:color w:val="000000" w:themeColor="text1"/>
          <w:szCs w:val="24"/>
        </w:rPr>
        <w:t>I forbindelse med denne reform skal mindst 100 eksterne eksperter deltage i udarbejdelsen af læseplanen for områderne og emnerne for uddannelsesfaserne og evalueringsrammerne, som vil danne grundlag for udarbejdelsen af de kongelige dekreter i den nye læseplan og den fælles evalueringsramme.</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Reformen skal også omfatte forberedelse af støtte, vejledning og undervisningsmateriale samt uddannelse af lærere for at sikre, at de kan gennemføre den nye læseplan effektivt. </w:t>
      </w:r>
      <w:r>
        <w:rPr>
          <w:rFonts w:ascii="Times New Roman" w:hAnsi="Times New Roman"/>
          <w:noProof/>
          <w:sz w:val="24"/>
          <w:szCs w:val="24"/>
        </w:rPr>
        <w:t>Materialet skal offentliggøres online til brug for alle lærere sammen med formidling af god praksis.</w:t>
      </w:r>
      <w:r>
        <w:rPr>
          <w:rFonts w:ascii="Times New Roman" w:hAnsi="Times New Roman"/>
          <w:noProof/>
          <w:color w:val="000000"/>
          <w:sz w:val="24"/>
          <w:szCs w:val="24"/>
        </w:rPr>
        <w:t xml:space="preserve"> Mindst 4 000 fagfolk skal gennemføre en uddannelse med henblik på anvendelse af det nye pensum.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Reformen udformes og gennemføres i samråd med de rådgivende organer og eksperter på uddannelsesområdet og med de selvstyrende regioner.</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Gennemførelsen af reformerne skal være afsluttet senest den 30. september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 xml:space="preserve">Reform 3 (C21.R3) — omfattende reform af universitetssystemet </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Reformen fokuserer på ny lovgivning om universitetssystemet med henblik på en omfattende reform af universitetssystemet baseret på</w:t>
      </w:r>
      <w:bookmarkStart w:id="5" w:name="_Hlk65757328"/>
      <w:r>
        <w:rPr>
          <w:rFonts w:ascii="Times New Roman" w:hAnsi="Times New Roman"/>
          <w:noProof/>
          <w:sz w:val="24"/>
          <w:szCs w:val="24"/>
        </w:rPr>
        <w:t xml:space="preserve"> fire hovedmål: </w:t>
      </w:r>
    </w:p>
    <w:bookmarkEnd w:id="5"/>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Fremme af adgangen til videregående uddannelse. Stipendier skal øges under hensyntagen til socioøkonomiske forhold, og lige muligheder skal sikres ved at forbedre stipendier for studerende med handicap. Stipendieordningen blev reformeret i 2020, men vil blive videreudviklet i 2021 og 2022. De offentlige universitetsgebyrer nedsættes også, bl.a. ved at fastsætte tærskler og mindske store regionale forskelle.</w:t>
      </w:r>
    </w:p>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Afholdelse af universitetskurser. Der vedtages et lovdekret for at reformere tilrettelæggelsen af universitetsuddannelserne og sikre deres kvalitet og relevans for arbejdsmarkedet. </w:t>
      </w:r>
      <w:r>
        <w:rPr>
          <w:rFonts w:ascii="Times New Roman" w:hAnsi="Times New Roman"/>
          <w:noProof/>
          <w:sz w:val="24"/>
          <w:szCs w:val="24"/>
        </w:rPr>
        <w:t>Med henblik herpå skal universitetssamarbejde med virksomheder inden for videregående uddannelser fremmes gennem regulering af dobbelte bachelor- og mastergrader, herunder uddannelsesprogrammer i virksomheder, der overvåges af universiteter.</w:t>
      </w:r>
      <w:r>
        <w:rPr>
          <w:rFonts w:ascii="Times New Roman" w:hAnsi="Times New Roman"/>
          <w:noProof/>
          <w:color w:val="000000"/>
          <w:sz w:val="24"/>
          <w:szCs w:val="24"/>
          <w:shd w:val="clear" w:color="auto" w:fill="FFFFFF"/>
        </w:rPr>
        <w:t xml:space="preserve"> I overensstemmelse med målene for det europæiske uddannelsesområde sikres automatisk anerkendelse af eksamensbeviser. </w:t>
      </w:r>
      <w:r>
        <w:rPr>
          <w:rFonts w:ascii="Times New Roman" w:hAnsi="Times New Roman"/>
          <w:noProof/>
          <w:color w:val="000000"/>
          <w:sz w:val="24"/>
          <w:szCs w:val="24"/>
        </w:rPr>
        <w:t xml:space="preserve">Verifikations-, opfølgnings- og akkrediteringsprocesserne for undervisning uden for eller på halv face-to-face skal også styrkes, idet kvalitetssikring af udbuddet af universitetsuddannelse kombineres med en reduktion af bureaukratiet i de involverede procedurer. Innovativ undervisning skal også fremmes. </w:t>
      </w:r>
    </w:p>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Sikring af god forvaltning af universiteterne og fremme af forskning, overførsel og mobilitet for undervisnings- og forskningspersonale. Målet er at sikre effektivitet og uafhængighed på universiteterne i universiteternes daglige ledelse, øge interessenternes deltagelse i forvaltningen og fremme gennemsigtighed og ansvarlighed. Den skal også sikre, at universiteterne udstyres med højt kvalificerede lærere, at undervisningskarrieren er mere forudsigelig, og at forbindelsen mellem undervisning og forskning styrkes.</w:t>
      </w:r>
    </w:p>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Sikring af universiteternes kvalitet. </w:t>
      </w:r>
      <w:r>
        <w:rPr>
          <w:rFonts w:ascii="Times New Roman" w:hAnsi="Times New Roman"/>
          <w:noProof/>
          <w:color w:val="000000"/>
          <w:sz w:val="24"/>
          <w:szCs w:val="24"/>
        </w:rPr>
        <w:t>Der vedtages et lovdekret, der fastsætter akademiske kvalitetskriterier for oprettelse, anerkendelse, godkendelse og akkreditering af universiteter og tilknyttede centre, herunder fjern- og halvfysiske universiteter.</w:t>
      </w:r>
      <w:r>
        <w:rPr>
          <w:rFonts w:ascii="Times New Roman" w:hAnsi="Times New Roman"/>
          <w:noProof/>
          <w:color w:val="000000"/>
          <w:sz w:val="24"/>
          <w:szCs w:val="24"/>
          <w:shd w:val="clear" w:color="auto" w:fill="FFFFFF"/>
        </w:rPr>
        <w:t xml:space="preserve"> </w:t>
      </w:r>
      <w:r>
        <w:rPr>
          <w:rFonts w:ascii="Times New Roman" w:hAnsi="Times New Roman"/>
          <w:noProof/>
          <w:color w:val="000000"/>
          <w:sz w:val="24"/>
          <w:szCs w:val="24"/>
        </w:rPr>
        <w:t>Målet er, at universiteterne skal have et minimumsformativt akademisk tilbud, samtidig med at universiteternes muligheder for specialisering sikres; et minimumsantal studerende på bachelorniveau afsætte mindst 5 % af deres budget til forskningsprogrammer og har interne kvalitetssikringssystemer.</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Med henblik herpå skal reformen tage hensyn til henstillingerne fra konferencen af spanske universitetsrektorer (CRUE). Det skal bidrage til at øge de videregående uddannelsers arbejdsmarkedsrelevans, herunder ved at fremme samarbejde med virksomheder og indføre resultatbaserede finansieringsmodeller på offentlige universiteter.</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Gennemførelsen af reformerne skal være afsluttet senest den 30. juni 2023.</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Investering 1 (C21.I1) — Fremme af førskoleundervisning og børnepasning (ECEC)</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 xml:space="preserve">Som led i denne foranstaltning skal Spanien investere i opførelse af nye børnepasningsfaciliteter, rehabilitering og renovering af eksisterende bygninger og udstyr til etablering af mindst 60 000 nye offentligt ejede førskoleundervisnings- og børnepasningsfaciliteter for børn under 3 år. </w:t>
      </w:r>
      <w:r>
        <w:rPr>
          <w:rFonts w:ascii="Times New Roman" w:hAnsi="Times New Roman"/>
          <w:noProof/>
          <w:sz w:val="24"/>
          <w:szCs w:val="24"/>
        </w:rPr>
        <w:t xml:space="preserve">Der fokuseres på at tilbyde økonomisk overkommelige offentlige pladser til børn i områder med højere risiko for fattigdom eller social udstødelse og landdistrikter, navnlig for aldersgruppen 1-2 år. Bygningerne ejes enten af regionale eller lokale myndigheder eller af ministeriet for uddannelse og erhvervsuddannelse for så vidt angår Ceuta og Melilla.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Investeringen forventes også at dække driftsudgifter, herunder lærernes lønninger under udrulningen af investeringen for at tilskynde regionale og lokale myndigheder til op til 40 000 nye uddannelsespladser. </w:t>
      </w:r>
      <w:r>
        <w:rPr>
          <w:rFonts w:ascii="Times New Roman" w:hAnsi="Times New Roman"/>
          <w:noProof/>
          <w:color w:val="000000"/>
          <w:sz w:val="24"/>
          <w:szCs w:val="24"/>
        </w:rPr>
        <w:t>Spanien sikrer, at foranstaltningen er finanspolitisk bæredygtig efter genopretnings- og resiliensfacilitetens ophør, herunder ved at anvende andre EU-finansieringskilder.</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Gennemførelsen af reformerne skal være afsluttet senest den 31. december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 xml:space="preserve">Investering 2 (C21.I2): Program for orientering, fremskridt og pædagogisk berigelse ("PROA +")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 xml:space="preserve">Med henblik på at yde støtte og vejledning til elever med dårlige resultater og nedbringe antallet af elever, der forlader skolen tidligt, skal Spanien investere i at udvide det eksisterende program for orientering, fremskridt og uddannelsesmæssige berigelse (PROA +).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Dette program fokuserer på aktiviteter, der sikrer minimumsbetingelserne for uddannelse af alle elever, indfører skærpede foranstaltninger for dem, der har større indlæringsvanskeligheder, primært med hensyn til grundlæggende færdigheder, søger nye former for organisation og ledelse på uddannelsescentret og yder yderligere støtte og uddannelse til lærere. Disse aktiviteter bør sigte mod at forbedre alle elevers succes på disse skoler.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Programmet skal være rettet mod skoler med særlig uddannelsesmæssig kompleksitet, herunder i landdistrikter, med en betydelig procentdel af sårbare elever, der har indlæringsvanskeligheder i almindelige klasseværelser.</w:t>
      </w:r>
      <w:r>
        <w:rPr>
          <w:rFonts w:ascii="Times New Roman" w:hAnsi="Times New Roman"/>
          <w:noProof/>
          <w:color w:val="000000"/>
          <w:sz w:val="24"/>
          <w:szCs w:val="24"/>
        </w:rPr>
        <w:t xml:space="preserve"> Udvælgelsen af centrene foretages af uddannelsesmyndighederne. </w:t>
      </w:r>
      <w:r>
        <w:rPr>
          <w:rFonts w:ascii="Times New Roman" w:hAnsi="Times New Roman"/>
          <w:noProof/>
          <w:color w:val="000000"/>
          <w:sz w:val="24"/>
          <w:szCs w:val="24"/>
          <w:shd w:val="clear" w:color="auto" w:fill="FFFFFF"/>
        </w:rPr>
        <w:t xml:space="preserve">De udvalgte skoler er navnlig beliggende i områder, der består af elever og familier med en lav socioøkonomisk og uddannelsesmæssig baggrund. I alt skal mindst 2 700 skoler modtage støtte.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Investeringen skal udvikles i samarbejde med de selvstyrende regioner inden for rammerne af sektorkonferencer, og den territoriale fordeling af midlerne baseres på specifikke kriterier, der er aftalt for at afspejle behovene og bidrage til at mindske regionale forskelle.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Gennemførelsen af reformerne skal være afsluttet senest den 31. december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Investering 3 (C21.I3) — Støtte til sårbare studerende og familier</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Spanien investerer i oprettelse af mindst 1 000 sårbare studenterstøtte-, vejlednings- og psykouddannelsestjenester i skoledistrikter. Det skal gøre det lettere for elever og deres familier at overvinde uddannelsesmæssige hindringer for at mindske fravær og skolefrafald. Samarbejde med forskellige læringsrammer (både formelle og ikkeformelle) skal støttes for at fremme udviklingen af vigtige interpersonelle, kommunikative og kognitive færdigheder. Investeringen skal udvikles gennem territorialt samarbejde med selvstyrende regioner inden for rammerne af sektorkonferencer, som fastsætter kriterierne for den territoriale fordeling af midlerne.</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Gennemførelsen af reformerne skal være afsluttet senest den 31. december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Investering 4 (C21.I4) — Uddannelse af undervisnings- og forskningspersonale</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sz w:val="24"/>
          <w:szCs w:val="24"/>
        </w:rPr>
        <w:t>Denne foranstaltning omfatter investeringer i tilskud til offentlige universiteter med det formål at fremme omskoling af det spanske universitetssystem og fremme den faglige udvikling af undervisningspersonalet samt give nyuddannede ph.d.-kandidater mulighed for at blive integreret i det videregående uddannelsessystem i fremtiden. Tilskuddene skal finansiere postdoktorale forskningsophold på prestigefyldte udenlandske universiteter og forskningscentre samt på spanske universiteter og andre offentlige aktører i det spanske system for videnskab, teknologi og innovation.</w:t>
      </w:r>
      <w:r>
        <w:rPr>
          <w:rFonts w:ascii="Times New Roman" w:hAnsi="Times New Roman"/>
          <w:noProof/>
          <w:color w:val="000000"/>
          <w:sz w:val="24"/>
          <w:szCs w:val="24"/>
        </w:rPr>
        <w:t xml:space="preserve"> </w:t>
      </w:r>
      <w:r>
        <w:rPr>
          <w:rFonts w:ascii="Times New Roman" w:hAnsi="Times New Roman"/>
          <w:noProof/>
          <w:sz w:val="24"/>
          <w:szCs w:val="24"/>
        </w:rPr>
        <w:t>Med henblik herpå forventes tilskuddene at bidrage til at tiltrække internationale talenter og afhjælpe den lave internationaliseringsrate på spanske universiteter.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Tilskuddene ydes under tre forskellige programmer, hvor der anvendes specifikke kriterier, afhængigt af målgruppen, med fokus på i) uddannelse af unge ph.d.-studerende, ii) stipendier til universitetslektorer — faste professorer og seniorforelæsninger på langtidsleje og iii) tilskud, der har til formål at tiltrække internationale talenter, og som finansierer postdoktorale uddannelser, der afholdes af prestigefyldte spanske universiteter og andre offentlige aktører i det spanske system for videnskab, teknologi og innovation. Programmerne skal vare mellem et til tre år afhængigt af programmet og målgruppen.</w:t>
      </w:r>
    </w:p>
    <w:p>
      <w:pPr>
        <w:spacing w:after="120" w:line="240" w:lineRule="auto"/>
        <w:jc w:val="both"/>
        <w:rPr>
          <w:rFonts w:ascii="Times New Roman" w:hAnsi="Times New Roman" w:cs="Times New Roman"/>
          <w:noProof/>
          <w:sz w:val="24"/>
        </w:rPr>
      </w:pPr>
      <w:r>
        <w:rPr>
          <w:rFonts w:ascii="Times New Roman" w:hAnsi="Times New Roman"/>
          <w:noProof/>
          <w:sz w:val="24"/>
          <w:szCs w:val="24"/>
        </w:rPr>
        <w:t>Alle tilskud skal gennemføres i perioden 2021-23 til fordel for mindst 2 600 kandidater.</w:t>
      </w:r>
      <w:r>
        <w:rPr>
          <w:rFonts w:ascii="Times New Roman" w:hAnsi="Times New Roman"/>
          <w:noProof/>
          <w:color w:val="000000"/>
          <w:sz w:val="24"/>
          <w:szCs w:val="24"/>
        </w:rPr>
        <w:t xml:space="preserve"> </w:t>
      </w:r>
      <w:r>
        <w:rPr>
          <w:rFonts w:ascii="Times New Roman" w:hAnsi="Times New Roman"/>
          <w:noProof/>
          <w:sz w:val="24"/>
        </w:rPr>
        <w:t xml:space="preserve">Hvert universitet modtager direkte en budgetbevilling fra universitetsministeriet baseret på objektive kriterier, herunder antallet af undervisnings- og forskningspersonale og ph.d.-afhandling. På grundlag af ansøgningerne evalueres kandidaterne af et ekspertpanel med international prestige, der udpeges af hvert universitet, og som omfatter mindst tre medlemmer og et flertal af eksterne eksperter. </w:t>
      </w:r>
    </w:p>
    <w:p>
      <w:pPr>
        <w:spacing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Gennemførelsen af reformerne skal være afsluttet senest den 31. december 2023.</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szCs w:val="24"/>
          <w:u w:val="single"/>
          <w:shd w:val="clear" w:color="auto" w:fill="FFFFFF"/>
        </w:rPr>
        <w:t>Investering 5 (C21.I5) — Forbedring af universiteternes digitale infrastruktur, udstyr, teknologier, undervisning og evaluering</w:t>
      </w:r>
      <w:r>
        <w:rPr>
          <w:rFonts w:ascii="Times New Roman" w:hAnsi="Times New Roman"/>
          <w:noProof/>
          <w:color w:val="000000"/>
          <w:sz w:val="24"/>
          <w:szCs w:val="24"/>
          <w:shd w:val="clear" w:color="auto" w:fill="FFFFFF"/>
        </w:rPr>
        <w:t xml:space="preserve"> </w:t>
      </w:r>
    </w:p>
    <w:p>
      <w:pPr>
        <w:spacing w:before="120" w:after="120" w:line="240" w:lineRule="auto"/>
        <w:jc w:val="both"/>
        <w:rPr>
          <w:rFonts w:ascii="Times New Roman" w:hAnsi="Times New Roman" w:cs="Times New Roman"/>
          <w:bCs/>
          <w:noProof/>
          <w:sz w:val="24"/>
        </w:rPr>
      </w:pPr>
      <w:r>
        <w:rPr>
          <w:rFonts w:ascii="Times New Roman" w:hAnsi="Times New Roman"/>
          <w:noProof/>
          <w:sz w:val="24"/>
          <w:szCs w:val="24"/>
        </w:rPr>
        <w:t xml:space="preserve">Denne investering omfatter en række foranstaltninger, der har til formål at forbedre universiteternes teknologiske og digitale kapacitet og færdigheder. Disse omfatter investeringer i digitale undervisningsressourcer og infrastruktur såsom clouddatalagringsnetværk for servere, cybersikkerhed og klasseværelsesteknologier til onlinekurser; og investeringer i digital uddannelse for akademisk personale og studerende. </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Investeringsaktioner skal forbedre den teknologiske udvikling og forbedre de digitale ressourcer til støtte for subgitalundervisning. Der ydes støtte til centrale infrastrukturer og IKT-tjenester, der fokuserer på fibernet og udruller ikt-tjenester på en effektiv måde, der bygger på stordriftsfordele og interoperabilitet. Et centralt mål er at dirigere investeringer for at mindske den digitale kløft mellem akademisk personale og studerende for at forbedre tjenester og udstyr til fjernundervisning. Andre mål omfatter investering i fremme af digitale innovationsprojekter på tværs af universiteterne, som kan udvides og kopieres i større målestok, og yde støtte til det nationale fjernuddannelsesuniversitet (UNED) for at forbedre mulighederne for videregående uddannelse i affolkede områder.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Målet vil være at overvåge og formidle udviklingen af det digitale indeks for universiteter via universitetsministeriets websted med henblik på at øge indekset med mindst 10 % for universitetssystemet som helhed i 2023 sammenlignet med 2019.</w:t>
      </w:r>
      <w:r>
        <w:rPr>
          <w:rFonts w:ascii="Times New Roman" w:hAnsi="Times New Roman"/>
          <w:noProof/>
          <w:color w:val="000000"/>
          <w:sz w:val="24"/>
          <w:szCs w:val="24"/>
        </w:rPr>
        <w:t xml:space="preserve"> </w:t>
      </w:r>
      <w:r>
        <w:rPr>
          <w:rFonts w:ascii="Times New Roman" w:hAnsi="Times New Roman"/>
          <w:noProof/>
          <w:sz w:val="24"/>
          <w:szCs w:val="24"/>
        </w:rPr>
        <w:t>Dette indeks skal omfatte forskellige dimensioner, herunder forvaltning (f.eks. antallet af klasseværelser, der kan bruges til digital undervisning, antallet af professorer, der anvender digitale systemer, antallet af onlineprocedurer og graden af konnektivitet på campusser osv. ) innovation (såsom digitale aftaler mellem universiteter, læringsanalyser, multimediedatabaser, digitale kompetencer hos undervisningspersonale og individuelle ruter osv.)</w:t>
      </w:r>
      <w:r>
        <w:rPr>
          <w:rFonts w:ascii="Times New Roman" w:hAnsi="Times New Roman"/>
          <w:noProof/>
          <w:color w:val="000000"/>
          <w:sz w:val="24"/>
          <w:szCs w:val="24"/>
        </w:rPr>
        <w:t xml:space="preserve"> </w:t>
      </w:r>
      <w:r>
        <w:rPr>
          <w:rFonts w:ascii="Times New Roman" w:hAnsi="Times New Roman"/>
          <w:noProof/>
          <w:sz w:val="24"/>
          <w:szCs w:val="24"/>
        </w:rPr>
        <w:t xml:space="preserve">og forvaltning (såsom en plan for digital omstilling, digitaliseringsprojektporteføljer og uddannelsesplaner inden for digitale kompetencer osv.) .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Universiteterne fremlægger hvert år opfølgende oplysninger gennem certificering af deres interne kontrolområde.</w:t>
      </w:r>
    </w:p>
    <w:p>
      <w:pPr>
        <w:spacing w:before="120" w:after="120" w:line="240" w:lineRule="auto"/>
        <w:jc w:val="both"/>
        <w:rPr>
          <w:rFonts w:ascii="Times New Roman" w:hAnsi="Times New Roman" w:cs="Times New Roman"/>
          <w:b/>
          <w:bCs/>
          <w:noProof/>
          <w:sz w:val="24"/>
          <w:szCs w:val="24"/>
          <w:u w:val="single"/>
        </w:rPr>
      </w:pPr>
      <w:r>
        <w:rPr>
          <w:rFonts w:ascii="Times New Roman" w:hAnsi="Times New Roman"/>
          <w:noProof/>
          <w:color w:val="000000"/>
          <w:sz w:val="24"/>
          <w:szCs w:val="24"/>
          <w:shd w:val="clear" w:color="auto" w:fill="FFFFFF"/>
        </w:rPr>
        <w:t>Gennemførelsen af reformerne skal være afsluttet senest den 31. december 2023.</w:t>
      </w:r>
    </w:p>
    <w:p>
      <w:pPr>
        <w:spacing w:before="120" w:after="120" w:line="240" w:lineRule="auto"/>
        <w:ind w:left="709"/>
        <w:jc w:val="both"/>
        <w:rPr>
          <w:rFonts w:ascii="Times New Roman" w:hAnsi="Times New Roman" w:cs="Times New Roman"/>
          <w:b/>
          <w:noProof/>
          <w:sz w:val="24"/>
          <w:u w:val="single"/>
        </w:rPr>
      </w:pPr>
      <w:r>
        <w:rPr>
          <w:rFonts w:ascii="Times New Roman" w:hAnsi="Times New Roman"/>
          <w:b/>
          <w:bCs/>
          <w:noProof/>
          <w:sz w:val="24"/>
          <w:u w:val="single"/>
        </w:rPr>
        <w:t xml:space="preserve">U.2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den 1. februar 2020, medmindre andet er angivet i beskrivelsen af foranstaltningen. Beløbene i tabellen omfatter ikke moms.</w:t>
      </w:r>
    </w:p>
    <w:p>
      <w:pPr>
        <w:spacing w:before="120" w:after="120" w:line="240" w:lineRule="auto"/>
        <w:jc w:val="both"/>
        <w:rPr>
          <w:rFonts w:ascii="Times New Roman" w:hAnsi="Times New Roman" w:cs="Times New Roman"/>
          <w:noProof/>
          <w:sz w:val="24"/>
        </w:rPr>
        <w:sectPr>
          <w:headerReference w:type="even" r:id="rId259"/>
          <w:headerReference w:type="default" r:id="rId260"/>
          <w:footerReference w:type="even" r:id="rId261"/>
          <w:footerReference w:type="default" r:id="rId262"/>
          <w:headerReference w:type="first" r:id="rId263"/>
          <w:footerReference w:type="first" r:id="rId264"/>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3119"/>
        <w:gridCol w:w="1134"/>
        <w:gridCol w:w="850"/>
        <w:gridCol w:w="709"/>
        <w:gridCol w:w="851"/>
        <w:gridCol w:w="567"/>
        <w:gridCol w:w="708"/>
        <w:gridCol w:w="4962"/>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311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2410"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1275"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4962"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11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709"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Referencescenarie</w:t>
            </w: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708"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496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 af den organiske lov om uddannelse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der angiver, at den organiske lov er trådt i kraft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Formålet med den organiske lov om uddannelse (LOMLOE) er at etablere et nyt retssystem, der i henhold til principperne om kvalitet, lighed og inklusion øger de studerendes uddannelses- og erhvervsuddannelsesmuligheder og bidrager til at forbedre uddannelsesresultaterne.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kongeligt dekret om mindstekrav til undervisning i undervisningen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de kongelige dekreter om ikrafttrædelse af de kongelige dekreter</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Det kongelige lovdekret om mindstekrav til undervisning i undervisning på primærtrinnet, obligatorisk sekundæruddannelse og studentereksamen skal omfatte indførelse af metodologiske retningslinjer for undervisning og læring baseret på en kompetencebaseret læseplan, der omfatter "bløde færdigheder". en evalueringsramme for erhvervelse af kompetencer udformning af en mere fleksibel og åben model, som fremmer dyb læring og udarbejdelse af undervisningsmateriale, støtte, vejledning og uddannelse af lærere for at sikre, at de kan gennemføre den nye læseplan effektivt.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Materiale til at vejlede og støtte lærere i gennemførelsen af det nye pensum og uddannelse af fagfolk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Certifikater for offentliggjort materiale og uddannelse</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Færdiggjort udarbejdelse af støttevejledning og undervisningsmateriale. Alt materiale offentliggøres online med henblik på anvendelse af 100 % af lærerne. Mindst 4 000 fagfolk skal gennemføre en uddannelse med henblik på anvendelse af det nye pensum. I forbindelse med denne reform skal mindst 100 eksterne eksperter deltage i udarbejdelsen af læseplanen for områderne og emnerne for uddannelsesfaserne og evalueringsrammerne, som vil danne grundlag for udarbejdelsen af de kongelige dekreter i den nye læseplan og den fælles evalueringsramme.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de kongelige dekreter om universiteternes organisation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de kongelige dekreter om ikrafttrædelse af de kongelige dekreter</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 to kongelige dekreter om organiseringen af universiteter er: — Kongeligt dekret om tilrettelæggelse af universitetsuddannelser og om proceduren for sikring af deres kvalitet — kongelig anordning om oprettelse, anerkendelse, godkendelse og akkreditering af universiteter og tilknyttede centre.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den organiske lov om universitetssystemet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loven, der angiver, at den organiske lov er trådt i kraft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Den nye organiske lov, der har til formål at fremme adgangen til videregående uddannelser, tilpasse tilrettelæggelsen af universitetskurser, sikre god forvaltning af universiteterne og fremme forskning, overførsel og mobilitet for undervisnings- og forskningspersonale. Reformen skal øge de videregående uddannelsers arbejdsmarkedsrelevans, herunder fremme af samarbejdet med institutioner i den private sektor og den tredje sektor og indførelse af resultatbaseret finansiering af offentlige universiteter.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Budgetpris til fremme af første cyklus af førskoleundervisning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EURO</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670 990 000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962"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Budgettildeling til regionale/lokale enheder på 670 990 000 EUR til fremme af første cyklus af førskoleundervisning gennem oprettelse af nye offentligt ejede pladser.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Nye pladser i den første cyklus af førskoleundervisning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highlight w:val="yellow"/>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highlight w:val="yellow"/>
              </w:rPr>
            </w:pPr>
            <w:r>
              <w:rPr>
                <w:rFonts w:ascii="Times New Roman" w:hAnsi="Times New Roman"/>
                <w:noProof/>
                <w:color w:val="000000"/>
                <w:sz w:val="18"/>
                <w:szCs w:val="18"/>
              </w:rPr>
              <w:t>60 000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Fremme af første cyklus af førskoleundervisning gennem færdiggørelse af nye offentligt ejede pladser (nybyggeri og/eller reform/rehabilitering og udstyr på mindst 60 000 pladser sammenlignet med udgangen af 2020 og af disse driftsudgifter for op til 40 000 pladser frem til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Støtte til skoler under PROA ± programmet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2 700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2 700 skoler, der støttes af PROA ± programmet i hele landet, i overensstemmelse med kravene i programmet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Ledsage- og vejledningsenheder for sårbare studerende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1 000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1 000 Lednings- og vejledningsenheder for sårbare studerende skal være operationelle i hele landet.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Legater og stipendier til postdoktorale studerende, assisterende professorer og forskere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2 600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Tildeling af legater og stipendier til postdoktorale studerende, assisterende professorer og forskere til mindst 2 600 kandidater. Formålet med disse tilskud er bl.a. at fremme den faglige udvikling af undervisningspersonalet, som kan integreres i systemet i fremtiden. Tilskuddene skal finansiere forskning, som afholdes af prestigefyldte udenlandske universiteter og forskningscentre samt på spanske universiteter og andre offentlige aktører. Med henblik herpå skal tilskuddene bidrage til at tiltrække internationale talenter. Tilskuddene ydes under tre forskellige programmer, hvor der anvendes specifikke kriterier afhængigt af mål og målgruppe, og de skal vare mellem et til tre år afhængigt af programmet og målgruppen.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C21.I5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Stigning i det digitale indeks for universiteter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indekset på universitetsministeriets websted</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Opnåelse af en stigning i det digitale indeks for universiteter på mindst 10 % siden 2019 for universitetssystemet som helhed og med forskellige modenhedsdimensioner: Forvaltning, innovation og offentlig forvaltning. De støtteberettigede projekter skal være påbegyndt i februar 2020. "Det digitale indeks for universiteter" er en forkortet udgave af "Digital Maturity Model for Universities" (MD4U), en ramme af indikatorer, der anvendes af Crue-TIC (IT-sektoren på konferencen af spanske universiteters kansler) til sin årlige undersøgelse for at karakterisere de spanske universiteters digitaliseringsniveau inden for forvaltning, innovation og forvaltning. "Det digitale indeks for universiteter" er et "dashboard", der skal overvåge udviklingen i universiteternes digitale niveau. Udgangspunktet for programmets virkning er værdierne for digitaliseringsniveauet i universitetssystemet i 2019 med datoen for basislinjen 31/12/2019.</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265"/>
          <w:headerReference w:type="default" r:id="rId266"/>
          <w:footerReference w:type="even" r:id="rId267"/>
          <w:footerReference w:type="default" r:id="rId268"/>
          <w:headerReference w:type="first" r:id="rId269"/>
          <w:footerReference w:type="first" r:id="rId270"/>
          <w:pgSz w:w="16839" w:h="11907" w:orient="landscape"/>
          <w:pgMar w:top="1417" w:right="1134" w:bottom="1417" w:left="1134" w:header="709" w:footer="709" w:gutter="0"/>
          <w:cols w:space="720"/>
          <w:docGrid w:linePitch="360"/>
        </w:sectPr>
      </w:pPr>
    </w:p>
    <w:p>
      <w:pPr>
        <w:pStyle w:val="Heading1"/>
        <w:rPr>
          <w:noProof/>
        </w:rPr>
      </w:pPr>
      <w:r>
        <w:rPr>
          <w:noProof/>
        </w:rPr>
        <w:t>V. KOMPONENT 22: Handlingsplan for plejesektoren, styrkelse af ligestillings- og integrationspolitikkerne</w:t>
      </w:r>
    </w:p>
    <w:p>
      <w:pPr>
        <w:spacing w:before="120" w:after="0" w:line="240" w:lineRule="auto"/>
        <w:jc w:val="both"/>
        <w:textAlignment w:val="baseline"/>
        <w:rPr>
          <w:rFonts w:ascii="Times New Roman" w:eastAsia="Times New Roman" w:hAnsi="Times New Roman" w:cs="Times New Roman"/>
          <w:noProof/>
          <w:sz w:val="24"/>
        </w:rPr>
      </w:pPr>
      <w:r>
        <w:rPr>
          <w:rFonts w:ascii="Times New Roman" w:hAnsi="Times New Roman"/>
          <w:noProof/>
          <w:sz w:val="24"/>
        </w:rPr>
        <w:t xml:space="preserve">Hovedformålet med denne komponent i den spanske genopretnings- og resiliensplan er at modernisere og styrke de sociale tjenester og politikkerne for social inklusion. Den sætter særligt fokus på langtidsplejemodellen med henblik på at imødekomme den stigende efterspørgsel efter forskellige langtidspleje som følge af en aldrende befolkning, fremme innovation og en menneskecentreret plejemodel med fokus på en afinstitutionaliseringsstrategi. </w:t>
      </w:r>
    </w:p>
    <w:p>
      <w:pPr>
        <w:spacing w:before="120" w:after="0" w:line="240" w:lineRule="auto"/>
        <w:jc w:val="both"/>
        <w:rPr>
          <w:rFonts w:ascii="Times New Roman" w:eastAsia="Times New Roman" w:hAnsi="Times New Roman" w:cs="Times New Roman"/>
          <w:noProof/>
          <w:sz w:val="24"/>
        </w:rPr>
      </w:pPr>
      <w:r>
        <w:rPr>
          <w:rFonts w:ascii="Times New Roman" w:hAnsi="Times New Roman"/>
          <w:noProof/>
          <w:sz w:val="24"/>
        </w:rPr>
        <w:t>På området for andre sociale tjenesteydelser og social inklusion omfatter målene modernisering og styrkelse af de sociale tjenester ved at fremme innovation og nye teknologier, der sikrer levering i hele området, bedre identifikation af behovene og forbedring af deres kvalitet. På området støtte til familier tager tiltagene sigte på at forbedre den retlige beskyttelse og den materielle støtte (i kontanter og naturalier) til familier med henblik på at mindske børnefattigdom.</w:t>
      </w:r>
      <w:r>
        <w:rPr>
          <w:rFonts w:ascii="Times New Roman" w:hAnsi="Times New Roman"/>
          <w:noProof/>
          <w:sz w:val="24"/>
          <w:szCs w:val="24"/>
        </w:rPr>
        <w:t xml:space="preserve"> </w:t>
      </w:r>
      <w:r>
        <w:rPr>
          <w:rFonts w:ascii="Times New Roman" w:hAnsi="Times New Roman"/>
          <w:noProof/>
          <w:sz w:val="24"/>
        </w:rPr>
        <w:t>Et andet formål med komponenten er at modernisere andre ikke-bidragspligtige sociale ydelser for at forbedre deres beskyttelses- og aktiveringsfunktioner.</w:t>
      </w:r>
      <w:r>
        <w:rPr>
          <w:rFonts w:ascii="Times New Roman" w:hAnsi="Times New Roman"/>
          <w:noProof/>
        </w:rPr>
        <w:t xml:space="preserve"> </w:t>
      </w:r>
      <w:r>
        <w:rPr>
          <w:rFonts w:ascii="Times New Roman" w:hAnsi="Times New Roman"/>
          <w:noProof/>
          <w:sz w:val="24"/>
        </w:rPr>
        <w:t>Specifikke målrettede aktioner har til formål at støtte ofre for kønsbestemt vold, fremme adgangen til offentlige tjenester og forbedre kapaciteten i modtagelsessystemet for ansøgere om international beskyttelse. </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Komponenten bidrager til at imødekomme de landespecifikke henstillinger vedrørende sikring af, at arbejdsformidlinger og sociale tjenester har kapacitet til at yde effektiv støtte (landespecifik henstilling nr. 2 fra 2019) forbedring af støtten til familier (landespecifik henstilling nr. 2 fra 2019) mindske fragmenteringen af det nationale arbejdsløshedsunderstøttelsessystem og afhjælpe mangler i dækningen af regionale mindsteindkomstordninger (landespecifik henstilling nr. 2 fra 2019) og forbedring af mindsteindkomst- og familiestøtteordningers dækning og tilstrækkelighed (landespecifik henstilling nr. 2 fra 2020).</w:t>
      </w:r>
    </w:p>
    <w:p>
      <w:pPr>
        <w:spacing w:before="120" w:after="120" w:line="240" w:lineRule="auto"/>
        <w:jc w:val="both"/>
        <w:rPr>
          <w:rFonts w:ascii="Times New Roman" w:hAnsi="Times New Roman" w:cs="Times New Roman"/>
          <w:bCs/>
          <w:noProof/>
          <w:sz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ind w:left="709"/>
        <w:jc w:val="both"/>
        <w:rPr>
          <w:rFonts w:ascii="Times New Roman" w:hAnsi="Times New Roman" w:cs="Times New Roman"/>
          <w:b/>
          <w:bCs/>
          <w:i/>
          <w:iCs/>
          <w:noProof/>
          <w:color w:val="4F81BD" w:themeColor="accent1"/>
          <w:sz w:val="24"/>
        </w:rPr>
      </w:pPr>
      <w:r>
        <w:rPr>
          <w:rFonts w:ascii="Times New Roman" w:hAnsi="Times New Roman"/>
          <w:b/>
          <w:bCs/>
          <w:noProof/>
          <w:sz w:val="24"/>
          <w:u w:val="single"/>
        </w:rPr>
        <w:t xml:space="preserve">V.1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Reform 1 (C22.R1) — Styrkelse af langtidsplejen og fremme af en ændring af modellen for støtte og langtidspleje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sigter mod en menneskecentreret og rettighedsbaseret støttemodel. Systemet for selvbestemmelses- og omsorgsafhængighed (SAAD) forventes at blive forbedret ved at indføre reformer, der skal forenkle de administrative procedurer, fremskynde behandlingen af ansøgninger og reducere ventelisterne for afhængige personer, som ikke modtager de ydelser, som de har ret til, samt mindske forskellene på tværs af territorierne. Den fokuserer også på at styrke kvaliteten af de liberale tjenesteydelser, forbedre arbejdsvilkårene og øge dækningen af de forskellige typer finansielle ydelser. På mellemlang sigt fokuserer reformen på at gennemføre en national afinstitutionaliseringsstrategi, en model, der er rettet mod pleje i nærmiljøet, og som opfylder behovene og præferencerne hos personer med behov for støtte, samtidig med at omkostningseffektiviteten sikres, og de familier, der passer dem, støttes.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Grundlaget for reformen af langtidsplejen skal være baseret på en evaluering af SAAD i løbet af 2021 for at få en indgående forståelse af fremskridtene med reformen af langtidsplejen, der blev indledt i 2020, og dens virkninger. Konklusionerne af denne evaluering forelægges for territorialrådet i første halvdel af 2022.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Gennemførelsen af reformerne skal være afsluttet senest den 30. juni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Reform 2 (C22.R2) — Modernisering af de offentlige sociale tjenester og indførelse af nye lovgivningsmæssige rammer</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har til formål at styrke det offentlige system for sociale tjenesteydelser gennem vedtagelse af lovgivning, der sikrer et fælles minimum af tjenesteydelser og fælles standarder for levering heraf i hele territoriet, og som sikrer lighed for alle spaniere i udøvelsen af deres rettigheder, jf. artikel 149, stk. 1, i den spanske forfatning. Med henblik herpå skal den bidrage til at mindske skævheder og uligheder med hensyn til type, niveau og kvalitet af de leverede tjenester.</w:t>
      </w:r>
      <w:r>
        <w:rPr>
          <w:rFonts w:ascii="Times New Roman" w:hAnsi="Times New Roman"/>
          <w:noProof/>
          <w:color w:val="000000"/>
          <w:sz w:val="24"/>
        </w:rPr>
        <w:t xml:space="preserve"> Regelsættet aftales med regionerne og de lokale selskaber og omfatter også organiseringen af det offentlige system, herunder dets interne koordinering og koordinering med andre sociale beskyttelsessystemer (uddannelse, sundhed, retsvæsen, bolig- og byplanlægning, beskæftigelse osv.) sociale virksomheders deltagelse i leveringen af sociale tjenesteydelser kompetence- og finansieringssystemet. </w:t>
      </w:r>
      <w:r>
        <w:rPr>
          <w:rFonts w:ascii="Times New Roman" w:hAnsi="Times New Roman"/>
          <w:noProof/>
          <w:sz w:val="24"/>
        </w:rPr>
        <w:t xml:space="preserve">Det har desuden til formål at fremme innovation, forbedre færdigheder hos socialarbejdere og oprette et nyt informationssystem for sociale tjenesteydelser.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Gennemførelsen af reformerne skal være afsluttet senest den 30. juni 2023.</w:t>
      </w:r>
    </w:p>
    <w:p>
      <w:pPr>
        <w:spacing w:before="120" w:after="120" w:line="240" w:lineRule="auto"/>
        <w:jc w:val="both"/>
        <w:rPr>
          <w:rFonts w:ascii="Times New Roman" w:hAnsi="Times New Roman" w:cs="Times New Roman"/>
          <w:noProof/>
          <w:sz w:val="24"/>
        </w:rPr>
      </w:pPr>
      <w:r>
        <w:rPr>
          <w:rFonts w:ascii="Times New Roman" w:hAnsi="Times New Roman"/>
          <w:noProof/>
          <w:sz w:val="24"/>
          <w:szCs w:val="24"/>
        </w:rPr>
        <w:t>Reform 3 (C22.R3) — Vedtage en ny lov om beskyttelse af familier og anerkendelse af deres divergens</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sz w:val="24"/>
          <w:szCs w:val="24"/>
          <w:shd w:val="clear" w:color="auto" w:fill="FFFFFF"/>
        </w:rPr>
        <w:t xml:space="preserve">Der skal vedtages en ny lov om beskyttelse af familier og anerkendelse af deres mangfoldighed for at reagere på de demografiske og samfundsmæssige forandringer, der har fundet sted i løbet af de seneste årtier. Formålet med denne nye lov er at give retlig anerkendelse af de forskellige typer familiestrukturer og fastlægge, hvilke ydelser og tjenester de har ret til afhængigt af deres karakteristika og indkomstniveau. </w:t>
      </w:r>
      <w:r>
        <w:rPr>
          <w:rFonts w:ascii="Times New Roman" w:hAnsi="Times New Roman"/>
          <w:noProof/>
          <w:color w:val="000000" w:themeColor="text1"/>
          <w:sz w:val="24"/>
          <w:szCs w:val="24"/>
        </w:rPr>
        <w:t xml:space="preserve">Med henblik herpå skal reformerne omfatte systematisering, ajourføring og forbedring af de retlige rammer og den beskyttende indsats, som den statslige forvaltning anerkender for familier, under hensyntagen til deres forskelligartethed, både med hensyn til social beskyttelse (ydelser, sociale ydelser) og lovgivning (reform af civilretten for visse grupper: ugifte par, rekonstituerede familier) og økonomiske (beskatning, tilskud osv.). </w:t>
      </w:r>
      <w:r>
        <w:rPr>
          <w:rFonts w:ascii="Times New Roman" w:hAnsi="Times New Roman"/>
          <w:noProof/>
          <w:sz w:val="24"/>
          <w:szCs w:val="24"/>
        </w:rPr>
        <w:t>Den skal også omfatte en revision af loven om store familier .</w:t>
      </w:r>
      <w:r>
        <w:rPr>
          <w:rFonts w:ascii="Times New Roman" w:hAnsi="Times New Roman"/>
          <w:noProof/>
          <w:color w:val="000000" w:themeColor="text1"/>
          <w:sz w:val="24"/>
          <w:szCs w:val="24"/>
        </w:rPr>
        <w:t xml:space="preserv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zCs w:val="24"/>
          <w:shd w:val="clear" w:color="auto" w:fill="FFFFFF"/>
        </w:rPr>
        <w:t xml:space="preserve">Et overordnet mål med reformen er at mindske børnefattigdommen. Der skal derfor lægges særlig vægt på at mindske uligheder ved at yde beskyttelse til familier med særlige behov eller i sårbare situationer, såsom husstande med enlige forsørgere eller personer, der risikerer fattigdom eller social udstødelse. Desuden skal loven fastsætte fælles principper og mål for at sikre sammenhæng og komplementaritet med andre offentlige politikker, herunder beskatning, og forbedre beskyttelsen på grundlag af subjektive rettigheder.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zCs w:val="24"/>
          <w:shd w:val="clear" w:color="auto" w:fill="FFFFFF"/>
        </w:rPr>
        <w:t>Gennemførelsen af reformerne skal være afsluttet senest den 30. juni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 xml:space="preserve">Reform 4 (C22.R4) — Reform af modtagelsessystemet for migranter og ansøgere om international beskyttelse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Det nuværende modtagelsessystem for migranter og ansøgere om international beskyttelse i Spanien skal styrkes for at forbedre dets kapacitet, tilpasse det til eksisterende og anslåede fremtidige behov og bidrage til at gøre det mere effektivt. Der fokuseres navnlig på at reducere lange ventetider og lave anerkendelsesprocenter for ansøgere om international beskyttelse. </w:t>
      </w:r>
      <w:r>
        <w:rPr>
          <w:rFonts w:ascii="Times New Roman" w:hAnsi="Times New Roman"/>
          <w:noProof/>
          <w:color w:val="000000"/>
          <w:sz w:val="24"/>
        </w:rPr>
        <w:t>Med et mere robust og velfungerende system forventes styringen af fremtidige migrationskriser at blive mere gnidningsløs.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Modtagelsespolitikker skal skræddersys til sårbare personers og asylansøgeres behov og EU's integrationsmål, så hele systemet bliver mere modstandsdygtigt. Det skal også fastsætte niveauet af fordele for grundlæggende tjenester for ansøgere, der mangler økonomiske ressourcer, og for ansøgere med en mere sårbar profil, der har behov for øget beskyttelse, med henblik på at minimere udbuddet af modtagelsesforhold i form af finansielle ydelser.</w:t>
      </w:r>
      <w:r>
        <w:rPr>
          <w:rFonts w:ascii="Times New Roman" w:hAnsi="Times New Roman"/>
          <w:noProof/>
          <w:color w:val="000000"/>
          <w:sz w:val="24"/>
        </w:rPr>
        <w:t xml:space="preserve"> </w:t>
      </w:r>
      <w:r>
        <w:rPr>
          <w:rFonts w:ascii="Times New Roman" w:hAnsi="Times New Roman"/>
          <w:noProof/>
          <w:sz w:val="24"/>
        </w:rPr>
        <w:t xml:space="preserve">Desuden skal systemet, der omfatter ledsagende tjenester og adgangsveje, tilpasses. Den behandler tilrettelæggelsen af modtagelsessystemet ud fra et territorialt synspunkt med henblik på at fremskynde selvstyrende regioners overtagelse af beføjelser som fastlagt i retspraksis gennem et par pilotprojekter. Endelig aftales parametrene for territorial fordeling for ansøgere i samarbejde med de selvstyrende regioner. </w:t>
      </w:r>
    </w:p>
    <w:p>
      <w:pPr>
        <w:spacing w:before="120" w:after="120" w:line="240" w:lineRule="auto"/>
        <w:jc w:val="both"/>
        <w:rPr>
          <w:rFonts w:ascii="Times New Roman" w:hAnsi="Times New Roman" w:cs="Times New Roman"/>
          <w:noProof/>
          <w:color w:val="000000"/>
          <w:sz w:val="24"/>
        </w:rPr>
      </w:pPr>
      <w:r>
        <w:rPr>
          <w:rFonts w:ascii="Times New Roman" w:hAnsi="Times New Roman"/>
          <w:noProof/>
          <w:sz w:val="24"/>
        </w:rPr>
        <w:t>For at sikre gennemførelsen skal et system af indikatorer, der omfatter elementer som nationalitet, køn, etnicitet, sårbarhed, forholdene i oprindelseslandet osv., anvendes i en vægtet formel, der gør det muligt at foretage en objektiv beregning af sandsynligheden for at blive beskyttet.</w:t>
      </w:r>
      <w:r>
        <w:rPr>
          <w:rFonts w:ascii="Times New Roman" w:hAnsi="Times New Roman"/>
          <w:noProof/>
          <w:color w:val="000000"/>
          <w:sz w:val="24"/>
        </w:rPr>
        <w:t xml:space="preserve"> </w:t>
      </w:r>
      <w:r>
        <w:rPr>
          <w:rFonts w:ascii="Times New Roman" w:hAnsi="Times New Roman"/>
          <w:noProof/>
        </w:rPr>
        <w:t>Under behandlingen af ansøgningerne skal resultatet af formlen gøre det muligt for de myndigheder, der er ansvarlige for modtagelsen, at lede ansøgerne hen imod det basale eller forbedrede modtagelsesspor.</w:t>
      </w:r>
      <w:r>
        <w:rPr>
          <w:rFonts w:ascii="Times New Roman" w:hAnsi="Times New Roman"/>
          <w:noProof/>
          <w:color w:val="000000"/>
          <w:sz w:val="24"/>
        </w:rPr>
        <w:t xml:space="preserve"> Dette gælder også for de tilsvarende ydelser. Dette skal gøre det muligt at anvende grundlæggende modtagelsesforhold for alle asylansøgere og forbedre modtagelsesforholdene for dem med stor sandsynlighed for anerkendelse.</w:t>
      </w:r>
    </w:p>
    <w:p>
      <w:pPr>
        <w:spacing w:before="120" w:after="120" w:line="240" w:lineRule="auto"/>
        <w:jc w:val="both"/>
        <w:rPr>
          <w:rFonts w:ascii="Times New Roman" w:hAnsi="Times New Roman" w:cs="Times New Roman"/>
          <w:noProof/>
          <w:color w:val="000000"/>
          <w:sz w:val="24"/>
        </w:rPr>
      </w:pPr>
      <w:r>
        <w:rPr>
          <w:rFonts w:ascii="Times New Roman" w:hAnsi="Times New Roman"/>
          <w:noProof/>
          <w:color w:val="000000"/>
          <w:sz w:val="24"/>
          <w:szCs w:val="24"/>
          <w:shd w:val="clear" w:color="auto" w:fill="FFFFFF"/>
        </w:rPr>
        <w:t>Gennemførelsen af reformerne skal være afsluttet senest den 31. marts 2022.</w:t>
      </w:r>
    </w:p>
    <w:p>
      <w:pPr>
        <w:spacing w:before="120" w:after="120" w:line="240" w:lineRule="auto"/>
        <w:jc w:val="both"/>
        <w:rPr>
          <w:rFonts w:ascii="Times New Roman" w:hAnsi="Times New Roman" w:cs="Times New Roman"/>
          <w:noProof/>
          <w:sz w:val="24"/>
          <w:u w:val="single"/>
        </w:rPr>
      </w:pPr>
      <w:r>
        <w:rPr>
          <w:rFonts w:ascii="Times New Roman" w:hAnsi="Times New Roman"/>
          <w:noProof/>
          <w:color w:val="000000"/>
          <w:sz w:val="24"/>
          <w:szCs w:val="24"/>
          <w:u w:val="single"/>
          <w:shd w:val="clear" w:color="auto" w:fill="FFFFFF"/>
        </w:rPr>
        <w:t>Reform 5 (C22.R5)</w:t>
      </w:r>
      <w:r>
        <w:rPr>
          <w:rFonts w:ascii="Times New Roman" w:hAnsi="Times New Roman"/>
          <w:noProof/>
          <w:sz w:val="24"/>
          <w:szCs w:val="24"/>
          <w:u w:val="single"/>
        </w:rPr>
        <w:t xml:space="preserve"> — Forbedring af ordningen for ikke-bidragspligtige finansielle ydelser til statsforvaltningen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reform omfatter godkendelse af den nye ordning for minimumsindkomst (MVI) i maj 2020, indførelse af et enkelt nationalt system for ikke-bidragspligtige finansielle ydelser og et minimumsniveau for ikke-bidragspligtige finansielle ydelser til de mest sårbare husholdninger. </w:t>
      </w:r>
    </w:p>
    <w:p>
      <w:pPr>
        <w:spacing w:before="120" w:after="120" w:line="240" w:lineRule="auto"/>
        <w:jc w:val="both"/>
        <w:rPr>
          <w:rFonts w:ascii="Times New Roman" w:hAnsi="Times New Roman" w:cs="Times New Roman"/>
          <w:noProof/>
          <w:sz w:val="24"/>
        </w:rPr>
      </w:pPr>
      <w:r>
        <w:rPr>
          <w:rFonts w:ascii="Times New Roman" w:hAnsi="Times New Roman"/>
          <w:noProof/>
          <w:sz w:val="24"/>
        </w:rPr>
        <w:t>Med udgangspunkt i MVI-ordningen skal der vedtages en plan for omstrukturering og forenkling af ordningen for ikke-bidragspligtige finansielle ydelser for statsforvaltningen.</w:t>
      </w:r>
      <w:r>
        <w:rPr>
          <w:rFonts w:ascii="Times New Roman" w:hAnsi="Times New Roman"/>
          <w:noProof/>
          <w:color w:val="000000" w:themeColor="text1"/>
          <w:sz w:val="24"/>
        </w:rPr>
        <w:t xml:space="preserve"> </w:t>
      </w:r>
      <w:r>
        <w:rPr>
          <w:rFonts w:ascii="Times New Roman" w:hAnsi="Times New Roman"/>
          <w:noProof/>
          <w:sz w:val="24"/>
        </w:rPr>
        <w:t xml:space="preserve">Planen har til formål at integrere og rationalisere ikke-bidragspligtige ydelser på grundlag af MVI-ordningen for at forbedre effektiviteten af de offentlige ressourcer og fokusere dem på sårbare personer og personer, der risikerer fattigdom eller social udstødelse. Der skal fokuseres på at sikre en passende dækning afhængigt af de omstændigheder, der fører til sårbarhed, og sikre tilstrækkelig indkomststøtte og dermed bidrage til fattigdomsbekæmpelse. Med henblik herpå skal der tages hensyn til husstandenes strukturelle behov, navnlig familier med børn og personer med handicap. Den skal også knytte indkomststøtte til aktiv jobsøgning for at fremme socioøkonomisk integration og undgå "fattigdomsfælder".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Gennemførelsen af reformerne skal være afsluttet senest den 31. december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Investering 1 (C22.I1): Langtidspleje- og støtteplan: afinstitutionalisering, udstyr og teknologi</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 overensstemmelse med reformen af denne komponent i 1 skal Spanien investere i seks indsatsområder.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I en langsigtet støtteplan, der analyserer den nuværende situation for plejepolitikker, der har til formål at identificere behov for forbedringer og fremsætte forslag til reform af den nuværende lov om personlig autonomi og pleje af personer i en afhængighedssituation. Den evaluerer også situationen og igangværende projekter i forskellige områder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En national afinstitutionaliseringsstrategi, herunder gennemførelse af bevidstgørelses- og formidlingskampagner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Fire pilotprojekter, der har til formål at fremme afinstitutionalisering og drage erfaringer med henblik på at omdanne støtte og langtidspleje, herunder støtte og langtidspleje af personer med intellektuelle handicap</w:t>
      </w:r>
      <w:r>
        <w:rPr>
          <w:rFonts w:ascii="Times New Roman" w:hAnsi="Times New Roman"/>
          <w:noProof/>
        </w:rPr>
        <w:t xml:space="preserve">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Opførelse og renovering af indkvarteringscentre, centre uden for hjemmet og dagplejecentre samt investeringsudstyr til forbedring af plejens kvalitet. Disse investeringsprojekter gennemføres af de selvstyrende regioner på grundlag af en vurdering af de territoriale behov; og sikring af, at nye og moderniserede beboelsessteder bringes i overensstemmelse med FN's konvention om rettigheder for personer med handicap.</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Reform af fællesskabsintegrerede dagplejecentre, herunder i landdistrikter, som forvaltes af IMSERSO (</w:t>
      </w:r>
      <w:r>
        <w:rPr>
          <w:rFonts w:ascii="Times New Roman" w:hAnsi="Times New Roman"/>
          <w:i/>
          <w:iCs/>
          <w:noProof/>
          <w:sz w:val="24"/>
          <w:szCs w:val="24"/>
        </w:rPr>
        <w:t>Instituto de Mayores y Servicios Social</w:t>
      </w:r>
      <w:r>
        <w:rPr>
          <w:rFonts w:ascii="Times New Roman" w:hAnsi="Times New Roman"/>
          <w:noProof/>
          <w:sz w:val="24"/>
          <w:szCs w:val="24"/>
        </w:rPr>
        <w:t xml:space="preserve"> under ministeriet for sociale rettigheder og Agenda 2030). Elleve centre skal reformeres og tilpasses den nye model for langtidspleje med fokus på personer med fysiske handicap svarende til 1 209 pladser. Der skal også investeres i innovative projekter i de samme centre og</w:t>
      </w:r>
    </w:p>
    <w:p>
      <w:pPr>
        <w:numPr>
          <w:ilvl w:val="0"/>
          <w:numId w:val="97"/>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Investering i nye teknologier til fremme af telepleje, der har til formål at fremme personlig autonomi, pleje og et inklusivt plejemiljø. Mindst 90 % af de personer, der er omfattet af systemet for selv- og omsorgsafhængighed (SAAD), skal have en minimumsliste over hjemmeplejetjenester som følge af denne investering.</w:t>
      </w:r>
      <w:r>
        <w:rPr>
          <w:rFonts w:ascii="Times New Roman" w:hAnsi="Times New Roman"/>
          <w:noProof/>
          <w:color w:val="000000" w:themeColor="text1"/>
          <w:sz w:val="24"/>
          <w:szCs w:val="24"/>
        </w:rPr>
        <w:t xml:space="preserve"> Dette omfatter tjenester via telefonlinjen og med særligt kommunikations- og it-udstyr, der befinder sig i et plejecenter og i brugernes hjem. </w:t>
      </w:r>
    </w:p>
    <w:p>
      <w:pPr>
        <w:keepNext/>
        <w:tabs>
          <w:tab w:val="left" w:pos="709"/>
        </w:tabs>
        <w:spacing w:before="120" w:after="120" w:line="240" w:lineRule="auto"/>
        <w:jc w:val="both"/>
        <w:rPr>
          <w:rFonts w:ascii="Times New Roman" w:hAnsi="Times New Roman" w:cs="Times New Roman"/>
          <w:noProof/>
          <w:sz w:val="24"/>
          <w:szCs w:val="24"/>
          <w:u w:val="single"/>
        </w:rPr>
      </w:pPr>
      <w:r>
        <w:rPr>
          <w:rFonts w:ascii="Times New Roman" w:hAnsi="Times New Roman"/>
          <w:noProof/>
          <w:color w:val="000000"/>
          <w:sz w:val="24"/>
          <w:szCs w:val="24"/>
          <w:shd w:val="clear" w:color="auto" w:fill="FFFFFF"/>
        </w:rPr>
        <w:t>Gennemførelsen af reformerne skal være afsluttet senest den 31. december 2023.</w:t>
      </w:r>
    </w:p>
    <w:p>
      <w:pPr>
        <w:keepNext/>
        <w:tabs>
          <w:tab w:val="left" w:pos="709"/>
        </w:tabs>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Investering 2 (C22.I2): Plan for modernisering af de sociale tjenester — Teknologisk omstilling, innovation, uddannelse og styrkelse af børnepasning</w:t>
      </w:r>
      <w:r>
        <w:rPr>
          <w:rFonts w:ascii="Times New Roman" w:hAnsi="Times New Roman"/>
          <w:noProof/>
          <w:sz w:val="24"/>
          <w:szCs w:val="24"/>
        </w:rPr>
        <w:t xml:space="preserve"> </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 overensstemmelse med reformen af denne komponent i 2 skal Spanien investere i fem indsatsområder. </w:t>
      </w:r>
    </w:p>
    <w:p>
      <w:pPr>
        <w:keepNext/>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Nye teknologier til forbedring af både deres effektivitet i de sociale tjenester (kortere ventetider) og deres kvalitet (bedre resultater af sociale indgreb), herunder fremme af integreret pleje. </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Teknologiske værktøjer til forbedring af forvaltningen af sociale tjenester og informationssystemer, herunder en onlineplatform til centralisering af de oplysninger, der er tilgængelige hos nationale og regionale forvaltninger. Dette omfatter specifikt fuld gennemførelse af det spanske informationssystem for sociale tjenester (SIESS). </w:t>
      </w:r>
      <w:r>
        <w:rPr>
          <w:rFonts w:ascii="Times New Roman" w:hAnsi="Times New Roman"/>
          <w:noProof/>
          <w:color w:val="000000"/>
          <w:sz w:val="24"/>
          <w:szCs w:val="24"/>
        </w:rPr>
        <w:t>Dette nye informationssystem forventes også at muliggøre interoperabilitet med andre systemer (beskæftigelse, sundhed og den tredje sektor). Det omfatter også et onlineredskab til analyse af projekter udviklet af organisationer i den tredje sektor til forvaltning af forskellige budgetprogrammer vedrørende sociale tjenester og omsorg for familier, børn og visse sårbare grupper og onlineplatform til centralisering af de oplysninger om pleje, der er til rådighed i den almindelige statsforvaltning og de selvstyrende regioner.</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Pilotprojekter til fremme af innovation inden for sociale tjenesteydelser. </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Uddannelse af personale i det offentlige sociale system, der er involveret i gennemførelsen af og støtten til den nye model for langtidspleje.</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Forbedring af boliginfrastrukturer og andre aspekter af børnepasnings- og ungdomscentre, bedre håndtering af følelsesmæssige, personlige og uddannelsesmæssige/faglige behov.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Størstedelen af investeringen skal bestå af projekter, der gennemføres af regionale regeringer med henblik på teknologisk omstilling af sociale tjenester og modernisering af infrastruktur og tjenester i forbindelse med beskyttelse af boliger og plejefamilier.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Gennemførelsen af reformerne skal være afsluttet senest den 31. december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 xml:space="preserve">Investering 3 (C22.I3): Spanien — Tilgængelig landeplan </w:t>
      </w:r>
    </w:p>
    <w:p>
      <w:pPr>
        <w:spacing w:before="120" w:after="120" w:line="240" w:lineRule="auto"/>
        <w:jc w:val="both"/>
        <w:rPr>
          <w:rFonts w:ascii="Times New Roman" w:hAnsi="Times New Roman" w:cs="Times New Roman"/>
          <w:noProof/>
          <w:sz w:val="24"/>
        </w:rPr>
      </w:pPr>
      <w:r>
        <w:rPr>
          <w:rFonts w:ascii="Times New Roman" w:hAnsi="Times New Roman"/>
          <w:noProof/>
          <w:sz w:val="24"/>
        </w:rPr>
        <w:t>Spanien investerer i at forbedre adgangen for personer med handicap til offentlige tjenester med fokus på at forbedre den kognitive tilgængelighed i kommunikationen med offentlige myndigheder (herunder websteder) og fysisk adgang til offentlige bygninger og offentlige steder. sundhedstjenesternes fysiske steders egnethed tilgængelighed i uddannelsescentre og indkvartering af offentlig transport, herunder adgang mellem byområder og landdistrikter. Der ydes finansiel støtte til kommuner til udførelse af arbejder og indkøb af udstyr, navnlig i landdistrikter. Der skal også investeres i kommunikations- og bevidstgørelseskampagner samt FUI-forskningsprojekter inden for kognitiv tilgængelighed.</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Gennemførelsen af reformerne skal være afsluttet senest den 31. marts 2023.</w:t>
      </w:r>
    </w:p>
    <w:p>
      <w:pPr>
        <w:spacing w:before="120" w:after="120" w:line="240" w:lineRule="auto"/>
        <w:jc w:val="both"/>
        <w:rPr>
          <w:rFonts w:ascii="Times New Roman" w:hAnsi="Times New Roman" w:cs="Times New Roman"/>
          <w:noProof/>
          <w:sz w:val="24"/>
          <w:szCs w:val="24"/>
          <w:u w:val="single"/>
        </w:rPr>
      </w:pPr>
    </w:p>
    <w:p>
      <w:pPr>
        <w:spacing w:before="120" w:after="120" w:line="240" w:lineRule="auto"/>
        <w:jc w:val="both"/>
        <w:rPr>
          <w:rFonts w:ascii="Times New Roman" w:hAnsi="Times New Roman" w:cs="Times New Roman"/>
          <w:noProof/>
          <w:sz w:val="24"/>
          <w:szCs w:val="24"/>
          <w:u w:val="single"/>
        </w:rPr>
      </w:pP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szCs w:val="24"/>
          <w:u w:val="single"/>
        </w:rPr>
        <w:t>Investering 4 (C22.I4): Planlæg Spanien, beskytter dig mod kønsbaseret vold</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Spanien investerer i telefon- og onlinetjenester til støtte for ofre for vold mod kvinder, herunder ofre for menneskehandel og seksuel udnyttelse. Den omfatter 24 timers krisebistandscentre i alle provinser, herunder Ceuta og Melilla, under hensyntagen til de udfordringer, der er forbundet med at sikre anonymitet og demografiske aspekter. Oprettelsen af disse centre er en del af Spaniens tilslutning til Europarådets konvention om forebyggelse og bekæmpelse af vold mod kvinder og vold i hjemmet, som blev ratificeret for Spanien i 2014.</w:t>
      </w:r>
      <w:r>
        <w:rPr>
          <w:rFonts w:ascii="Times New Roman" w:hAnsi="Times New Roman"/>
          <w:noProof/>
          <w:color w:val="000000"/>
          <w:sz w:val="24"/>
        </w:rPr>
        <w:t xml:space="preserve"> </w:t>
      </w:r>
      <w:r>
        <w:rPr>
          <w:rFonts w:ascii="Times New Roman" w:hAnsi="Times New Roman"/>
          <w:noProof/>
          <w:sz w:val="24"/>
        </w:rPr>
        <w:t xml:space="preserve">Investeringen skal også yde forskellige former for tjenester, herunder juridisk rådgivning, psykologisk og emotionel støtte og støtte til integration på arbejdsmarkedet. Bistanden omfatter også beskyttelse af ofre, herunder anordninger til overvågning af afstandsforanstaltninger.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zCs w:val="24"/>
          <w:shd w:val="clear" w:color="auto" w:fill="FFFFFF"/>
        </w:rPr>
        <w:t>Gennemførelsen af reformerne skal være afsluttet senest den 31. december 2023.</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Investering 5 (C22.I5): Forøgelse af kapaciteten og effektiviteten af modtagelsessystemet for migranter og ansøgere om international beskyttelse</w:t>
      </w:r>
      <w:r>
        <w:rPr>
          <w:rFonts w:ascii="Times New Roman" w:hAnsi="Times New Roman"/>
          <w:noProof/>
          <w:sz w:val="24"/>
          <w:szCs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Spanien investerer i at øge modtagesystemets kapacitet ved at øge statens direkte deltagelse i modtagelsesnetværkets ressourcer. Dette skal bidrage til at sikre større stabilitet i indkvarterings- og modtagelsesfaciliteterne. Investeringen omfatter en evaluering af systemets behov i løbet af de næste tre år, støtte til rehabilitering og renovering af eksisterende centre og administrative procedurer for erhvervelse, opførelse af ny bygning og eventuel renovering af eksisterende bygninger og sikring af energieffektivitet. På grundlag af en vurdering af god praksis fastlægger Spanien også tredjeparters forvaltning af modtagelsescentre. Endelig skal investeringen dække digitalisering af centre og udvikling af en ny digital arkitektur for at forbedre deres forvaltning og lette fordelingen af ansøgernes pladser mellem de selvstyrende regioner.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zCs w:val="24"/>
          <w:shd w:val="clear" w:color="auto" w:fill="FFFFFF"/>
        </w:rPr>
        <w:t>Gennemførelsen af reformerne skal være afsluttet senest den 31. december 2024.</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bCs/>
          <w:noProof/>
          <w:sz w:val="24"/>
          <w:u w:val="single"/>
        </w:rPr>
        <w:t xml:space="preserve">V.2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medmindre andet er angivet i beskrivelsen af foranstaltningen. Beløbene i tabellen omfatter ikke moms.</w:t>
      </w:r>
    </w:p>
    <w:p>
      <w:pPr>
        <w:spacing w:before="120" w:after="120" w:line="240" w:lineRule="auto"/>
        <w:ind w:left="709"/>
        <w:jc w:val="both"/>
        <w:rPr>
          <w:rFonts w:ascii="Times New Roman" w:hAnsi="Times New Roman" w:cs="Times New Roman"/>
          <w:noProof/>
          <w:sz w:val="24"/>
        </w:rPr>
        <w:sectPr>
          <w:headerReference w:type="even" r:id="rId271"/>
          <w:headerReference w:type="default" r:id="rId272"/>
          <w:footerReference w:type="even" r:id="rId273"/>
          <w:footerReference w:type="default" r:id="rId274"/>
          <w:headerReference w:type="first" r:id="rId275"/>
          <w:footerReference w:type="first" r:id="rId276"/>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992"/>
        <w:gridCol w:w="3119"/>
        <w:gridCol w:w="992"/>
        <w:gridCol w:w="850"/>
        <w:gridCol w:w="851"/>
        <w:gridCol w:w="709"/>
        <w:gridCol w:w="567"/>
        <w:gridCol w:w="567"/>
        <w:gridCol w:w="5103"/>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Foranstaltning</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Milepæl</w:t>
            </w:r>
            <w:r>
              <w:rPr>
                <w:rFonts w:ascii="Times New Roman" w:hAnsi="Times New Roman"/>
                <w:b/>
                <w:noProof/>
                <w:color w:val="000000"/>
                <w:sz w:val="18"/>
                <w:szCs w:val="18"/>
              </w:rPr>
              <w:t xml:space="preserve"> </w:t>
            </w:r>
            <w:r>
              <w:rPr>
                <w:rFonts w:ascii="Times New Roman" w:hAnsi="Times New Roman"/>
                <w:b/>
                <w:bCs/>
                <w:noProof/>
                <w:color w:val="000000"/>
                <w:sz w:val="18"/>
                <w:szCs w:val="18"/>
              </w:rPr>
              <w:t xml:space="preserve"> / Mål</w:t>
            </w:r>
          </w:p>
        </w:tc>
        <w:tc>
          <w:tcPr>
            <w:tcW w:w="311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Betegnelse</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Kvalitativ indikator for milepæle</w:t>
            </w:r>
          </w:p>
        </w:tc>
        <w:tc>
          <w:tcPr>
            <w:tcW w:w="2410"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Kvantitativ indikator for målet</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Tid</w:t>
            </w:r>
          </w:p>
        </w:tc>
        <w:tc>
          <w:tcPr>
            <w:tcW w:w="5103"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11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Enhed</w:t>
            </w:r>
          </w:p>
        </w:tc>
        <w:tc>
          <w:tcPr>
            <w:tcW w:w="851"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Referencescenarie</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Målsætning</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bCs/>
                <w:noProof/>
                <w:color w:val="000000"/>
                <w:sz w:val="18"/>
                <w:szCs w:val="18"/>
              </w:rPr>
              <w:t>År</w:t>
            </w:r>
          </w:p>
        </w:tc>
        <w:tc>
          <w:tcPr>
            <w:tcW w:w="5103" w:type="dxa"/>
            <w:tcBorders>
              <w:top w:val="nil"/>
            </w:tcBorders>
            <w:shd w:val="clear" w:color="auto" w:fill="C6D9F1" w:themeFill="text2" w:themeFillTint="33"/>
            <w:noWrap/>
            <w:vAlign w:val="center"/>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Det territoriale råds godkendelse af evalueringen af systemet for selvstændighed og pleje (SAAD).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af evalueringen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Evalueringen skal finde sted i løbet af 2021 for at få en indgående forståelse af fremskridtene i den reform af langtidsplejen, der blev indledt i 2020, og dens virkninger. Konklusionerne af denne evaluering forelægges for territorialrådet i første halvdel af 2022.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loven om sociale tjenesteydelser og ministerielle bekendtgørelser</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szCs w:val="18"/>
              </w:rPr>
              <w:t>Bestemmelse i loven og i de ministerielle bekendtgørelser med angivelse af deres ikrafttræden</w:t>
            </w: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Vedtagelsen af loven om sociale tjenesteydelser efterfølges af vedtagelsen af de nødvendige ministerielle bekendtgørelser. Lovens formål er at forbedre det nuværende system for levering og regulere de grundlæggende betingelser for levering af sociale ydelser i Spanien.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loven om familiemangfoldighed</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loven, der angiver lovens ikrafttræden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Familiens mangfoldighedslov har som mål i) retlig anerkendelse af de forskellige typer familiestrukturer, der er indført, ii) fastsættelse af de ydelser og tjenesteydelser, som de har ret til i henhold til deres karakteristika og indkomstniveau og iii) nedbringelse af børnefattigdom under hensyntagen til resultaterne af en omfordelingskonsekvensanalyse.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C22.R4</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 af lovgivningsreformen af modtagelsessystemet for migranter og ansøgere om international beskyttelse i Spanien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bekendtgørelsen om bekendtgørelsens ikrafttræden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En ministeriel afgørelse skal reformere modtagelsessystemet for migranter og ansøgere om international beskyttelse i Spanien, der er vedtaget af ministeriet for inklusion, social sikring og migration. Formålet med reformen er at udvikle nye modtagelsesprocedurer for alle centre i modtagelsesnetværket og anerkende grundlæggende modtagelsesforhold for alle asylansøgere og forbedre modtagelsesforholdene for dem med stor sandsynlighed for anerkendelse.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C22.R5</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kongeligt lovdekret nr. 20/2020 af 29. maj om godkendelse af den nødvendige mindsteindkomst</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der angiver lovens ikrafttræden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minimumsalvinsten (kongeligt dekret nr. 20/2020 af 29. maj).</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319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C22.R5</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"Plan for omstrukturering og forenkling af ordningen for ikke-bidragspligtige finansielle ydelser for statsforvaltningen"</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Den Europæiske Unions Tidende af planen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Vedtagelse af en "plan for omstrukturering og forenkling af ordningen for ikke-bidragspligtige økonomiske ydelser til statsforvaltningen" (offentliggørelse i EU-Tidende). Planen skal sigte mod at integrere ikke-bidragspligtige ydelser i et indkomstdækningsinstrument for at forbedre effektiviteten af de offentlige ressourcer og fokusere dem på personer, der er truet af sårbarhed eller social udstødelse. Denne plan skal fokusere på en passende dækning af de forskellige omstændigheder, der fører til sårbarhed, samt på indkomststøttens tilstrækkelighed. Med henblik herpå skal den tage hensyn til på den ene side strukturelle behov såsom husstande med børn og personer med handicap og på den anden side knytte indkomststøtte til aktiv jobsøgning og undgå "fattigdomsfælder". Planen skal tage hensyn til alle eksisterende ikke-bidragspligtige med henblik på gradvis og med tiden at integrere dem i et enkelt nationalt system for at sikre, at planens mål nås fuldt ud.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320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C22.R5</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lovgivning om reorganisering og forenkling af ordningen for ikke-bidragspligtige økonomiske ydelser</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der angiver lovens ikrafttræden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Reformen skal omorganisere og forenkle ordningen for ikke-bidragspligtige kontantydelser. Formålet med reformen er at medtage de vigtigste ikke-bidragspligtige ydelser fra statsforvaltningen i dækningsinstrumentet, der er bygget op omkring mindsteindkomstordningen (IMV), at omorganisere og forenkle systemet med ikke-bidragspligtige finansielle ydelser i overensstemmelse med målene for "planen om at omorganisere og forenkle ordningen for ikke-bidragspligtige finansielle ydelser fra statsforvaltningen".</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321</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C22.I1</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Projekter gennemført af ministeriet for sociale rettigheder og Agenda 2030</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Afslutning af 4 pilotprojekter om afinstitutionaliseret pleje, hvoraf ét fokuserer på støtte og pleje af personer med intellektuelle handicap, og reform af centre svarende til mindst 1 100 pladser i IMSERSO.</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322</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C22.I1</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Hjemmeplejetjenester i systemet for autonomi og pleje for afhængighed (SAAD)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26</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90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90 % af de personer i Autonomous and Care for Dependency (SAAD), der skal drage fordel af en minimumsliste over hjemmeplejetjenester, navnlig via telefonlinjer og med særligt kommunikations- og it-udstyr, placeret i et plejecenter og i brugernes hjem. Basisdato: 31. marts 2020.</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C22.I1</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Institutions-, institutions- og dagplejesteder.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22 360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Institutions-, fritids- og dagcentre, renoveret og/eller bygget med henblik på at tilpasse 22 360 pladser til den nye model for langtidspleje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324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Indførelse af specifikke teknologiske værktøjer til forbedring af informations- og forvaltningssystemerne for sociale tjenesteydelser.</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Ekstern evaluering af alle faser og projektets endelige resultater.</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Q3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Udviklingen og gennemførelsen af specifikke teknologiske værktøjer til forbedring af informations- og forvaltningssystemerne i de sociale tjenester omfatter: i) det spanske informationssystem for sociale tjenesteydelser (SIESS) ii) et onlineværktøj til analyse af projekter udviklet af enheder i den tredje sektor iii) edb-værktøjer til forvaltning af forskellige budgetprogrammer vedrørende sociale ydelser og pleje af familien, børn og visse sårbare grupper og iv) en onlineplatform til centralisering af de oplysninger om pleje, der er til rådighed i landet.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325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C22.I2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Afslutning af projekter vedrørende teknologisk omstilling af sociale tjenester og modernisering af infrastruktur og tjenester i forbindelse med beskyttelse af boliger og plejefamilier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Kontrol af de aftaler, der er indgået med hver af de selvstyrende regioner</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 regionale regeringers færdiggørelse af den teknologiske omstilling af sociale tjenester, der muliggør interoperabilitet med andre systemer, der interagerer med sociale tjenester (beskæftigelse, sundhed, den tredje sektor og modernisering af infrastruktur og tjenester i forbindelse med beskyttelse af børne- og teenageplejecentre, herunder ved bedre at imødekomme individuelle støttebehov (herunder følelsesmæssige og uddannelsesmæssige/faglige) og plejefamilier til et samlet budget på mindst 450 000 000 EUR.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C22.I3</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Projekter om forbedret tilgængelighed</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277</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De regionale myndigheder og centralregeringen færdiggør mindst 277 projekter for at forbedre tilgængeligheden og fjerne hindringer.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327</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C22.I4</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Centre for ofre for seksuel vold.</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19</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52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Mindst ét omfattende plejecenter for ofre for seksuel vold, der er operationelt pr. provins, og ét i de selvstyrende spanske byer Ceuta og Melilla. Basisdato: 1. februar 2020.</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328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C22.I5</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Kapaciteten i modtagelsessystemet for migranter og ansøgere om international beskyttelse </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400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6 100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At øge modtagelseskapaciteten i modtagelsessystemet for ansøgere om international beskyttelse i centrene i ministeriet for inklusion, social sikring og migration med mindst 5 700 pladser i forhold til 2019. Mindst 176 000 000 EUR går til opførelse og renovering af bygninger for at sikre energieffektivitet. Dato for basislinjen: 31. december 2019.</w:t>
            </w:r>
          </w:p>
        </w:tc>
      </w:tr>
    </w:tbl>
    <w:p>
      <w:pPr>
        <w:spacing w:before="120" w:after="120" w:line="240" w:lineRule="auto"/>
        <w:ind w:left="709"/>
        <w:jc w:val="both"/>
        <w:rPr>
          <w:rFonts w:ascii="Times New Roman" w:hAnsi="Times New Roman" w:cs="Times New Roman"/>
          <w:noProof/>
          <w:sz w:val="24"/>
          <w:lang w:val="en-IE"/>
        </w:rPr>
        <w:sectPr>
          <w:headerReference w:type="even" r:id="rId277"/>
          <w:headerReference w:type="default" r:id="rId278"/>
          <w:footerReference w:type="even" r:id="rId279"/>
          <w:footerReference w:type="default" r:id="rId280"/>
          <w:headerReference w:type="first" r:id="rId281"/>
          <w:footerReference w:type="first" r:id="rId282"/>
          <w:pgSz w:w="16839" w:h="11907" w:orient="landscape"/>
          <w:pgMar w:top="1417" w:right="1134" w:bottom="1417" w:left="1134" w:header="709" w:footer="709" w:gutter="0"/>
          <w:cols w:space="720"/>
          <w:docGrid w:linePitch="360"/>
        </w:sectPr>
      </w:pPr>
    </w:p>
    <w:p>
      <w:pPr>
        <w:pStyle w:val="Heading1"/>
        <w:rPr>
          <w:noProof/>
        </w:rPr>
      </w:pPr>
      <w:r>
        <w:rPr>
          <w:noProof/>
        </w:rPr>
        <w:t>W. KOMPONENT 23: Nye offentlige politikker for et dynamisk, modstandsdygtigt og inklusivt arbejdsmarked</w:t>
      </w:r>
    </w:p>
    <w:p>
      <w:pPr>
        <w:spacing w:before="120" w:after="120" w:line="240" w:lineRule="auto"/>
        <w:jc w:val="both"/>
        <w:rPr>
          <w:rFonts w:ascii="Times New Roman" w:hAnsi="Times New Roman" w:cs="Times New Roman"/>
          <w:noProof/>
          <w:sz w:val="24"/>
        </w:rPr>
      </w:pPr>
      <w:r>
        <w:rPr>
          <w:rFonts w:ascii="Times New Roman" w:hAnsi="Times New Roman"/>
          <w:noProof/>
        </w:rPr>
        <w:t>Komponenten i den spanske genopretnings- og resiliensplan tager fat på vigtige strukturelle udfordringer på det spanske arbejdsmarked.</w:t>
      </w:r>
      <w:r>
        <w:rPr>
          <w:rFonts w:ascii="Times New Roman" w:hAnsi="Times New Roman"/>
          <w:noProof/>
          <w:sz w:val="24"/>
        </w:rPr>
        <w:t xml:space="preserve"> Dens vigtigste mål er at nedbringe den strukturelle arbejdsløshed og ungdomsarbejdsløsheden, mindske den udbredte brug af tidsbegrænsede kontrakter og korrigere dobbeltarbejde på arbejdsmarkedet, øge investeringerne i menneskelig kapital, modernisere de kollektive forhandlingsinstrumenter og øge effektiviteten af aktive arbejdsmarkedspolitikker.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Komponenten omfatter relevante investeringer, der supplerer dem, der finansieres af strukturfondene (navnlig Den Europæiske Socialfond), og som har til formål at maksimere reformernes indvirkning på skabelse af kvalitetsjob, produktivitetsgevinster og mindskelse af sociale, territoriale og kønsbestemte forskelle.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Samlet set tager de foranstaltninger, der indgår i komponenten, sigte på at tackle de langvarige udfordringer på det spanske arbejdsmarked og fremlægge en række ambitiøse og sammenhængende reformer, hvoraf de fleste skal gennemføres inden udgangen af 2021. Nogle af reformforslagene drøftes i øjeblikket med arbejdsmarkedets parter gennem en social dialog. Derfor er visse detaljer udtrykkeligt blevet holdt åbne med henblik på at give tilstrækkelig plads til aftalen og arbejdsmarkedsparternes godkendelse. </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iCs/>
          <w:noProof/>
          <w:color w:val="000000" w:themeColor="text1"/>
          <w:sz w:val="24"/>
        </w:rPr>
        <w:t>Komponenten vedrører de landespecifikke henstillinger om overgang til tidsubegrænsede kontrakter og ansættelsesincitamenter, om offentlige arbejdsformidlinger, aktive arbejdsmarkedspolitikker og voksenuddannelse, om arbejdsløshedsbeskyttelse, minimumsindkomstordninger og om jobbevarelse (landespecifikke henstillinger nr. 2 fra 2019 og nr. 2 fra 2020).</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W.1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1 (C23.R1) — Regulering af telearbejde</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reform skal fastlægge en lovgivningsmæssig ramme for levering af fjernarbejde med det formål at forbedre beskyttelsen af arbejdstagerne og fleksibiliteten, samtidig med at virksomhedernes produktivitet bevares. Den består i godkendelse af to kongelige love:</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Kongeligt lovdekret 28/2020 af 22. september udstikker en lovramme, der fremmer indførelsen af fjernarbejde i den private sektor, samtidig med at virksomhedernes produktivitet bevares, og arbejdstagerne sikres beskyttelse og fleksibilitet. Det sikrer de samme arbejdsvilkår for dem, der arbejder fjernt og på stedet, samt den frivillige karakter af telearbejde, både for arbejdstageren og for arbejdsgiveren. De etablerede rammer fremmer blandede former for distancearbejde og arbejde på stedet. </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Kongeligt lovdekret nr. 29/2020 af 29. september om telearbejde i den offentlige forvaltning fastsætter en lovramme for offentligt ansatte, der anerkender muligheden for at give denne type arbejde på frivillig og reversibel basis med forudgående tilladelse.</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Denne reform hænger sammen med reform 1 i komponent 11 om offentlig forvaltning.</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31. december 2020.</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2 (C23.R2) — Foranstaltninger til udligning af kønsskævheden</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Denne reform har til formål at udligne den kønsbestemte lønforskel. Den består af to vedtægter:</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Kongeligt dekret 901/2020 af 13. oktober regulerer arbejdsgivernes forpligtelse til at udarbejde og registrere ligestillingsplaner for at sikre løngennemsigtighed. Alle virksomheder med mere end 150 ansatte er forpligtet til at udarbejde og registrere sådanne planer, og i 2022 skal alle virksomheder med mere end 50 arbejdstagere også være forpligtede. I den kongelige anordning fastsættes proceduren for forhandling af planerne, de krav, der skal følges af diagnosen, og kendetegnene ved vurderingen og overvågningen af planerne. </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Kongeligt dekret 902/2020 af 13. oktober om lige løn til mænd og kvinder sikrer princippet om løngennemsigtighed med henblik på at identificere diskriminerende situationer som følge af ukorrekte ansættelser (dvs. lavere løn for arbejde af samme værdi). Dekretet definerer de situationer, hvor et værk anses for at være af samme værdi. Den har været i kraft siden april 2021 efter den 6-måneders periode, som arbejdsgiverne fik til at indføre de nødvendige gennemførelsesmekanismer.</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30. juni 2021.</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Reform 3 (C23.R3) — regulering af hjemmedistributørernes arbejde ved hjælp af digitale platforme (</w:t>
      </w:r>
      <w:r>
        <w:rPr>
          <w:rFonts w:ascii="Times New Roman" w:hAnsi="Times New Roman"/>
          <w:i/>
          <w:noProof/>
          <w:sz w:val="24"/>
          <w:u w:val="single"/>
        </w:rPr>
        <w:t>riders</w:t>
      </w:r>
      <w:r>
        <w:rPr>
          <w:rFonts w:ascii="Times New Roman" w:hAnsi="Times New Roman"/>
          <w:noProof/>
          <w:sz w:val="24"/>
          <w:u w:val="single"/>
        </w:rPr>
        <w: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har til formål at regulere arbejdsvilkårene for de såkaldte rigere, der er involveret i distributionsaktiviteter til tredjeparter ved hjælp af teknologiske midler. Et kongeligt lovdekret skal sikre disse arbejdstagere retten til en retfærdig og lige behandling med hensyn til arbejdsvilkår og adgang til social beskyttelse og uddannelse gennem den retlige formodning om et ansættelsesforhold mellem virksomheden og føreren. Den skal også gøre det muligt for arbejdstagernes juridiske repræsentation at blive informeret om reglerne i algoritmer og systemer vedrørende kunstig intelligens, som kan have indvirkning på arbejdsvilkårene, herunder adgang til og opretholdelse af beskæftigelse og profilering.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30. september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4 (C23.R4) — Forenkling af kontrakter: generalisering af den tidsubegrænsede kontrakt, begrundelse for at anvende midlertidige kontrakter og regulering af uddannelses-/lærlingekontrakten.</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reform består i at ændre den forordning om kontrakter, der er fastsat i lov om arbejdstageres rettigheder (lovdekret nr. 2/2015), med det formål at regulere anvendelsen af tidsbegrænsede kontrakter udelukkende som en årsagssammenhæng og generalisere anvendelsen af tidsubegrænsede kontrakter. Reformen skal omfatte følgende elementer:</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Forenkling og reorganisering af rækken af kontrakter med tre hovedtyper: tidsubegrænset, midlertidig og uddannelse/lærlingeuddannelse. Udformningen af de nye kontrakttyper har til formål at begrænse de gyldige årsager til at anvende tidsbegrænsede kontrakter og dermed gøre tidsubegrænsede kontrakter til hovedreglen. </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Revision af anvendelsen af uddannelses-/lærlingekontrakten med henblik på at skabe passende rammer for, at unge kan komme ind på arbejdsmarkedet. </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Styrkelse af anvendelsen af sæsonkontrakten, som er en særlig form for tidsubegrænsede kontrakter, der anvendes i sæsonbestemte aktiviteter.</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Reformen skal styrke kontrollen med anvendelsen af deltidskontrakter for at forhindre uregelmæssig arbejdstid.</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szCs w:val="24"/>
        </w:rPr>
        <w:t>Styrkelse af bekæmpelsen af bedrageri på arbejdsmarkedet, bl.a. ved at ajourføre sanktionssystemet.</w:t>
      </w:r>
    </w:p>
    <w:p>
      <w:pPr>
        <w:spacing w:before="240" w:after="120" w:line="240" w:lineRule="auto"/>
        <w:jc w:val="both"/>
        <w:rPr>
          <w:rFonts w:ascii="Times New Roman" w:hAnsi="Times New Roman" w:cs="Times New Roman"/>
          <w:noProof/>
          <w:sz w:val="24"/>
        </w:rPr>
      </w:pPr>
      <w:r>
        <w:rPr>
          <w:rFonts w:ascii="Times New Roman" w:hAnsi="Times New Roman"/>
          <w:noProof/>
          <w:sz w:val="24"/>
          <w:szCs w:val="24"/>
        </w:rPr>
        <w:t>Det hænger tæt sammen med reform 1 i komponent 11, som skal indføre andre juridiske ændringer i vedtægten for offentligt ansatte for at mindske anvendelsen af tidsbegrænsede kontrakter i den offentlige sektor. Det hænger også sammen med reform 6 (fleksibilitet og stabilitetsmekanisme) i denne komponent (C23).</w:t>
      </w:r>
    </w:p>
    <w:p>
      <w:pPr>
        <w:spacing w:before="240" w:after="120" w:line="240" w:lineRule="auto"/>
        <w:jc w:val="both"/>
        <w:rPr>
          <w:rFonts w:ascii="Times New Roman" w:hAnsi="Times New Roman" w:cs="Times New Roman"/>
          <w:noProof/>
          <w:sz w:val="24"/>
        </w:rPr>
      </w:pPr>
      <w:r>
        <w:rPr>
          <w:rFonts w:ascii="Times New Roman" w:hAnsi="Times New Roman"/>
          <w:noProof/>
          <w:sz w:val="24"/>
          <w:szCs w:val="24"/>
        </w:rPr>
        <w:t>Gennemførelsen af reformerne skal være afsluttet senest den 31. december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5 (C23.R5) — Modernisering af aktive arbejdsmarkedspolitikker</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reform er at modernisere gennemførelsen af aktive arbejdsmarkedspolitikker i Spanien under hensyntagen til konklusionerne fra de udgiftsanalyser, der er foretaget af den uafhængige finanspolitiske myndighed (AIReF). Reformen skal bestå af flere elementer, såsom udvikling af individuelle rådgivningsforløb, forebyggelse af misbrug af arbejdsbaseret uddannelse (såsom praktikophold og uddannelseskontrakter), styrkelse af voksenuddannelsessystemet og anerkendelse af kompetencer, oprettelse af en kvikskranke for unge, forbedring af koordineringen mellem arbejdsformidlinger og sociale tjenester og med regionerne og forbedring af samarbejdet med den private sektor.</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reform suppleres af to andre reformer i denne komponent, nemlig reform 7 (ansættelsesincitamenter) og reform 11 (digitalisering af offentlige arbejdsformidlinger). Visse elementer i reformen (f.eks. styrkelsen af omskolings- og bistandsprogrammet for ældre arbejdstagere) giver synergier med reform 2 i C30 (tilpasning af den faktiske pensionsalder til den lovbestemte pensionsalder).</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skal omfatte en række lovgivningsmæssige skridt i 2021 og 2022:</w:t>
      </w:r>
    </w:p>
    <w:p>
      <w:pPr>
        <w:numPr>
          <w:ilvl w:val="0"/>
          <w:numId w:val="101"/>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Handlingsplanen for 2021-2027 skal tackle ungdomsarbejdsløsheden i forbindelse med gennemførelsen af EU's ungdomsgaranti Plus. Handlingsplanen skal omfatte en gennemgang af praktik-/lærlingekontrakter og godkendelse af en praktikantstatut. Disse foranstaltninger skal være i overensstemmelse med uddannelsespolitikkerne til bekæmpelse af skolefrafald (jf. element 21). Gennemførelsen af dette element i foranstaltningen skal være afsluttet senest den 30. juni 2021.</w:t>
      </w:r>
    </w:p>
    <w:p>
      <w:pPr>
        <w:numPr>
          <w:ilvl w:val="0"/>
          <w:numId w:val="101"/>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2021-2024 spansk strategi for aktivering af beskæftigelsen efter en social dialogproces. Hovedformålene med den nye strategi er: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Menneskecentreret og erhvervscentreret tilgang: udformningen af aktive arbejdsmarkedspolitikker forventes at fokusere på de særlige forhold, der gør sig gældende for hver enkelt person og virksomhed.</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Overensstemmelse med produktiv omstilling: Aktive arbejdsmarkedspolitikker bør give mulighed for professionelle overgange i forbindelse med overgangen til en grøn og digital økonomi.</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Resultatorientering: Aktive arbejdsmarkedspolitikker forventes at blive vurderet, overvåget og fremmet opnåelsen af resultater.</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Forbedring af de offentlige arbejdsformidlingers kapacitet gennem digitalisering og modernisering.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Styring og sammenhæng i det nationale beskæftigelsessystem for at forbedre koordineringen på nationalt og regionalt plan og interessenter, der er involveret i aktive arbejdsmarkedspolitikker.</w:t>
      </w:r>
    </w:p>
    <w:p>
      <w:p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Gennemførelsen af dette element i foranstaltningen skal være afsluttet senest den 31. december 2021.</w:t>
      </w:r>
    </w:p>
    <w:p>
      <w:pPr>
        <w:numPr>
          <w:ilvl w:val="0"/>
          <w:numId w:val="101"/>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Reform af arbejdsmarkedsloven med følgende mål: i) at styrke det nationale beskæftigelsessystems politik- og koordineringsinstrumenter ii) reform af aktive arbejdsmarkedspolitikker iii) at gennemgå forvaltningen af systemet iv) at styrke beskæftigelsespolitikkens lokale dimension og v) at opfylde kravene til gennemførelse af de forskellige foranstaltninger, der er planlagt inden for rammerne af den nationale plan for aktive beskæftigelsespolitikker. I denne forbindelse skal hovedelementerne i de lovgivningsmæssige ændringer omfatte:</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Styrkelse af aktive og passive beskæftigelsespolitikker under hensyntagen til kompetencefordelingen mellem staten og de selvstyrende regioner.</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Styrkelse af intermediationssystemet og offentlig-private partnerskaber.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Fælles tjenesteportefølje i det nationale beskæftigelsessystem.</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Revision af finansieringsmodellen.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Samarbejde med sociale tjenester.</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Lokal og europæisk dimension.</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Teknologisk udvikling med henblik på beskæftigelsesegnethed.</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Anvendelse af IKT og big data.</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Forbedring af beskæftigelsesegnetheden.</w:t>
      </w:r>
    </w:p>
    <w:p>
      <w:p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Gennemførelsen af dette element i foranstaltningen skal være afsluttet senest den 31. december 2022.</w:t>
      </w:r>
    </w:p>
    <w:p>
      <w:pPr>
        <w:spacing w:before="240" w:after="120" w:line="240" w:lineRule="auto"/>
        <w:jc w:val="both"/>
        <w:rPr>
          <w:rFonts w:ascii="Times New Roman" w:hAnsi="Times New Roman" w:cs="Times New Roman"/>
          <w:noProof/>
          <w:sz w:val="24"/>
          <w:u w:val="single"/>
        </w:rPr>
      </w:pPr>
      <w:r>
        <w:rPr>
          <w:rFonts w:ascii="Times New Roman" w:hAnsi="Times New Roman"/>
          <w:noProof/>
          <w:sz w:val="24"/>
          <w:u w:val="single"/>
        </w:rPr>
        <w:t>Reform 6 (C23.R6) — permanent mekanisme for intern fleksibilitet, jobstabilitet og omskoling af arbejdstagere i overgangsfasen.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reform har til formål at etablere en permanent ordning for tilpasning til cykliske og strukturelle chok ved at dække hjemsendelse eller nedsættelse af arbejdstiden gennem en beskæftigelsesreguleringsplan, der omfatter krav om at forbedre eller omskole arbejdstagere under hensyntagen til de kvalifikationer, der er identificeret som efterspurgte. Ordningen skal bygge på erfaringerne fra ordninger med nedsat arbejdstid (såkaldte "ERTE"), der blev indført under covid-19-krisen for at bevare arbejdspladser under nedlukningen og andre aktivitetsbegrænsninger som følge af pandemien. </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består af to nye tilpasningsmekanismer:</w:t>
      </w:r>
    </w:p>
    <w:p>
      <w:pPr>
        <w:numPr>
          <w:ilvl w:val="0"/>
          <w:numId w:val="10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En økonomisk stabiliseringsmekanisme, der skal give virksomhederne intern fleksibilitet og stabilitet til arbejdstagerne i tilfælde af midlertidige eller cykliske chok med særligt fokus på arbejdstagernes uddannelse.</w:t>
      </w:r>
    </w:p>
    <w:p>
      <w:pPr>
        <w:numPr>
          <w:ilvl w:val="0"/>
          <w:numId w:val="10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En mekanisme, der støtter omskoling og opkvalificering af arbejdstagere og virksomheder under omstilling for at hjælpe dem med at håndtere teknologiske innovationer eller behovsinnovationer, og som skal lette arbejdstagernes frivillige mobilitet i og på tværs af virksomheder.</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Reformen gennemføres ved en ændring af statutten for arbejdstagere. Den skal omfatte oprettelsen af en trepartskasse, der skal finansieres gennem socialsikringsbidrag fra arbejdsgivere og arbejdstagere og suppleres af staten. Den skal sikre finanspolitisk holdbarhed på mellemlang til lang sigt under hensyntagen til forskellige muligheder og scenarier. Denne fonds konkrete funktion skal forhandles med arbejdsmarkedets parter. </w:t>
      </w:r>
    </w:p>
    <w:p>
      <w:pPr>
        <w:spacing w:before="24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7 (C23.R7) — Revision af ansættelsesincitamenter</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reformen er at forenkle systemet med ansættelsesincitamenter og øge dets effektivitet gennem bedre målretning ved at tage hensyn til den udgiftsanalyse, der foretages af den uafhængige finanspolitiske myndighed (AIReF). Det har navnlig til formål at forbedre beskæftigelsesegnetheden for meget specifikke grupper med lav deltagelse på arbejdsmarkedet ved at fremme kvalitetsjob og tidsubegrænsede kontrakter. Antallet af incitamenter skal reduceres, og kravene til begunstigede virksomheder skal standardiseres. Der er planer om løbende overvågning og evaluering af ansættelsesincitamentsordningen.</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gennemføres ved en ændring af lov nr. 43/2006. Den er tæt forbundet med andre foranstaltninger i denne komponent, f.eks. R5 (generel reform af aktive arbejdsmarkedspolitikker) og I7 (aktiveringsveje for personer, der er omfattet af mindsteindkomstordningen).</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2022.</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8 (C23.R8) — Modernisering af kollektive overenskomstforhandlinger</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Denne reform har til formål at forbedre den måde, overenskomstforhandlingerne fungerer på, ved at ændre de relevante retsregler i loven om arbejdstagere (afsnit III i lovdekret nr. 2/2015) efter en proces med social dialog. På grund af dette er de planlagte lovgivningsmæssige ændringer ikke fuldt ud beskrevet i planen. Ændringerne skal forbedre de retlige regler for kollektive overenskomstforhandlinger.</w:t>
      </w:r>
    </w:p>
    <w:p>
      <w:pPr>
        <w:spacing w:before="120" w:after="120" w:line="240" w:lineRule="auto"/>
        <w:jc w:val="both"/>
        <w:rPr>
          <w:rFonts w:ascii="Times New Roman" w:hAnsi="Times New Roman" w:cs="Times New Roman"/>
          <w:noProof/>
          <w:sz w:val="24"/>
        </w:rPr>
      </w:pPr>
      <w:r>
        <w:rPr>
          <w:rFonts w:ascii="Times New Roman" w:hAnsi="Times New Roman"/>
          <w:noProof/>
          <w:sz w:val="24"/>
        </w:rPr>
        <w:t>Moderniseringen af kollektive overenskomstforhandlinger skal omfatte ændringer af selve forhandlingsstrukturen med henblik på at styrke forhandlingsparternes repræsentativitet, berige dialogens indhold og øge retssikkerheden i forbindelse med dens gennemførelse og virkninger. Ændringer må ikke medføre uforholdsmæssigt store hindringer for, at selskaberne kan tilpasse sig konjunkturforløbet og reagere på produktivitetsudviklingen.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skal være gennemført senest den 31. december 2021.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9 (C23.R9) — Modernisering af underlejede aktiviteter</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reform har til formål at forbedre arbejdsvilkårene og rettighederne for personer, der arbejder i underentreprenører, ved at ændre artikel 42 i lov om arbejdstageres rettigheder (lovdekret nr. 2/2015) for at sikre, at den anvendes korrekt i tilfælde, hvor den forbedrer produktionsaktiviteten og afskrækker den fra dem, hvor den blot er et middel til at reducere omkostningerne. </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reform skal sikre et passende beskyttelsesniveau for arbejdstagere i underentreprise og bevæge sig i retning af lige vilkår mellem arbejdstagere i underentreprise og arbejdstagere i virksomheden. Det skal også styrke kontrahenters eller underleverandørers ansvar og forhindre outsourcing af tjenesteydelser gennem underentreprise i de tilfælde, hvor det blev udført med det formål at sænke arbejdsstandarderne for personer, der arbejder for underleverandører.</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skal være gennemført senest den 31. december 2021.</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10 (C23.R10) — Forenkling og forbedring af arbejdsløshedsunderstøttelsen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lovreform vedrører den ikke-bidragspligtige arbejdsløshedsunderstøttelse og finder sted gennem en ændring af kongeligt lovdekret nr. 8/2015. Det hænger tæt sammen med reform 5 af komponent 22, som skitserer en mere generel reform af ikke-bidragspligtige sociale ydelser. </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har følgende mål:</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 xml:space="preserve">at udvide beskyttelsen mod arbejdsløshed ved at udfylde nogle af de huller, der er forbundet med dækningen i det nuværende system, og forlænge den maksimale varighed </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 xml:space="preserve">at forenkle systemet, som i øjeblikket er opdelt i flere ordninger; </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 xml:space="preserve">at knytte fordelen til en individuel aktiveringsrute </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szCs w:val="24"/>
        </w:rPr>
        <w:t>at lette overgangen til social beskyttelse, når modtageren ikke vender tilbage til arbejdet og befinder sig i en sårbar situation.</w:t>
      </w:r>
    </w:p>
    <w:p>
      <w:pPr>
        <w:spacing w:before="240" w:after="120" w:line="240" w:lineRule="auto"/>
        <w:jc w:val="both"/>
        <w:rPr>
          <w:rFonts w:ascii="Times New Roman" w:hAnsi="Times New Roman" w:cs="Times New Roman"/>
          <w:noProof/>
          <w:sz w:val="24"/>
        </w:rPr>
      </w:pPr>
      <w:r>
        <w:rPr>
          <w:rFonts w:ascii="Times New Roman" w:hAnsi="Times New Roman"/>
          <w:noProof/>
          <w:sz w:val="24"/>
        </w:rPr>
        <w:t>Som hovedregel skal målgruppen for den nye ordning være den samme som i det nuværende system, dvs. arbejdsløse arbejdstagere, der ikke er berettiget til bidragspligtige arbejdsløshedsunderstøttelse, enten fordi de har været arbejdsløse i for lang tid og har udtømt deres rettigheder, eller fordi deres bidragshistorie er for kort (under 12 måneder, men mere end seks). Det månedlige ydelsesbeløb skal forblive på 80 % af IPREM (indikator for offentlige indtægter med flere virkninger).</w:t>
      </w:r>
    </w:p>
    <w:p>
      <w:pPr>
        <w:spacing w:before="120" w:after="120" w:line="240" w:lineRule="auto"/>
        <w:jc w:val="both"/>
        <w:rPr>
          <w:rFonts w:ascii="Times New Roman" w:hAnsi="Times New Roman" w:cs="Times New Roman"/>
          <w:noProof/>
          <w:sz w:val="24"/>
        </w:rPr>
      </w:pPr>
      <w:r>
        <w:rPr>
          <w:rFonts w:ascii="Times New Roman" w:hAnsi="Times New Roman"/>
          <w:noProof/>
          <w:sz w:val="24"/>
        </w:rPr>
        <w:t>Gennemførelsen af reformerne skal være afsluttet senest den 31. december 2022.</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u w:val="single"/>
        </w:rPr>
        <w:t xml:space="preserve">Reform 11 (C23.R11) — Digitalisering af de offentlige arbejdsformidlinger med henblik på modernisering og effektivitet. </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reform er at ændre udbuddet af offentlige arbejdsformidlinger og forbedre deres effektivitet for borgere og virksomheder. Reformen består af følgende elementer:</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Forbedring af den interne forvaltning: modernisering af de informationssystemer, der understøtter arbejdsløshedsunderstøttelsessystemet, samt dem, der understøtter aktive arbejdsmarkedspolitikker.</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Digitalisering af alle offentlige tjenester for borgere og virksomheder og forbedring af kundeservice, herunder udbud af nye tjenester (mobilapplikation og forbedret forhåndsudvælgelsesordning og onlinetjenester).</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Statistik og dataforvaltning: Indarbejdelse af passende dataforvaltning, som fremmer beslutningstagningen, samt offentliggørelse af oplysninger af stor værdi for samfundet.</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Forbedring af systemer til bekæmpelse af svig gennem systemer for kunstig intelligens og big data.</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Modernisering af job og infrastruktur for at lette fjernarbejdsordninger for de offentlige arbejdsformidlingers personale.</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Reformen af de offentlige arbejdsformidlinger indgår i en mere generel indsats for at modernisere og digitalisere de offentlige forvaltninger (komponent 11 i RRP). Reformen af de offentlige arbejdsformidlinger finansieres gennem kontraktindgåelse og gennemførelse af investeringer 2 i C11. </w:t>
      </w:r>
    </w:p>
    <w:p>
      <w:pPr>
        <w:spacing w:before="120" w:after="120" w:line="240" w:lineRule="auto"/>
        <w:jc w:val="both"/>
        <w:rPr>
          <w:rFonts w:ascii="Times New Roman" w:hAnsi="Times New Roman" w:cs="Times New Roman"/>
          <w:noProof/>
          <w:sz w:val="24"/>
        </w:rPr>
      </w:pPr>
      <w:r>
        <w:rPr>
          <w:rFonts w:ascii="Times New Roman" w:hAnsi="Times New Roman"/>
          <w:noProof/>
          <w:sz w:val="24"/>
        </w:rPr>
        <w:t>Reformen skal være gennemført senest den 31. december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Investeringer 1 (C23.I1) — Ungdomsbeskæftigelse</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investering omfatter en række aktiverings- og uddannelsesprogrammer for unge jobsøgende (16-29 år) med det formål at støtte deres integration på arbejdsmarkedet. Den består af følgende foranstaltninger:</w:t>
      </w:r>
    </w:p>
    <w:p>
      <w:pPr>
        <w:numPr>
          <w:ilvl w:val="0"/>
          <w:numId w:val="10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Tandem-programmet. Den skal tilbyde arbejdsbaseret uddannelse til unge mellem 16 og 29 år på offentlige skoleworkshopper med fokus på de færdigheder, der er nødvendige for den dobbelte omstilling, social omsorg og territorial samhørighed. Offentlige organer fra den centrale administration, der er ansvarlig for gennemførelsen, modtager tilskuddene. </w:t>
      </w:r>
    </w:p>
    <w:p>
      <w:pPr>
        <w:numPr>
          <w:ilvl w:val="0"/>
          <w:numId w:val="10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Program Første erhvervserfaring inden for offentlige forvaltninger. Den skal tilbyde en indledende erhvervserfaring i den offentlige sektor (både centrale og territoriale forvaltninger) til arbejdsløse unge, der har afsluttet deres formelle uddannelse. De skal tilegne sig bløde færdigheder ved at arbejde i job i forbindelse med den dobbelte omstilling, social omsorg og territorial samhørighed. Tilskuddene ydes til offentlige organer fra de centrale og territoriale forvaltninger, der er ansvarlige for gennemførelsen. </w:t>
      </w:r>
    </w:p>
    <w:p>
      <w:pPr>
        <w:numPr>
          <w:ilvl w:val="0"/>
          <w:numId w:val="10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Undersøgelsesprogrammet. Det omfatter rekruttering af unge forskere ved offentlige forskningsorganer, offentlige universiteter, teknologiske centre og andre offentlige og private enheder med et forskningsprojekt. </w:t>
      </w:r>
    </w:p>
    <w:p>
      <w:pPr>
        <w:spacing w:before="240" w:after="120" w:line="240" w:lineRule="auto"/>
        <w:jc w:val="both"/>
        <w:rPr>
          <w:rFonts w:ascii="Times New Roman" w:hAnsi="Times New Roman" w:cs="Times New Roman"/>
          <w:noProof/>
          <w:sz w:val="24"/>
          <w:u w:val="single"/>
        </w:rPr>
      </w:pPr>
      <w:r>
        <w:rPr>
          <w:rFonts w:ascii="Times New Roman" w:hAnsi="Times New Roman"/>
          <w:noProof/>
          <w:sz w:val="24"/>
        </w:rPr>
        <w:t>Gennemførelsen af investeringen skal være afsluttet senest den 31. december 2025.</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2 (C23.I2) — Kvindelig beskæftigelse og integration af kønsaspektet i aktive arbejdsmarkedspolitikker</w:t>
      </w:r>
    </w:p>
    <w:p>
      <w:pPr>
        <w:spacing w:before="120" w:after="120" w:line="240" w:lineRule="auto"/>
        <w:jc w:val="both"/>
        <w:rPr>
          <w:rFonts w:ascii="Times New Roman" w:hAnsi="Times New Roman" w:cs="Times New Roman"/>
          <w:noProof/>
          <w:sz w:val="24"/>
        </w:rPr>
      </w:pPr>
      <w:r>
        <w:rPr>
          <w:rFonts w:ascii="Times New Roman" w:hAnsi="Times New Roman"/>
          <w:noProof/>
          <w:sz w:val="24"/>
        </w:rPr>
        <w:t>Målet med denne investering er at forbedre kvinders integration på arbejdsmarkedet, hvilket er i overensstemmelse med mange andre foranstaltninger i planen til fremme af kønsbalancen. Den består af følgende foranstaltninger:</w:t>
      </w:r>
    </w:p>
    <w:p>
      <w:pPr>
        <w:numPr>
          <w:ilvl w:val="0"/>
          <w:numId w:val="10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Støttebudgetpost for kvinder i landdistrikter og byområder. Det omfatter uddannelsestiltag inden for digital, grøn pleje, langtidspleje, iværksætteri og social økonomi. Indkaldelser af forslag om tilskud afholdes for offentlige og private enheder, der er ansvarlige for uddannelsesudbuddet. </w:t>
      </w:r>
    </w:p>
    <w:p>
      <w:pPr>
        <w:numPr>
          <w:ilvl w:val="0"/>
          <w:numId w:val="10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Støttelinje for kvinder, der er ofre for vold eller menneskehandel. Den skal omfatte integrationsforløb for disse kvinder i to faser. De første seks måneder skal deltagerne følge individualiserede sociale integrationsforløb, og de næste seks måneder skal følge en arbejdsbaseret uddannelse, hvor arbejdsgiverne forpligter sig til at ansætte dem efterfølgende. </w:t>
      </w:r>
    </w:p>
    <w:p>
      <w:pPr>
        <w:numPr>
          <w:ilvl w:val="0"/>
          <w:numId w:val="10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Integrering af kønsaspektet i aktive arbejdsmarkedspolitikker. Det skal omfatte integration af kønsaspektet i alle dele af de offentlige arbejdsformidlingers årlige beskæftigelsesplaner (både centrale og regionale) i perioden 2021-2023. Med henblik herpå ansættes rådgivningstjenester.</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Gennemførelsen af investeringen skal være afsluttet senest den 31. december 2025.</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3 (C23.I3) — Nye kvalifikationer med henblik på grøn, digital og produktiv omstilling</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investering omfatter forskellige uddannelsesinitiativer med det formål at omskole arbejdstagere, der risikerer at blive fordrevet. Den består af følgende aktionslinjer:</w:t>
      </w:r>
    </w:p>
    <w:p>
      <w:pPr>
        <w:numPr>
          <w:ilvl w:val="0"/>
          <w:numId w:val="108"/>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Indkaldelser af forslag om tilskud til erhvervelse af nye færdigheder til digital, grøn og produktiv omstilling. Det er rettet mod arbejdstagere i turistsektoren, arbejdsløse og personer, der er omfattet af ERTMS. Uddannelsesaktionerne skal have en gennemsnitlig varighed på 65 timer.</w:t>
      </w:r>
    </w:p>
    <w:p>
      <w:pPr>
        <w:numPr>
          <w:ilvl w:val="0"/>
          <w:numId w:val="108"/>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Uddannelsesvouchers til erhvervelse af nye færdigheder til digital, grøn og produktiv omstilling. Den er rettet mod de samme typer arbejdstagere som den tidligere aktionslinje, men i dette tilfælde modtager støttemodtageren et direkte tilskud til uddannelsesformål inden for færdigheder, der er relevante for grønne, digitale og andre strategiske sektorer.</w:t>
      </w:r>
    </w:p>
    <w:p>
      <w:pPr>
        <w:numPr>
          <w:ilvl w:val="0"/>
          <w:numId w:val="108"/>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Påvisning af kvalifikationsbehov. En undersøgelse baseret på en undersøgelse i mindst 23 produktive sektorer skal give effektive svar på efterspørgslen efter uddannelse og omskoling på arbejdsmarkedet, herunder færdigheder i den digitale omstilling og den grønne omstilling. Den vil også foregribe forandringer og imødekomme den potentielle efterspørgsel efter kvalificeret arbejdskraft.</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Gennemførelsen af investeringen skal være afsluttet senest den 31. december 2025. </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Investering 4 (C23.I4) — Nye territoriale projekter til genoprettelse af balance og egenkapital</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investering skal finansiere mindst 68 nye territoriale projekter med det formål at tackle den demografiske udfordring og lette en produktiv omstilling, navnlig hen imod en grøn og digital økonomi. Der gennemføres mindst fire projekter i hver selvstyrende region i landet. </w:t>
      </w:r>
    </w:p>
    <w:p>
      <w:pPr>
        <w:spacing w:before="120" w:after="120" w:line="240" w:lineRule="auto"/>
        <w:jc w:val="both"/>
        <w:rPr>
          <w:rFonts w:ascii="Times New Roman" w:hAnsi="Times New Roman" w:cs="Times New Roman"/>
          <w:noProof/>
          <w:sz w:val="24"/>
        </w:rPr>
      </w:pPr>
      <w:r>
        <w:rPr>
          <w:rFonts w:ascii="Times New Roman" w:hAnsi="Times New Roman"/>
          <w:noProof/>
          <w:sz w:val="24"/>
        </w:rPr>
        <w:t>Den består af to typer projekter:</w:t>
      </w:r>
    </w:p>
    <w:p>
      <w:pPr>
        <w:numPr>
          <w:ilvl w:val="0"/>
          <w:numId w:val="109"/>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Territoriale projekter for sårbare grupper. Disse projekter skal være rettet mod langtidsledige, som skal følge personligt tilpassede og individualiserede forløb, hvor forskellige foranstaltninger skal integreres, såsom: vejledning og ledsagelse, orienteringsprogrammer, hjælp til jobsøgningshold, uddannelses- og forligsstipendier, støtte til ansættelse og overvågning af aktioner. </w:t>
      </w:r>
    </w:p>
    <w:p>
      <w:pPr>
        <w:numPr>
          <w:ilvl w:val="0"/>
          <w:numId w:val="109"/>
        </w:numPr>
        <w:spacing w:before="120" w:after="160" w:line="240" w:lineRule="auto"/>
        <w:contextualSpacing/>
        <w:jc w:val="both"/>
        <w:rPr>
          <w:rFonts w:ascii="Times New Roman" w:hAnsi="Times New Roman" w:cs="Times New Roman"/>
          <w:noProof/>
        </w:rPr>
      </w:pPr>
      <w:r>
        <w:rPr>
          <w:rFonts w:ascii="Times New Roman" w:hAnsi="Times New Roman"/>
          <w:noProof/>
          <w:sz w:val="24"/>
          <w:szCs w:val="24"/>
        </w:rPr>
        <w:t xml:space="preserve">Iværksætter- og mikrovirksomhedsprojekter. Disse projekter skal tackle den demografiske udfordring og lette den produktive omstilling, navnlig hen imod en grøn og digital økonomi. De initiativer, der skal finansieres, omfatter bl.a. landbrugsuddannelsesprojekter, bæredygtig lokal udvikling, socialøkonomiske initiativer til kulturelle og kunstneriske tiltag, økologisk omstilling, lokale udviklingsinitiativer, landboturisme og kunstnerisk arv. Et projekt kan finansiere foranstaltninger som f.eks.: socialt iværksætteri og freelancere, arbejdsmarkedsundersøgelser, lokale forfremmelses- og udviklingsagenter, hjælp til opstart af kooperativer eller mikrovirksomheder, netværkssamarbejde, deltagelse i konferencer og formidlingsforanstaltninger. </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5 (C23.I5) — Forvaltning og fremme af politikker til støtte for aktivering</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foranstaltning har til formål at styrke de offentlige arbejdsformidlinger og forbedre effektiviteten af aktive arbejdsmarkedspolitikker. Med henblik herpå skal der oprettes et netværk af 20 centre for orientering, iværksætteri og innovation med henblik på beskæftigelse. De vil være spredt over hele landet (et center på centralt regeringsniveau og et andet i hvert selvstyrende område, herunder Ceuta og Melilla) med det formål at forbedre koordineringen mellem de offentlige arbejdsformidlinger på tværs af regionerne.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Desuden er der planlagt en række efteruddannelsesaktioner for ansatte i de offentlige arbejdsformidlinger, som i gennemsnit giver dem 14 000 uddannelsesaktioner om året. Uddannelsen tilrettelægges i moduler af gennemsnitlig varighed på 30 timer, og i gennemsnit deltager hver medarbejder i et modul om året i perioden 2021-2023.</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Investering 6 (C23.I6) — Samlet plan til fremme af den sociale økonomi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foranstaltning skal støtte innovative socialøkonomiske projekter med det formål at skabe en mere inklusiv og bæredygtig økonomisk struktur.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Den skal bestå i udvikling af mindst 30 socialøkonomiske projekter fra 2021 til 2023 inden for følgende områder:</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Oprettelse og bevarelse af arbejdspladser i levedygtige virksomheder i vanskeligheder eller uden generationsskifte gennem deres omdannelse til socialøkonomiske virksomhedsformer (kooperativer og arbejdsvirksomheder), der forvaltes af deres arbejdstagere.</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Oprettelse og konsolidering af innovative socialøkonomiske enheder med indvirkning på generationsskifte og iværksætterkultur blandt unge.</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Digitalisering af socialøkonomiske virksomheder gennem oprettelse af digitale platforme, der har til formål at forbedre borgernes velfærd i landdistrikterne.</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Netværkssamarbejde mellem kooperativer, arbejdsmarkedsvirksomheder og andre former for socialøkonomi ledsaget af kapacitetsopbygnings- og uddannelsesforanstaltninger med henblik på at levere nye omfattende tjenester til samfundet.</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Fremme af bæredygtige og inklusive overgange for sårbare virksomheder og grupper.</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 7 (C23.I7) — Fremme af inklusiv vækst ved at knytte politikker for social inklusion sammen med den nationale mindsteindkomstordning (IMV) </w:t>
      </w:r>
    </w:p>
    <w:p>
      <w:pPr>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investering er at forbedre effektiviteten af integrationsforløb for modtagerne af den nationale minimumsindkomstordning (IMV) gennem gennemførelse af mindst 18 pilotprojekter. Efter deres afslutning foretages der en evaluering med henblik på at vurdere mindsteindkomstordningernes dækning, effektivitet og succes. Denne evaluering skal indeholde specifikke anbefalinger med henblik på at øge udnyttelsesgraden og forbedre effektiviteten af politikkerne for social inklusion. Denne foranstaltning hænger tæt sammen med reform 5 i komponent 22.</w:t>
      </w:r>
    </w:p>
    <w:p>
      <w:pPr>
        <w:spacing w:before="120" w:after="120" w:line="240" w:lineRule="auto"/>
        <w:jc w:val="both"/>
        <w:rPr>
          <w:rFonts w:ascii="Times New Roman" w:hAnsi="Times New Roman" w:cs="Times New Roman"/>
          <w:noProof/>
          <w:sz w:val="24"/>
        </w:rPr>
      </w:pPr>
      <w:r>
        <w:rPr>
          <w:rFonts w:ascii="Times New Roman" w:hAnsi="Times New Roman"/>
          <w:noProof/>
          <w:sz w:val="24"/>
        </w:rPr>
        <w:t>Med henblik på gennemførelsen af pilotprojekterne indgår ministeriet for social integration partnerskabsaftaler med de berørte regionale og lokale offentlige forvaltninger samt med enheder under den tredje sektors sociale foranstaltninger. Partnerskabsaftalerne har til formål: i) at forbedre udnyttelsesgraden for IMV ii) forbedring af effektiviteten af IMV gennem integrationsforløb. Hver partnerskabsaftale ledsages af en handlingsplan, der som minimum definerer følgende punkter:</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IMV-støttemodtagere, der deltager i pilotprojektet.</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De mest hensigtsmæssige tilgange (som skal identificeres på grundlag af de indhøstede erfaringer) og dertil knyttede inklusionsresultater/-resultater, der skal opnås gennem interventionen.</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Krav til datainfrastruktur: der er ikke kun behov for IMV-støttemodtagere, men også andre modtagere af støtte fra regionale programmer til at regne med gode kontrolgrupper.</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Enhedsomkostninger ved interventionen.</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Overvågningsplan for Inklusionsministeriet med henblik på at vurdere, om de forskellige milepæle, der er fastsat i planen, er nået.</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szCs w:val="24"/>
        </w:rPr>
        <w:t>Offentliggørelse af en evaluering, når pilotprojektet er afsluttet med resultater og indhøstede erfaringer.</w:t>
      </w:r>
    </w:p>
    <w:p>
      <w:pPr>
        <w:spacing w:before="240" w:after="120" w:line="240" w:lineRule="auto"/>
        <w:jc w:val="both"/>
        <w:rPr>
          <w:rFonts w:ascii="Times New Roman" w:hAnsi="Times New Roman" w:cs="Times New Roman"/>
          <w:noProof/>
          <w:sz w:val="24"/>
          <w:u w:val="single"/>
        </w:rPr>
      </w:pPr>
      <w:r>
        <w:rPr>
          <w:rFonts w:ascii="Times New Roman" w:hAnsi="Times New Roman"/>
          <w:noProof/>
          <w:sz w:val="24"/>
        </w:rPr>
        <w:t>Gennemførelsen af investeringen skal være afsluttet senest den. 31. marts 2024.</w:t>
      </w:r>
    </w:p>
    <w:p>
      <w:pPr>
        <w:spacing w:before="120" w:after="120" w:line="240" w:lineRule="auto"/>
        <w:ind w:left="709"/>
        <w:jc w:val="both"/>
        <w:rPr>
          <w:rFonts w:ascii="Times New Roman" w:hAnsi="Times New Roman" w:cs="Times New Roman"/>
          <w:b/>
          <w:noProof/>
          <w:sz w:val="24"/>
          <w:u w:val="single"/>
        </w:rPr>
      </w:pPr>
      <w:r>
        <w:rPr>
          <w:rFonts w:ascii="Times New Roman" w:hAnsi="Times New Roman"/>
          <w:b/>
          <w:bCs/>
          <w:noProof/>
          <w:sz w:val="24"/>
          <w:u w:val="single"/>
        </w:rPr>
        <w:t xml:space="preserve">W.2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den 1. februar 2020 , medmindre andet er angivet i beskrivelsen af foranstaltningen. Beløbene i tabellen omfatter ikke moms.</w:t>
      </w:r>
    </w:p>
    <w:p>
      <w:pPr>
        <w:spacing w:before="120" w:after="120" w:line="240" w:lineRule="auto"/>
        <w:ind w:left="709"/>
        <w:jc w:val="both"/>
        <w:rPr>
          <w:rFonts w:ascii="Times New Roman" w:hAnsi="Times New Roman" w:cs="Times New Roman"/>
          <w:noProof/>
          <w:sz w:val="24"/>
        </w:rPr>
        <w:sectPr>
          <w:headerReference w:type="even" r:id="rId283"/>
          <w:headerReference w:type="default" r:id="rId284"/>
          <w:footerReference w:type="even" r:id="rId285"/>
          <w:footerReference w:type="default" r:id="rId286"/>
          <w:headerReference w:type="first" r:id="rId287"/>
          <w:footerReference w:type="first" r:id="rId28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851"/>
        <w:gridCol w:w="850"/>
        <w:gridCol w:w="2693"/>
        <w:gridCol w:w="1134"/>
        <w:gridCol w:w="851"/>
        <w:gridCol w:w="425"/>
        <w:gridCol w:w="709"/>
        <w:gridCol w:w="425"/>
        <w:gridCol w:w="567"/>
        <w:gridCol w:w="5954"/>
      </w:tblGrid>
      <w:tr>
        <w:trPr>
          <w:trHeight w:val="309"/>
          <w:tblHeader/>
        </w:trPr>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693"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13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198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595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693"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709"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5954"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329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to kongelige lovdekreter, der regulerer fjernarbejde i den private sektor og i den offentlige forvaltning</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de kongelige love om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 to kongelige lovdekreter regulerer fjernarbejde i den private sektor og i den offentlige forvaltning. Lovene har følgende formål: i) at tilvejebringe en lovgivningsmæssig ramme (RDL 28/2020), der fremmer indførelsen af fjernarbejde, samtidig med at virksomhedernes produktivitet bevares, og arbejdstagerne sikres beskyttelse og fleksibilitet og ii) regulering af telearbejde i alle offentlige forvaltninger (RDL 29/2020) som en ny måde at tilrettelægge og strukturere arbejdet på for bedre at tjene de almene interesser og sikre, at de offentlige forvaltninger fungerer normalt.</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to vedtægter om lige løn til kvinder og mænd og om ligestillingsplaner og deres registrering</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vedtægterne ved ikrafttrædelsen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 to vedtægter finder anvendelse på ligeløn mellem kvinder og mænd og på ligestillingsplaner og deres registrering. Formålet med forordningerne er: i) at sikre princippet om løngennemsigtighed med henblik på at identificere forskelsbehandling som følge af ukorrekte jobvurderinger og ii) at udvikle ligestillingsplaner og sikre, at de registreres i et offentligt register.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kongeligt lovdekret om beskyttelse af arbejdstagere, der beskæftiger sig med distribution til tredjemand ved hjælp af teknologiske midler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det kongelige lovdekret om ikrafttrædelse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Det kongelige lovdekret vedrører beskyttelse af arbejdstagere, der udfører distributionsvirksomhed over for tredjemand ved hjælp af teknologiske hjælpemidler. Lovens mål er at sikre disse mennesker retten til retfærdig og lige behandling med hensyn til arbejdsvilkår, retten til adgang til social beskyttelse og uddannelse og at gøre det muligt for arbejdstagernes juridiske repræsentation at blive informeret om reglerne i algoritmer og systemer vedrørende kunstig intelligens, som kan have en indvirkning på arbejdsvilkårene for platforme, herunder adgang til og opretholdelse af beskæftigelse og profilering.</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Ændring af statutten for arbejdstagere for at støtte reduktionen af midlertidig beskæftigelse ved at strømline antallet af kontrakttyper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ændringen ved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Overholdelse af den sociale dialog og som led i en samlet tilgang, der afbalancerer behovet for fleksibilitet og sikkerhed på arbejdsmarkedet, ikrafttræden af ændringen af bestemmelserne i lovdekret nr. 2/2015 af 23. oktober om godkendelse af den omarbejdede tekst til lov om arbejdstagere med henblik på at støtte reduktionen af midlertidig beskæftigelse ved at strømline antallet af kontrakttyper.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Handlingsplan for bekæmpelse af ungdomsarbejdsløshed træder i kraft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handlingsplanen for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Handlingsplanen skal tackle ungdomsarbejdsløsheden i forbindelse med gennemførelsen af EU's ungdomsgaranti Plus. Formålet med ungdomsgarantien er at forbedre og uddybe den interinstitutionelle koordinering, styrke forholdet til den private sektor og lokale myndigheder, forbedre kvaliteten og tilstrækkeligheden af uddannelse, søge nye jobmuligheder i sektorer med vækstpotentiale, mindske skolefrafald, opretholde og forbedre evaluerings- og overvågningssystemet og yderligere styrke de individualiserede vejledningsprogrammer.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Kongeligt dekret om en ny spansk beskæftigelsesstrategi 2021-2024</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den kongelige anordning om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Respekt for den sociale dialog og som led i en samlet tilgang, der afvejer behovet for fleksibilitet og sikkerhed på arbejdsmarkedet, ministerrådets godkendelse og ikrafttrædelsen af et kongeligt dekret om en ny spansk strategi for aktivering af beskæftigelsen 2021-2024. Hovedformålene med den nye strategi er:  i) Befolkningscentreret og erhvervscentreret tilgang: Aktive beskæftigelsespolitikker skal udformes med fokus på de særlige forhold, der gør sig gældende for den enkelte person og virksomhed. ii) sammenhæng med produktiv omstilling: Aktive beskæftigelsespolitikker skal muliggøre erhvervsmæssige overgange, der ledsager produktionsmodellen, i retning af en grøn og digital økonomi, iii) Resultatorientering: Aktive beskæftigelsespolitikker skal vurderes, overvåges og fremme opnåelsen af resultater. iv) forbedring af de offentlige arbejdsformidlingers kapacitet: Gennem digitalisering og modernisering.  iv) Forvaltning og samhørighed i det nationale beskæftigelsessystem for at forbedre koordineringen på nationalt og regionalt plan og interessenter, der er involveret i aktive arbejdsmarkedspolitikker.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ændringen af arbejdsmarkedsloven (kongeligt lovdekret nr. 3/2015)</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ændringsforslaget om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Ændringen af arbejdsmarkedsloven (kongeligt lovdekret nr. 3/2015) skal: i) styrke det nationale beskæftigelsessystems politik- og koordineringsinstrumenter ii) reform af aktive arbejdsmarkedspolitikker iii) gennemgå forvaltningen af systemet iv) styrke beskæftigelsespolitikkens lokale dimension og v) opfylde kravene til gennemførelse af de forskellige foranstaltninger, der er planlagt inden for rammerne af den nationale plan for aktive beskæftigelsespolitikker.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Ændring af statutten for arbejdstagere med henblik på at indføre en ordning for tilpasning til cykliske og strukturelle chok, herunder et system, der giver virksomhederne intern fleksibilitet og stabilitet for arbejdstagerne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ændringen ved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Overholdelse af den sociale dialog og som led i en samlet tilgang, der afbalancerer behovet for fleksibilitet og sikkerhed på arbejdsmarkedet og sikrer finanspolitisk holdbarhed på mellemlang til lang sigt, ikrafttræden af ændringsbestemmelser i kongeligt lovdekret nr. 2/2015 af 23. oktober om godkendelse af den omarbejdede tekst til lov om arbejdstagere med henblik på at indføre en ordning til tilpasning til cykliske og strukturelle chok, herunder et system, der giver virksomhederne intern fleksibilitet og stabilitet for arbejdstagerne, støtter opkvalificering og omskoling af arbejdstagere i virksomheder og sektorer under omstilling og fremmer arbejdskraftens frivillige mobilitet (inden for og på tværs af virksomheder).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reformen af lov nr. 43/2006 for at forenkle og effektivisere ansættelsesincitamentsordningen under hensyntagen til henstillingerne fra AIReF</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reformen ved ikrafttrædelsen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Reformen af lov nr. 43/2006 skal forenkle og øge effektiviteten af rekrutteringsincitamentet under hensyntagen til henstillingerne fra den spanske uafhængige myndighed for finanspolitisk ansvarlighed (AIReF) i sin rapport om gennemgang af situationen i 2019: "Incitamenter til ansættelse"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C23.R8</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Ændring af statutten for arbejdstagere for at forbedre retsreglerne for kollektive overenskomstforhandlinger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ændringen ved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Under hensyntagen til den sociale dialog og som led i en samlet tilgang, der afbalancerer behovet for fleksibilitet og sikkerhed på arbejdsmarkedet, træder ændringen af visse bestemmelser i kongeligt lovdekret nr. 2/2015 af 23. oktober om godkendelse af den omarbejdede tekst til lov om arbejdstageres rettigheder i kraft for at forbedre retsreglerne for kollektive overenskomstforhandlinger.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339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Ændring af statutten for arbejdstagere for at forbedre rettighederne for personer, der arbejder i underentreprenører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ændringen ved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Under hensyntagen til den sociale dialog og som led i en samlet tilgang, der afvejer behovet for fleksibilitet og sikkerhed på arbejdsmarkedet, træder ændringen af bestemmelserne i lovdekret nr. 2/2015 af 23. oktober om godkendelse af den omarbejdede tekst til lov om arbejdstageres rettigheder med henblik på at forbedre rettighederne for personer, der arbejder i underentreprenører, i kraft.</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C23.R10</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ændringen af kongeligt lovdekret nr. 8/2015 om reform af reguleringen af ikke-bidragspligtig arbejdsløshedsunderstøttelse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ændringsforslaget om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Reformen af det kongelige lovdekret nr. 8/2015 vedrører reguleringen af ikke-bidragspligtig arbejdsløshedsunderstøttelse, herunder følgende mål: i) at udvide beskyttelsen mod arbejdsløshed ii) at forenkle systemet iii) at knytte ydelsen til en individuel aktiveringsrute iv) lette overgangen til social beskyttelse, når modtageren ikke vender tilbage til arbejdet og befinder sig i en sårbar situation.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C23.R11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Attester for færdiggørelse af tjenesteydelserne i henhold til kontrakterne om modernisering af den offentlige arbejdsformidling</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Attester for færdiggørelse af tjenesteydelserne i henhold til kontrakterne (administrative love)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Attester for færdiggørelse af tjenesteydelserne i henhold til kontrakterne (administrative love) om modernisering af den offentlige arbejdsformidling ved at forbedre de interne forvaltningssystemer, modernisere beskæftigelsen og digitaliseringen af borgernes plejetjeneste. Det vil omfatte: Forbedring af den interne forvaltning: Forbedring af de informationssystemer, der understøtter arbejdsløshedsunderstøttelsessystemet, og dem, der understøtter beskæftigelsespolitikkerne. Digitale arbejdsformidlinger: Digitalisering af offentlige tjenester til borgere og virksomheder og forbedring af kundeservice. Statistik og dataforvaltning: Indarbejdelse af passende dataforvaltning, som fremmer beslutningstagningen, samt offentliggørelse af oplysninger af stor værdi for samfundet. Modernisering af arbejdspladser og infrastrukturer.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Personer, der har afsluttet ungdomsprogrammerne.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18 300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18 300 personer har gennemført ungdomsprogrammerne ud fra 21 900 tilmeldte.  Dette mål er baseret på tre programmer: Tandem-programmet. Formål: opnå faglig kompetence gennem uddannelse skiftevis med beskæftigelse. Med mindst 25 % af programmet fokuseret på klimarelaterede færdigheder, og 25 % af programmet fokuserede på digitale færdigheder. • Første erfaringsprogram. Formål: at lette den første erhvervserfaring i forbindelse med en kvalifikation. Med mindst 20 % af programmet fokuseret på klimarelaterede færdigheder, og 20 % af programmet fokuserede på digitale færdigheder. • </w:t>
            </w:r>
            <w:r>
              <w:rPr>
                <w:rFonts w:ascii="Times New Roman" w:hAnsi="Times New Roman"/>
                <w:i/>
                <w:noProof/>
                <w:color w:val="000000"/>
                <w:sz w:val="18"/>
                <w:szCs w:val="18"/>
              </w:rPr>
              <w:t>"Investigo"</w:t>
            </w:r>
            <w:r>
              <w:rPr>
                <w:rFonts w:ascii="Times New Roman" w:hAnsi="Times New Roman"/>
                <w:noProof/>
                <w:color w:val="000000"/>
                <w:sz w:val="18"/>
                <w:szCs w:val="18"/>
              </w:rPr>
              <w:t xml:space="preserve"> -programmet. Formål: udføre arbejde i forbindelse med udviklingen af et forskningsprojekt.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Personer, der har afsluttet programmet "</w:t>
            </w:r>
            <w:r>
              <w:rPr>
                <w:rFonts w:ascii="Times New Roman" w:hAnsi="Times New Roman"/>
                <w:i/>
                <w:noProof/>
                <w:color w:val="000000"/>
                <w:sz w:val="18"/>
                <w:szCs w:val="18"/>
              </w:rPr>
              <w:t>Plan Empleo Mujer, Rural and Urban areas</w:t>
            </w:r>
            <w:r>
              <w:rPr>
                <w:rFonts w:ascii="Times New Roman" w:hAnsi="Times New Roman"/>
                <w:noProof/>
                <w:color w:val="000000"/>
                <w:sz w:val="18"/>
                <w:szCs w:val="18"/>
              </w:rPr>
              <w:t>" og programmet for ofre for kønsbaseret vold og menneskehandel</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23 200</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23 200 personer har gennemført programmet "</w:t>
            </w:r>
            <w:r>
              <w:rPr>
                <w:rFonts w:ascii="Times New Roman" w:hAnsi="Times New Roman"/>
                <w:i/>
                <w:noProof/>
                <w:color w:val="000000"/>
                <w:sz w:val="18"/>
                <w:szCs w:val="18"/>
              </w:rPr>
              <w:t>Plan Empleo Mujer, Rural and Urban areas</w:t>
            </w:r>
            <w:r>
              <w:rPr>
                <w:rFonts w:ascii="Times New Roman" w:hAnsi="Times New Roman"/>
                <w:noProof/>
                <w:color w:val="000000"/>
                <w:sz w:val="18"/>
                <w:szCs w:val="18"/>
              </w:rPr>
              <w:t>" og programmet for ofre for kønsbaseret vold og menneskehandel, idet der tages hensyn til 29 000 tilmeldte personer. Dette program omfatter en personlig og integreret plan for orientering, rådgivning og uddannelse, der er tilpasset de deltagende kvinders beskæftigelsesprofil. Den uddannelse, der tilbydes, er knyttet til job med gode territoriale perspektiver, der udspringer af behovene på arbejdsmarkedet i landdistrikter og byer, hvor programmet er udviklet, og har til formål at erhverve kvalifikationer, der øger deltagernes beskæftigelsesegnethed og deres muligheder for at få adgang til anstændigt arbejde, samtidig med at den produktive udvikling af landdistrikterne styrkes, den kønsbestemte forskel bekæmpes, og kvinders permanens i området styrkes. Med mindst 35 % af programmet fokuseret på klimarelaterede færdigheder, og 35 % af programmet fokuserede på digitale færdigheder.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Personer, der har afsluttet uddannelsesprogrammer med henblik på at erhverve færdigheder til digital, økologisk og produktiv omstilling</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825 000</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825 000 personer har gennemført uddannelsesprogrammer med henblik på at erhverve færdigheder til digital, økologisk og produktiv omstilling, idet 975 000 personer skal være indskrevet. Uddannelsen skal fokusere på turistsektoren, andre strategiske sektorer af national interesse, arbejdstagere, der er omfattet af uddannelsesbeviser, og arbejdstagere, der modtager mikrokredittræning. Med mindst 30 % af programmet fokuseret på klimarelaterede færdigheder, og 30 % af programmet fokuserede på digitale færdigheder.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Godkendelse af den regionale tildeling af midler til territoriale projekter for sårbare grupper, iværksætteri og mikrovirksomheder.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Referencedokumenter fra sektorbeskæftigelseskonferencen </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Godkendelse på sektorbeskæftigelseskonferencen af regional tildeling af midler til territoriale projekter for sårbare grupper og territoriale projekter for iværksætteri og mikrovirksomheder, såsom udvikling af projekter til fremme af iværksætteri, lokale udviklingsinitiativer, socialøkonomiske initiativer og nye territoriale projekter, der letter omstillingen af produktionen, navnlig hen imod en grøn og digital økonomi.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Der er gennemført territoriale projekter for sårbare grupper, iværksætteri og mikrovirksomheder med deltagelse af mindst 39 000 arbejdstagere og 64 000 virksomheder.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68</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Der er gennemført mindst 68 territoriale projekter for sårbare grupper og territoriale projekter for iværksætteri og mikrovirksomheder med deltagelse af ca. 39 000 arbejdstagere og 64 000 virksomheder, der er målrettet mod dem. De territoriale projekter for sårbare grupper udvikles gennem personligt tilpassede og individualiserede forløb, hvor forskellige foranstaltninger integreres, såsom: vejledning og ledsagelse, orienteringsprogrammer, hjælp til jobsøgningshold, uddannelses- og forligsstipendier, støtte til ansættelse og overvågning af aktioner. Iværksætter- og mikrovirksomhedsprojekterne skal tackle den demografiske udfordring og lette den produktive omstilling, navnlig hen imod en grøn og digital økonomi, bl.a. gennem landbrugsuddannelsesprojekter, bæredygtig lokal udvikling, socialøkonomiske initiativer til kulturelle og kunstneriske tiltag, økologisk omstilling, lokale udviklingsinitiativer, turisme i landdistrikterne og kunstnerisk arv. Disse projekter skal blandt andet omfatte: socialt iværksætteri og freelancere, arbejdsmarkedsundersøgelser, lokale forfremmelses- og udviklingsagenter, hjælp til opstart af kooperativer eller mikrovirksomheder, netværkssamarbejde, deltagelse i konferencer og formidlingsforanstaltninger.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Offentlige centre for vejledning, iværksætteri, støtte og innovation til nye job er fuldt operationelle.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20 offentlige centre for vejledning, iværksætteri, støtte og innovation til nye job er fuldt operationelle.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Uddannelsesaktioner for de offentlige arbejdsformidlingers personale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42 000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Mindst 42 000 uddannelsestiltag for ansatte i de offentlige arbejdsformidlinger er afsluttet med det formål at opgradere deres færdigheder og yde mere effektiv støtte til jobsøgende.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349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Socialøkonomiske projekter afsluttet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Der er gennemført mindst 30 socialøkonomiske projekter til støtte for: a) oprettelse og opretholdelse af arbejdspladser i levedygtige virksomheder i vanskeligheder eller uden generationsskifte gennem deres omdannelse til socialøkonomiske virksomhedsformer (kooperativer og arbejdsvirksomheder), der forvaltes af deres mandlige og kvindelige arbejdstagere b) oprettelse og konsolidering af innovative socialøkonomiske enheder med indvirkning på generationsskifte og unges iværksætterånd c) digitaliseringen af socialøkonomiske virksomheder gennem oprettelse af digitale platforme, der har til formål at forbedre borgernes velfærd i landdistrikterne d) netværkssamarbejde mellem kooperativer, arbejdsvirksomheder og andre former for socialøkonomi ledsaget af kapacitetsopbygnings- og uddannelsesforanstaltninger med henblik på at levere nye omfattende tjenester til samfundet og e) fremme af bæredygtige og inklusive overgange for sårbare virksomheder og grupper.</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C23.I7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Forbedring af udnyttelsesgraden for mindsteindkomst og forøgelse af dens effektivitet gennem inklusionspolitikker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partnerskabsaftalen (Convenio)</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Støtte den socioøkonomiske inklusion af IMV-støttemodtagere gennem veje: der er indgået otte partnerskabsaftaler med subnationale offentlige forvaltninger og enheder på det sociale område i den tredje sektor med henblik på at gennemføre migrationsvejene. Disse partnerskabsaftaler har til formål at: i) at forbedre udnyttelsesgraden for IMV ii) forbedring af effektiviteten af IMV gennem integrationspolitikker.</w:t>
            </w:r>
          </w:p>
        </w:tc>
      </w:tr>
      <w:tr>
        <w:trPr>
          <w:trHeight w:val="309"/>
        </w:trPr>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351</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C23.I7</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69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Evaluering med henblik på at vurdere mindsteindkomstordningers dækning, effektivitet og succes</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Offentliggørelse af evalueringen</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2024</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Efter afslutningen af mindst 18 pilotprojekter offentliggørelse af en evaluering med henblik på at vurdere mindsteindkomstordningers dækning, effektivitet og succes, herunder specifikke anbefalinger med henblik på at øge udnyttelsesgraden og forbedre effektiviteten af politikkerne for social inklusion</w:t>
            </w:r>
          </w:p>
        </w:tc>
      </w:tr>
    </w:tbl>
    <w:p>
      <w:pPr>
        <w:spacing w:before="120" w:after="120" w:line="240" w:lineRule="auto"/>
        <w:ind w:left="709"/>
        <w:jc w:val="both"/>
        <w:rPr>
          <w:rFonts w:ascii="Times New Roman" w:hAnsi="Times New Roman" w:cs="Times New Roman"/>
          <w:noProof/>
          <w:sz w:val="24"/>
          <w:szCs w:val="24"/>
        </w:rPr>
        <w:sectPr>
          <w:headerReference w:type="even" r:id="rId289"/>
          <w:headerReference w:type="default" r:id="rId290"/>
          <w:footerReference w:type="even" r:id="rId291"/>
          <w:footerReference w:type="default" r:id="rId292"/>
          <w:headerReference w:type="first" r:id="rId293"/>
          <w:footerReference w:type="first" r:id="rId294"/>
          <w:pgSz w:w="16839" w:h="11907" w:orient="landscape"/>
          <w:pgMar w:top="1417" w:right="1134" w:bottom="1417" w:left="1134" w:header="709" w:footer="709" w:gutter="0"/>
          <w:cols w:space="720"/>
          <w:docGrid w:linePitch="360"/>
        </w:sectPr>
      </w:pPr>
    </w:p>
    <w:p>
      <w:pPr>
        <w:pStyle w:val="Heading1"/>
        <w:rPr>
          <w:noProof/>
        </w:rPr>
      </w:pPr>
      <w:r>
        <w:rPr>
          <w:noProof/>
        </w:rPr>
        <w:t>X. KOMPONENT 24: Kulturindustrien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Kulturindustrien spiller en vigtig rolle i den spanske økonomi og tegner sig for 3,2 % af landets BNP og 3,6 % af landets samlede beskæftigelse forud for covid-19-pandemien. Den har desuden en uundværlig værdi for samfundet, hvilket fremgår af den spanske befolknings høje grad af kulturel deltagelse forud for pandemien. Ikke desto mindre lider industrien under en række strukturelle forhold, der har forhindret den i at udnytte sit fulde potentiale og gjort den særlig sårbar i krisetider.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På denne baggrund omfatter komponent 24 i den spanske genopretnings- og resiliensplan reformer og investeringer med henblik på at reformere rammerne for kunstneres arbejde og styrke og modernisere den kulturelle virksomhedsstruktur.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Komponenten omhandler de landespecifikke henstillinger om fremme af investeringer til støtte for økonomien og støtte til genopretningen efter covid-19-pandemien (landespecifik henstilling nr. 1 fra 2020) og om støtte til beskæftigelse, styrkelse af arbejdsløshedsbeskyttelsen og forbedring af adgangen til digital læring (landespecifik henstilling nr. 2 fra 2020). </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X.1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1 (C24.R1) — Udvikling af kunstnerens status og fremme af investeringer, kulturel sponsorering og deltagelse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reform har til formål at imødegå den udfordring, der følger af, at den eksisterende arbejdsmarkeds- og skattelovgivning ikke tager hensyn til de særlige forhold i den kulturelle sektor (såsom uregelmæssig indkomst og arbejdsmønstre) og behovet for at tiltrække privat finansiering ud over offentlig støtte.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Reformen skal udvikle passende retlige, skattemæssige og arbejdsmæssige rammer for kultursektoren med henblik på at forbedre den sociale beskyttelse af de forskellige aktører i sektoren og øge tiltrækningen af private investeringer.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reform skal godkende reguleringsmæssige ændringer med henblik på gennemførelse af kunstnerens statut, herunder lovgivningsmæssige ændringer vedrørende følgende aspekter: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tilstrækkeligheden af moms og personlig indkomstskat</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fagforeningernes repræsentativitet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sundhed og særlige ansættelsesforhold for kunstnere i offentlige karrierer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regulering af sponsorering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skattebegunstigelsesordningen. </w:t>
      </w:r>
    </w:p>
    <w:p>
      <w:pPr>
        <w:spacing w:before="60" w:after="60" w:line="240" w:lineRule="auto"/>
        <w:jc w:val="both"/>
        <w:rPr>
          <w:rFonts w:ascii="Times New Roman" w:hAnsi="Times New Roman" w:cs="Times New Roman"/>
          <w:noProof/>
          <w:sz w:val="24"/>
        </w:rPr>
      </w:pPr>
      <w:r>
        <w:rPr>
          <w:rFonts w:ascii="Times New Roman" w:hAnsi="Times New Roman"/>
          <w:noProof/>
          <w:sz w:val="24"/>
        </w:rPr>
        <w:t>Disse ændringer gennemføres ved, at der nedsættes et tværministerielt udvalg vedrørende statutten for kunstnere, og at der udarbejdes lovforslag i 2021, og retsakten træder i kraft den 31. december 2022. Foranstaltninger til fremme af private investeringer i kultursektoren skal også gennemføres i perioden 2021-2023.</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reformerne skal være afsluttet senest den 31. december 2022. </w:t>
      </w:r>
    </w:p>
    <w:p>
      <w:pPr>
        <w:spacing w:before="60" w:after="60" w:line="240" w:lineRule="auto"/>
        <w:jc w:val="both"/>
        <w:rPr>
          <w:rFonts w:ascii="Times New Roman" w:hAnsi="Times New Roman" w:cs="Times New Roman"/>
          <w:noProof/>
          <w:sz w:val="24"/>
        </w:rPr>
      </w:pP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Reform 2 (C24.R2) — plan til styrkelse af ophavsret og beslægtede rettigheder</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Formålet med denne reform er at styrke ophavsretten og andre intellektuelle ejendomsrettigheder ved hjælp af følgende foranstaltninger:</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Vedtagelse af en lov om intellektuelle ejendomsrettigheder på det europæiske digitale indre marked til gennemførelse af direktiv 2019/789 SatCab og 2019/790 om ophavsret på det digitale indre marked</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Vedtagelse af et kongeligt dekret om godkendelse af den nye forordning om registrering af intellektuelle ejendomsrettigheder med henblik på at tilpasse dette organ til den nye digitale virkelighed</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Vedtagelse af kongeligt dekret om ændring af kongeligt dekret 1889/2011 af 30. december 2006 om regulering af funktionen af sektion II i kommissionen for intellektuel ejendomsret med henblik på at lette bekæmpelsen af nye former for krænkelser af intellektuelle ejendomsrettigheder på internettet og</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Godkendelse af det relevante normative instrument og af vedtægterne for det spanske kontor for ophavsret.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reformerne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Investeringer 1 (C24.I1) — Styrkelse af de kulturelle industriers konkurrenceevne </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investering har til formål at tackle udfordringer med hensyn til den kulturelle sektors konkurrenceevne ved at forbedre de kulturelle og kreative industriers erhvervsstruktur og bidrage til deres digitale omstilling.</w:t>
      </w:r>
    </w:p>
    <w:p>
      <w:pPr>
        <w:spacing w:before="120" w:after="120" w:line="240" w:lineRule="auto"/>
        <w:jc w:val="both"/>
        <w:rPr>
          <w:rFonts w:ascii="Times New Roman" w:hAnsi="Times New Roman" w:cs="Times New Roman"/>
          <w:noProof/>
          <w:sz w:val="24"/>
        </w:rPr>
      </w:pPr>
      <w:r>
        <w:rPr>
          <w:rFonts w:ascii="Times New Roman" w:hAnsi="Times New Roman"/>
          <w:noProof/>
          <w:sz w:val="24"/>
        </w:rPr>
        <w:t>Med henblik herpå er aktionerne under denne investering inddelt i følgende tre projektkategorier:</w:t>
      </w:r>
    </w:p>
    <w:p>
      <w:pPr>
        <w:numPr>
          <w:ilvl w:val="0"/>
          <w:numId w:val="11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De kulturelle og kreative industriers konkurrenceevne og professionalisering ved hjælp af: i) styrkelse af kulturarbejderes iværksætterfærdigheder og finansielle færdigheder gennem et stipendieprogram ii) specialiseret uddannelse i ledelse for fagfolk inden for scenekunst og musik og iii) støtte til kulturacceleratorer til udvikling af kulturprojekter med stort vækstpotentiale;</w:t>
      </w:r>
    </w:p>
    <w:p>
      <w:pPr>
        <w:numPr>
          <w:ilvl w:val="0"/>
          <w:numId w:val="11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Digitalisering af systemerne til forvaltning af intellektuelle ejendomsrettigheder ved hjælp af: i) støtte til projekter til digitalisering af operatører, der forvalter intellektuelle ejendomsrettigheder og ii) støtte den digitale omstilling hos de administrative enheder, der forvalter intellektuelle ejendomsrettigheder</w:t>
      </w:r>
    </w:p>
    <w:p>
      <w:pPr>
        <w:numPr>
          <w:ilvl w:val="0"/>
          <w:numId w:val="11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Internationalisering af sektoren for kulturelle og kreative industrier ved hjælp af: i) fremme og digitalisering af bogsektoren, ii) støtte til modernisering og opgradering af forvaltningen af sektoren for scenekunst og musik og iii) foranstaltninger til støtte for CCI'ernes virksomheder og fagfolk med henblik på at øge deres tilstedeværelse på nationale og internationale markeder.</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91"/>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92"/>
      </w:r>
      <w:r>
        <w:rPr>
          <w:noProof/>
        </w:rPr>
        <w:t xml:space="preserve"> iii) Aktiviteter i forbindelse med affaldsdeponeringsanlæg, forbrændingsanlæg</w:t>
      </w:r>
      <w:r>
        <w:rPr>
          <w:rStyle w:val="FootnoteReference"/>
          <w:noProof/>
          <w:lang w:val="en-IE"/>
        </w:rPr>
        <w:footnoteReference w:id="93"/>
      </w:r>
      <w:r>
        <w:rPr>
          <w:noProof/>
        </w:rPr>
        <w:t xml:space="preserve"> og anlæg til mekanisk-biologisk behandling</w:t>
      </w:r>
      <w:r>
        <w:rPr>
          <w:rStyle w:val="FootnoteReference"/>
          <w:noProof/>
          <w:lang w:val="en-IE"/>
        </w:rPr>
        <w:footnoteReference w:id="94"/>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 2 (C24.I2) — Fremme af kultur i hele området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Denne investering har til formål at forbedre den territoriale og sociale samhørighed ved at lette adgangen til kultur og støtte bæredygtigheden og konsolideringen af den kulturelle sektor i hele området. De specifikke foranstaltninger under denne investering er inddelt i følgende fire projektkategorier: </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Støtte til modernisering og bæredygtig forvaltning af infrastrukturen for scenekunst og musik samt fremme af interterritoriale formidlingskanaler ved at: i) overføre ressourcer til de selvstyrende regioner for at støtte modernisering og bæredygtig forvaltning af udøvende og musikalske infrastrukturer og ii) lette koordineringen af kulturelle opførelser i de selvstyrende regioner</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Aktioner til bevarelse, restaurering og forbedring af den spanske kulturarv gennem aktioner vedrørende: i) identificering af kulturarv, der er erklæret af kulturel interesse, og ii) udnyttelse af kulturarven under ministeriet for kultur og sport, navnlig gennem en omfattende restaurering af Tabacalera-bygningen i Madrid</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Oprettelse af biblioteker ved: i) køb af licenser til digitale bøger og ii) køb af papirbøger og</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Støtte til udvidelse og diversificering af det kulturelle udbud i ikke-bymæssige områder ved at: i) fremme af kulturel innovation og iværksætterånd i ikke-bymæssige områder ii) sikring af lige adgang til kultur og iii) gennem kultur at fremme en ansvarlig og bæredygtig udnyttelse af naturressourcerne.</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95"/>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96"/>
      </w:r>
      <w:r>
        <w:rPr>
          <w:noProof/>
        </w:rPr>
        <w:t xml:space="preserve"> iii) Aktiviteter i forbindelse med affaldsdeponeringsanlæg, forbrændingsanlæg</w:t>
      </w:r>
      <w:r>
        <w:rPr>
          <w:rStyle w:val="FootnoteReference"/>
          <w:noProof/>
          <w:lang w:val="en-IE"/>
        </w:rPr>
        <w:footnoteReference w:id="97"/>
      </w:r>
      <w:r>
        <w:rPr>
          <w:noProof/>
        </w:rPr>
        <w:t xml:space="preserve"> og anlæg til mekanisk-biologisk behandling</w:t>
      </w:r>
      <w:r>
        <w:rPr>
          <w:rStyle w:val="FootnoteReference"/>
          <w:noProof/>
          <w:lang w:val="en-IE"/>
        </w:rPr>
        <w:footnoteReference w:id="98"/>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31. december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Investering 3 (C24.I3) — Digitalisering og fremme af vigtige kulturelle tjenesteydelser </w:t>
      </w:r>
    </w:p>
    <w:p>
      <w:pPr>
        <w:spacing w:before="120" w:after="120" w:line="240" w:lineRule="auto"/>
        <w:jc w:val="both"/>
        <w:rPr>
          <w:rFonts w:ascii="Times New Roman" w:hAnsi="Times New Roman" w:cs="Times New Roman"/>
          <w:noProof/>
          <w:sz w:val="24"/>
        </w:rPr>
      </w:pPr>
      <w:r>
        <w:rPr>
          <w:rFonts w:ascii="Times New Roman" w:hAnsi="Times New Roman"/>
          <w:noProof/>
          <w:sz w:val="24"/>
        </w:rPr>
        <w:t>Denne foranstaltning har til formål at digitalisere og fremme store kulturinstitutioner. De specifikke investeringer under denne foranstaltning har til formål at støtte:</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Det nationale Prado Museum ved: i) forbedring af dets tilgængelighed og integration i bymiljøet, ii) integration af alle sensorer i et enkelt overvåget system, iii) udvikling af en inklusiv oplevelse for at gøre museet tilgængeligt for flere besøgende, iv) udvikling af en interoperabel digital platform mellem museer, v) forbedring af digitale værktøjer til administration og vi) skabelse af multimedieindhold </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Det nationale museum Centro de Arte Reina Sofia ved at tilbyde stipendier og forskningsboliger til unge kunstnere og tænkere med fokus på at udvikle digitaliseringstiltag for kulturarven</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Det spanske nationalbibliotek ved at fremme anvendelsen og videreanvendelsen af dets digitale data og samlinger til støtte for undervisning, forskning, kulturelle industrier og teknologisk udvikling</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En plan for digitalisering af og adgang til den bibliografiske arv af andre biblioteksaktiver fra statslige forvaltninger eller private enheder med henblik på at stille dem til rådighed for borgerne via digitale datalagre</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Digitalisering, udvidelse af kapacitet og interoperabilitet for alle typer arkivsystemer, fortegnelser og optegnelser over den historiske arv, herunder den audiovisuelle kulturarv og</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Foranstaltninger til modernisering af offentlige forvaltningsværktøjer og gennemførelse af et integreret system til digitalisering og katalogisering af INAEM's (</w:t>
      </w:r>
      <w:r>
        <w:rPr>
          <w:rFonts w:ascii="Times New Roman" w:hAnsi="Times New Roman"/>
          <w:i/>
          <w:noProof/>
          <w:sz w:val="24"/>
        </w:rPr>
        <w:t>Instituto Nacional de las Artes Escénicas y de la Música</w:t>
      </w:r>
      <w:r>
        <w:rPr>
          <w:rFonts w:ascii="Times New Roman" w:hAnsi="Times New Roman"/>
          <w:noProof/>
          <w:sz w:val="24"/>
        </w:rPr>
        <w:t>) ressourcer, aktiver, strukturer og infrastruktur, herunder foranstaltninger såsom gennemførelse af forskellige avancerede værktøjer til planlægning, forvaltning og konsekvensanalyse af offentlige støtteordninger for udøvende og musikalske sektorer samt gennemførelse af et digitalt integreret system (INAEM DIGITAL) til digitalisering og katalogisering af strukturer til arkivering og katalogering.</w:t>
      </w:r>
    </w:p>
    <w:p>
      <w:pPr>
        <w:pStyle w:val="Text1"/>
        <w:ind w:left="0"/>
        <w:rPr>
          <w:iCs/>
          <w:noProof/>
          <w:highlight w:val="green"/>
        </w:rPr>
      </w:pPr>
      <w:r>
        <w:rPr>
          <w:noProof/>
        </w:rPr>
        <w:t>For at sikre, at foranstaltningen er i overensstemmelse med den tekniske vejledning om DNSH-princippet (2021/C58/01), skal kriterierne for støtteberettigelse i forbindelse med kommende indkaldelser af forslag udelukke følgende liste over aktiviteter:</w:t>
      </w:r>
      <w:r>
        <w:rPr>
          <w:noProof/>
          <w:color w:val="FF0000"/>
        </w:rPr>
        <w:t xml:space="preserve"> </w:t>
      </w:r>
      <w:r>
        <w:rPr>
          <w:noProof/>
        </w:rPr>
        <w:t>i) aktiviteter i forbindelse med fossile brændstoffer, herunder downstream-anvendelse</w:t>
      </w:r>
      <w:r>
        <w:rPr>
          <w:rStyle w:val="FootnoteReference"/>
          <w:noProof/>
          <w:lang w:val="en-IE"/>
        </w:rPr>
        <w:footnoteReference w:id="99"/>
      </w:r>
      <w:r>
        <w:rPr>
          <w:noProof/>
        </w:rPr>
        <w:t xml:space="preserve"> ii) aktiviteter under EU's emissionshandelssystem (ETS) med henblik på at opnå forventede drivhusgasemissioner, der ikke er lavere end de relevante benchmarks</w:t>
      </w:r>
      <w:r>
        <w:rPr>
          <w:rStyle w:val="FootnoteReference"/>
          <w:noProof/>
          <w:lang w:val="en-IE"/>
        </w:rPr>
        <w:footnoteReference w:id="100"/>
      </w:r>
      <w:r>
        <w:rPr>
          <w:noProof/>
        </w:rPr>
        <w:t xml:space="preserve"> iii) Aktiviteter i forbindelse med affaldsdeponeringsanlæg, forbrændingsanlæg</w:t>
      </w:r>
      <w:r>
        <w:rPr>
          <w:rStyle w:val="FootnoteReference"/>
          <w:noProof/>
          <w:lang w:val="en-IE"/>
        </w:rPr>
        <w:footnoteReference w:id="101"/>
      </w:r>
      <w:r>
        <w:rPr>
          <w:noProof/>
        </w:rPr>
        <w:t xml:space="preserve"> og anlæg til mekanisk-biologisk behandling</w:t>
      </w:r>
      <w:r>
        <w:rPr>
          <w:rStyle w:val="FootnoteReference"/>
          <w:noProof/>
          <w:lang w:val="en-IE"/>
        </w:rPr>
        <w:footnoteReference w:id="102"/>
      </w:r>
      <w:r>
        <w:rPr>
          <w:noProof/>
        </w:rPr>
        <w:t xml:space="preserve"> og iv) aktiviteter, hvor langsigtet bortskaffelse af affald kan skade miljøet. Mandatet skal desuden kræve, at kun aktiviteter, der er i overensstemmelse med relevant EU- og national miljølovgivning, kan udvælges.</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Gennemførelsen af investeringen skal være afsluttet senest den 31. december 2023. </w:t>
      </w:r>
    </w:p>
    <w:p>
      <w:pPr>
        <w:spacing w:before="120" w:after="120" w:line="240" w:lineRule="auto"/>
        <w:jc w:val="both"/>
        <w:rPr>
          <w:rFonts w:ascii="Times New Roman" w:hAnsi="Times New Roman" w:cs="Times New Roman"/>
          <w:b/>
          <w:noProof/>
          <w:sz w:val="24"/>
          <w:u w:val="single"/>
        </w:rPr>
      </w:pPr>
      <w:r>
        <w:rPr>
          <w:rFonts w:ascii="Times New Roman" w:hAnsi="Times New Roman"/>
          <w:b/>
          <w:bCs/>
          <w:noProof/>
          <w:sz w:val="24"/>
          <w:u w:val="single"/>
        </w:rPr>
        <w:t xml:space="preserve">X.2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rPr>
      </w:pPr>
      <w:r>
        <w:rPr>
          <w:rFonts w:ascii="Times New Roman" w:hAnsi="Times New Roman"/>
          <w:i/>
          <w:iCs/>
          <w:noProof/>
          <w:color w:val="000000"/>
          <w:sz w:val="24"/>
        </w:rPr>
        <w:t>Se tabellen nedenfor.</w:t>
      </w:r>
      <w:r>
        <w:rPr>
          <w:rFonts w:ascii="Times New Roman" w:hAnsi="Times New Roman"/>
          <w:noProof/>
          <w:color w:val="1F497D"/>
          <w:sz w:val="24"/>
        </w:rPr>
        <w:t xml:space="preserve"> </w:t>
      </w:r>
      <w:r>
        <w:rPr>
          <w:rFonts w:ascii="Times New Roman" w:hAnsi="Times New Roman"/>
          <w:i/>
          <w:iCs/>
          <w:noProof/>
          <w:color w:val="000000"/>
          <w:sz w:val="24"/>
        </w:rPr>
        <w:t>Startdatoen for alle indikatorer er den 1. februar 2020 , medmindre andet er angivet i beskrivelsen af foranstaltningen. Beløbene i tabellen omfatter ikke moms.</w:t>
      </w:r>
    </w:p>
    <w:p>
      <w:pPr>
        <w:spacing w:before="120" w:after="120" w:line="240" w:lineRule="auto"/>
        <w:jc w:val="both"/>
        <w:rPr>
          <w:rFonts w:ascii="Times New Roman" w:hAnsi="Times New Roman" w:cs="Times New Roman"/>
          <w:noProof/>
          <w:sz w:val="24"/>
        </w:rPr>
        <w:sectPr>
          <w:headerReference w:type="even" r:id="rId295"/>
          <w:headerReference w:type="default" r:id="rId296"/>
          <w:footerReference w:type="even" r:id="rId297"/>
          <w:footerReference w:type="default" r:id="rId298"/>
          <w:headerReference w:type="first" r:id="rId299"/>
          <w:footerReference w:type="first" r:id="rId30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701"/>
        <w:gridCol w:w="1134"/>
        <w:gridCol w:w="851"/>
        <w:gridCol w:w="567"/>
        <w:gridCol w:w="709"/>
        <w:gridCol w:w="425"/>
        <w:gridCol w:w="567"/>
        <w:gridCol w:w="694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170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2127"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694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701"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694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kunstnerens vedtægter, sponsorering og skattebegunstigelsesordningen.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forordningen om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lovændringer med henblik på gennemførelse af kunstnerens status og regulering af følgende aspekter med henblik på at forbedre kunstneres arbejdsvilkår: momsens tilstrækkelighed personlig indkomstskat fagforeningernes repræsentativitet, sundhed og særlige ansættelsesforhold for kunstnere i offentlige karrierer bedre regulering af sponsorering og skatteincitamenter.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love og administrative bestemmelser til styrkelse af ophavsret og beslægtede rettigheder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retsakterne om ikrafttræden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1) vedtagelse af loven om intellektuelle ejendomsrettigheder på det europæiske digitale indre marked med fuldstændig gennemførelse af direktiv 2019/789, SatCab og 2019/790 2) kongeligt dekret om godkendelse af forordningen om registrering af intellektuel ejendomsret; 3) kongeligt dekret om ændring af kongeligt dekret nr. 1889/2011 af 30. december 2006 om kommissionen for intellektuel ejendomsret; og 4) Godkendelse af det relevante normative instrument og af vedtægterne for det spanske kontor for ophavsret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Styrkelse af kulturindustriernes konkurrenceevne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1 216</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Antal enheder og projekter, der modtager støtte fra støtteordningen, for:  — iværksætterfærdigheder og finansielle færdigheder hos fagfolk inden for de kulturelle og kreative industrier (900 enheder) — digitaliseringsplanlægning gennemført og værktøjer skabt for at drøfte digital omstilling (16 projekter) internationalisering af de kulturelle og kreative industrier (300 enheder). Udvælgelseskriterierne skal sikre overensstemmelse med den tekniske vejledning om DNSH-princippet (2021/C58/01) gennem anvendelse af en udelukkelsesliste og kravet om overholdelse af den relevante EU-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Modernisering og bæredygtig forvaltning af infrastruktur til scenekunst og musik</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Modernisering og bæredygtig forvaltning af infrastrukturen for ældre og musikkunst: 200 aktioner, der er gennemført i mindst 17 regioner i overensstemmelse med den tekniske vejledning om DNSH-princippet(2021/C58/01) gennem anvendelse af en udelukkelsesliste og kravet om overholdelse af den relevante EU- og nationale miljølovgivning.</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Bevarelse, restaurering og styrkelse af den spanske kulturarv</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Kultursteder, der støttes af foranstaltninger til bevarelse, restaurering og forbedring af den spanske kulturarv: 20 anlægsområder i mindst 15 regioner i overensstemmelse med den tekniske vejledning om DNSH-princippet (2021/C58/01) gennem anvendelse af en udelukkelsesliste og kravet om overholdelse af den relevante EU-lovgivning og nationale miljølovgivning.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E-bogslicenser til biblioteker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E-bogslicenser købt og leveret til offentlige biblioteker (300 000)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Bogkøb til biblioteker</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450 000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Papirbøger indkøbt og overført til offentlige biblioteker (450 000)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359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Fremme af kulturelle og kreative initiativer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Fremme profitorganisationers og nonprofitorganisationers kulturelle aktiviteter i ikke-bymæssige områder (400 initiativer).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Digitalisering og fremme af vigtige kulturelle tjenesteydelser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EUR (mio.)</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Samlet budget, hvortil der er indgået forpligtelser på mindst 40 000 000 EUR for at bidrage til: a) -Boost og digitalisering af det nationale Prado Museum og Reina Sofia Museum  — Foranstaltninger til at øge de årlige brugere af den digitale samling af det spanske nationalbibliotek — Digitalisering af den anden Bibliografiske arv [digitaliseret bibliografisk arv] — Digital adgang til den bibliografiske arv og interoperabilitet for alle typer af offentlige arkivsystemer og udvidelse af datalagringskapaciteten i den spanske fortegnelse over den historiske kulturarv og arkivsystemer Færdiggørelse af et integreret system til digitalisering og katalogisering af INAEM's ressourcer, aktiver, strukturer og infrastruktur</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C24.I3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Afslutning af digitalisering og fremme af vigtige kulturelle tjenesteydelser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Færdiggørelse af mindst 200 projekter i overensstemmelse med den tekniske vejledning om DNSH-princippet (2021/C58/01) gennem anvendelse af en udelukkelsesliste og krav om overholdelse af den relevante EU-lovgivning og nationale miljølovgivning. — Boost og digitalisering af det nationale Prado Museum og Reina Sofia Museum  — Foranstaltninger til at øge de årlige brugere af den digitale samling af det spanske nationalbibliotek — Digital adgang til den bibliografiske arv og interoperabilitet for alle typer af offentlige arkivsystemer og udvidelse af datalagringskapaciteten i den spanske fortegnelse over den historiske kulturarv og arkivsystemer Færdiggørelse af et integreret system til digitalisering og katalogisering af INAEM's ressourcer, aktiver, strukturer og infrastruktur.</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362</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C24.I3</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1701"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 xml:space="preserve">Afslutning af digitaliseringen af den bibliografiske arv </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Antal (i mio.)</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szCs w:val="18"/>
              </w:rPr>
              <w:t>10</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12</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94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Digitalisering af den bibliografiske arv (offentlige og private samlinger) (i alt 12 millioner digitaliserede kulturarvssamlinger)</w:t>
            </w:r>
          </w:p>
        </w:tc>
      </w:tr>
    </w:tbl>
    <w:p>
      <w:pPr>
        <w:keepNext/>
        <w:spacing w:before="120" w:after="360" w:line="240" w:lineRule="auto"/>
        <w:jc w:val="center"/>
        <w:rPr>
          <w:rFonts w:ascii="Times New Roman" w:hAnsi="Times New Roman" w:cs="Times New Roman"/>
          <w:b/>
          <w:smallCaps/>
          <w:noProof/>
          <w:sz w:val="28"/>
        </w:rPr>
        <w:sectPr>
          <w:headerReference w:type="even" r:id="rId301"/>
          <w:headerReference w:type="default" r:id="rId302"/>
          <w:footerReference w:type="even" r:id="rId303"/>
          <w:footerReference w:type="default" r:id="rId304"/>
          <w:headerReference w:type="first" r:id="rId305"/>
          <w:footerReference w:type="first" r:id="rId306"/>
          <w:pgSz w:w="16839" w:h="11907" w:orient="landscape"/>
          <w:pgMar w:top="1417" w:right="1134" w:bottom="1417" w:left="1134" w:header="709" w:footer="709" w:gutter="0"/>
          <w:cols w:space="720"/>
          <w:docGrid w:linePitch="360"/>
        </w:sectPr>
      </w:pPr>
    </w:p>
    <w:p>
      <w:pPr>
        <w:pStyle w:val="Heading1"/>
        <w:rPr>
          <w:noProof/>
        </w:rPr>
      </w:pPr>
      <w:r>
        <w:rPr>
          <w:noProof/>
        </w:rPr>
        <w:t>Y. KOMPONENT 25: Spanien Audiovisuelle Hub</w:t>
      </w:r>
    </w:p>
    <w:p>
      <w:pPr>
        <w:tabs>
          <w:tab w:val="left" w:pos="1134"/>
        </w:tabs>
        <w:spacing w:before="120" w:after="120" w:line="240" w:lineRule="auto"/>
        <w:jc w:val="both"/>
        <w:rPr>
          <w:rFonts w:ascii="Times New Roman" w:hAnsi="Times New Roman" w:cs="Times New Roman"/>
          <w:bCs/>
          <w:iCs/>
          <w:noProof/>
          <w:sz w:val="24"/>
        </w:rPr>
      </w:pPr>
      <w:r>
        <w:rPr>
          <w:rFonts w:ascii="Times New Roman" w:hAnsi="Times New Roman"/>
          <w:bCs/>
          <w:iCs/>
          <w:noProof/>
          <w:sz w:val="24"/>
        </w:rPr>
        <w:t xml:space="preserve">Denne komponent i den spanske genopretnings- og resiliensplan samler en række investeringer og reformer, der har til formål at puste nyt liv i og styrke den audiovisuelle sektor. Den har til formål at forbedre investeringsklimaet, konsolidere Spanien som en international platform for audiovisuelle investeringer og gøre Spanien til en reference i forbindelse med eksport af audiovisuelle produkter, herunder videospil og digital produktion. Denne komponent omfatter også foranstaltninger til fremme af internationalisering af virksomheder, fremme af innovation i sektoren og gennemførelse af bedre lovgivning. </w:t>
      </w:r>
    </w:p>
    <w:p>
      <w:pPr>
        <w:tabs>
          <w:tab w:val="left" w:pos="1134"/>
        </w:tabs>
        <w:spacing w:before="120" w:after="120" w:line="240" w:lineRule="auto"/>
        <w:jc w:val="both"/>
        <w:rPr>
          <w:rFonts w:ascii="Times New Roman" w:hAnsi="Times New Roman" w:cs="Times New Roman"/>
          <w:bCs/>
          <w:iCs/>
          <w:noProof/>
          <w:sz w:val="24"/>
        </w:rPr>
      </w:pPr>
      <w:r>
        <w:rPr>
          <w:rFonts w:ascii="Times New Roman" w:hAnsi="Times New Roman"/>
          <w:bCs/>
          <w:iCs/>
          <w:noProof/>
          <w:sz w:val="24"/>
        </w:rPr>
        <w:t xml:space="preserve">I overensstemmelse med planen "Spanien Digital 2025" og den nyligt vedtagne "Plan Spain Audiovisual Hub of Europe" forventes komponenten at støtte jobskabelse, navnlig blandt unge, turistindustrien, og omfatter foranstaltninger, der mindsker kønsskævheden. </w:t>
      </w:r>
    </w:p>
    <w:p>
      <w:pPr>
        <w:tabs>
          <w:tab w:val="left" w:pos="1134"/>
        </w:tabs>
        <w:spacing w:before="120" w:after="120" w:line="240" w:lineRule="auto"/>
        <w:jc w:val="both"/>
        <w:rPr>
          <w:rFonts w:ascii="Times New Roman" w:hAnsi="Times New Roman" w:cs="Times New Roman"/>
          <w:bCs/>
          <w:iCs/>
          <w:noProof/>
          <w:sz w:val="24"/>
          <w:szCs w:val="24"/>
        </w:rPr>
      </w:pPr>
      <w:r>
        <w:rPr>
          <w:rFonts w:ascii="Times New Roman" w:hAnsi="Times New Roman"/>
          <w:noProof/>
          <w:sz w:val="24"/>
          <w:szCs w:val="24"/>
        </w:rPr>
        <w:t>Komponenten vedrører de landespecifikke henstillinger om fremme af investeringer i innovation (landespecifik henstilling nr. 3 fra 2019) og fokus på investeringer i den grønne og digitale omstilling (landespecifik henstilling nr. 3 fra 2020).</w:t>
      </w:r>
    </w:p>
    <w:p>
      <w:pPr>
        <w:tabs>
          <w:tab w:val="left" w:pos="1134"/>
        </w:tabs>
        <w:spacing w:before="120" w:after="120" w:line="240" w:lineRule="auto"/>
        <w:jc w:val="both"/>
        <w:rPr>
          <w:rFonts w:ascii="Times New Roman" w:hAnsi="Times New Roman" w:cs="Times New Roman"/>
          <w:bCs/>
          <w:iCs/>
          <w:noProof/>
          <w:sz w:val="24"/>
          <w:szCs w:val="24"/>
        </w:rPr>
      </w:pPr>
      <w:r>
        <w:rPr>
          <w:rFonts w:ascii="Times New Roman" w:hAnsi="Times New Roman"/>
          <w:noProof/>
          <w:color w:val="000000" w:themeColor="text1"/>
          <w:sz w:val="24"/>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r>
        <w:rPr>
          <w:rFonts w:ascii="Times New Roman" w:hAnsi="Times New Roman"/>
          <w:bCs/>
          <w:iCs/>
          <w:noProof/>
          <w:sz w:val="24"/>
          <w:szCs w:val="24"/>
        </w:rPr>
        <w:t xml:space="preserve"> </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bCs/>
          <w:noProof/>
          <w:sz w:val="24"/>
          <w:u w:val="single"/>
        </w:rPr>
        <w:t xml:space="preserve">Y.1 </w:t>
      </w:r>
      <w:r>
        <w:rPr>
          <w:rFonts w:ascii="Times New Roman" w:hAnsi="Times New Roman"/>
          <w:b/>
          <w:noProof/>
          <w:sz w:val="24"/>
          <w:u w:val="single"/>
        </w:rPr>
        <w:tab/>
      </w:r>
      <w:r>
        <w:rPr>
          <w:rFonts w:ascii="Times New Roman" w:hAnsi="Times New Roman"/>
          <w:b/>
          <w:bCs/>
          <w:noProof/>
          <w:sz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 xml:space="preserve">Reform 1 (C25.R1): Reform af regelsættet på det audiovisuelle område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Reformen af regelsættet på det audiovisuelle område omfatter vedtagelse af to love og godkendelse af en sektorplan:</w:t>
      </w:r>
    </w:p>
    <w:p>
      <w:pPr>
        <w:numPr>
          <w:ilvl w:val="0"/>
          <w:numId w:val="117"/>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Ikrafttrædelsen af den generelle lov om audiovisuel kommunikation, som har forskellige formål. For det første at tilpasse og modernisere de retlige rammer for audiovisuelle medietjenester og platformsvideoudvekslingstjenester i Spanien. For det andet at indføre mekanismer, der sikrer brugernes rettigheder, såsom beskyttelse af mindreårige og offentligheden mod visse typer indhold. For det tredje at fremme europæisk audiovisuelt arbejde ved at fordoble støtten til uafhængig audiovisuel produktion. For det fjerde at forbedre integrationen af personer med handicap. Loven træder i kraft ved udgangen af første kvartal af 2022. </w:t>
      </w:r>
    </w:p>
    <w:p>
      <w:pPr>
        <w:numPr>
          <w:ilvl w:val="0"/>
          <w:numId w:val="117"/>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Reform af lov nr. 55/2007 om biograffilm, der har til formål i) at ajourføre lovens bestemmelser til den nye virkelighed i sektoren, ii) tilpasse de lovgivningsmæssige rammer til de europæiske retlige rammer, herunder statsstøttereglerne og iii) ajourføre og ændre mekanismen for at yde finansiel støtte til den audiovisuelle sektor. Dette anføres senest den 31. december 2023.  </w:t>
      </w:r>
    </w:p>
    <w:p>
      <w:pPr>
        <w:numPr>
          <w:ilvl w:val="0"/>
          <w:numId w:val="117"/>
        </w:numPr>
        <w:spacing w:before="120" w:after="120" w:line="240" w:lineRule="auto"/>
        <w:jc w:val="both"/>
        <w:rPr>
          <w:rFonts w:ascii="Times New Roman" w:hAnsi="Times New Roman" w:cs="Times New Roman"/>
          <w:bCs/>
          <w:noProof/>
          <w:sz w:val="24"/>
        </w:rPr>
      </w:pPr>
      <w:r>
        <w:rPr>
          <w:rFonts w:ascii="Times New Roman" w:hAnsi="Times New Roman"/>
          <w:bCs/>
          <w:noProof/>
          <w:sz w:val="24"/>
        </w:rPr>
        <w:t>Vedtagelse og gennemførelse af planen "Spain Audiovisual Hub for Europe", som har til formål at gøre Spanien til en global investeringsplatform, tiltrække udenlandske investeringer og eksportere audiovisuelle produkter. Denne plan blev vedtaget af Ministerrådet i marts 2021. Det omfatter investeringer til forbedring af hele værdikæden i den audiovisuelle industri baseret på Spaniens komparative fordele i sektoren, herunder en veletableret audiovisuel industri, veluddannet menneskelig kapital og en globalt anerkendt kreativ kapacitet. Planen omfatter alle formater i den audiovisuelle sektor (f.eks. biografer, serier, reklamer, videospil og animation). Det spanske audiovisuelle knudepunkt for Europa har til formål at skabe synergier med andre sektorer såsom kultur og turisme. Foranstaltningerne bygger på fire prioriteter: i) at gøre Spanien til en pulje af tiltrækningskraft for audiovisuel produktion, ii) at reducere de administrative og lovgivningsmæssige omkostninger i forbindelse med sektoren, iii) at forbedre konkurrenceevnen for virksomheder i sektoren ved at investere i deres digitalisering og iv) at skabe talenter og mindske kønsskævheden.</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Gennemførelsen af reformerne skal være afsluttet senest den 31. december 2023. </w:t>
      </w:r>
    </w:p>
    <w:p>
      <w:pPr>
        <w:spacing w:before="120" w:after="120" w:line="240" w:lineRule="auto"/>
        <w:jc w:val="both"/>
        <w:rPr>
          <w:rFonts w:ascii="Times New Roman" w:hAnsi="Times New Roman" w:cs="Times New Roman"/>
          <w:bCs/>
          <w:noProof/>
          <w:sz w:val="24"/>
          <w:u w:val="single"/>
        </w:rPr>
      </w:pPr>
      <w:r>
        <w:rPr>
          <w:rFonts w:ascii="Times New Roman" w:hAnsi="Times New Roman"/>
          <w:bCs/>
          <w:noProof/>
          <w:sz w:val="24"/>
          <w:u w:val="single"/>
        </w:rPr>
        <w:t xml:space="preserve">Investering 1 (C25.I1): Program for fremme, modernisering og digitalisering af den audiovisuelle sektor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Denne investering har til formål at forbedre konkurrenceevnen og modstandsdygtigheden i erhvervslivet og den kreative struktur i den audiovisuelle sektor samt at fremme dens internationalisering og tiltrække udenlandske investeringer. Med henblik herpå er der tre særskilte programmer inden for rammerne af investeringen. </w:t>
      </w:r>
    </w:p>
    <w:p>
      <w:pPr>
        <w:numPr>
          <w:ilvl w:val="0"/>
          <w:numId w:val="116"/>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Et program til fremme, modernisering og digitalisering af den audiovisuelle sektor for at forbedre konkurrenceevnen og modstandsdygtigheden i erhvervslivet og den kreative struktur i den audiovisuelle sektor. Programmet skal også støtte gennemførelsen og integrationen af digitale teknologier i produktionen og promoveringen af audiovisuelt indhold samt digitaliseringen af ophavsmændenes aflønningsværktøj. </w:t>
      </w:r>
    </w:p>
    <w:p>
      <w:pPr>
        <w:numPr>
          <w:ilvl w:val="0"/>
          <w:numId w:val="116"/>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Et program til fremme af internaliseringen af den audiovisuelle sektor gennem deltagelse i audiovisuelle virksomhedskonferencer, platforme og projektudviklingslaboratorier og -messer. Målet er at indføre forskellige mekanismer til at udnytte det fulde potentiale i den spanske audiovisuelle industri og fremme det lokale talent i et globalt miljø. </w:t>
      </w:r>
    </w:p>
    <w:p>
      <w:pPr>
        <w:numPr>
          <w:ilvl w:val="0"/>
          <w:numId w:val="116"/>
        </w:num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Et program, der skal tiltrække udenlandske direkte investeringer i den audiovisuelle sektor ved at skabe et attraktivt investeringsmiljø, mindske den administrative byrde og lette forskellige administrative procedurer (herunder forbindelser med den offentlige forvaltning på generelt, regionalt og lokalt plan).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Denne investering skal gennemføres gennem aftaler med offentlige og private enheder, indkaldelser af ansøgninger til støtte for indarbejdelsen af digitale teknologier i audiovisuelle produkter og tjenester, opfordrer til støtte til innovation inden for skabelse og udvikling af audiovisuelt og digitalt indhold i dets forskellige formater, digitalisering og dataanalyse af den audiovisuelle sektor, nye instrumenter til international markedsføring og digital markedsføring af audiovisuelt indhold såsom B2B- og B2C-onlineværktøjer.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 xml:space="preserve">Denne investering er rettet mod virksomheder, fagfolk og aktører i hele den audiovisuelle værdikæde og har særligt fokus på SMV'er, der producerer audiovisuelt indhold, SMV'er, der er specialiseret i lønforvaltning for ophavsmænd, og teknologikonsulenter, der kan udvikle platforme, der er åbne for alle interessenter. </w:t>
      </w:r>
    </w:p>
    <w:p>
      <w:pPr>
        <w:spacing w:before="120" w:after="120" w:line="240" w:lineRule="auto"/>
        <w:jc w:val="both"/>
        <w:rPr>
          <w:rFonts w:ascii="Times New Roman" w:hAnsi="Times New Roman" w:cs="Times New Roman"/>
          <w:bCs/>
          <w:noProof/>
          <w:sz w:val="24"/>
        </w:rPr>
      </w:pPr>
      <w:r>
        <w:rPr>
          <w:rFonts w:ascii="Times New Roman" w:hAnsi="Times New Roman"/>
          <w:bCs/>
          <w:noProof/>
          <w:sz w:val="24"/>
        </w:rPr>
        <w:t>Gennemførelsen af reformerne skal være afsluttet senest den 31. december 2023.</w:t>
      </w:r>
    </w:p>
    <w:p>
      <w:pPr>
        <w:spacing w:before="120" w:after="120" w:line="240" w:lineRule="auto"/>
        <w:jc w:val="both"/>
        <w:rPr>
          <w:rFonts w:ascii="Times New Roman" w:hAnsi="Times New Roman" w:cs="Times New Roman"/>
          <w:b/>
          <w:bCs/>
          <w:noProof/>
          <w:sz w:val="24"/>
          <w:u w:val="single"/>
        </w:rPr>
      </w:pPr>
      <w:r>
        <w:rPr>
          <w:rFonts w:ascii="Times New Roman" w:hAnsi="Times New Roman"/>
          <w:b/>
          <w:bCs/>
          <w:noProof/>
          <w:sz w:val="24"/>
          <w:u w:val="single"/>
        </w:rPr>
        <w:t xml:space="preserve">Y.2 </w:t>
      </w:r>
      <w:r>
        <w:rPr>
          <w:rFonts w:ascii="Times New Roman" w:hAnsi="Times New Roman"/>
          <w:b/>
          <w:noProof/>
          <w:sz w:val="24"/>
          <w:u w:val="single"/>
        </w:rPr>
        <w:tab/>
      </w:r>
      <w:r>
        <w:rPr>
          <w:rFonts w:ascii="Times New Roman" w:hAnsi="Times New Roman"/>
          <w:b/>
          <w:bCs/>
          <w:noProof/>
          <w:sz w:val="24"/>
          <w:u w:val="single"/>
        </w:rPr>
        <w:t>Milepæle, mål, indikatorer og tidsplan for overvågning og gennemførelse af den ikketilbagebetalingspligtige støtte</w:t>
      </w:r>
    </w:p>
    <w:p>
      <w:pPr>
        <w:spacing w:before="120" w:after="120" w:line="240" w:lineRule="auto"/>
        <w:rPr>
          <w:rFonts w:ascii="Times New Roman" w:hAnsi="Times New Roman" w:cs="Times New Roman"/>
          <w:b/>
          <w:noProof/>
          <w:sz w:val="24"/>
          <w:szCs w:val="24"/>
          <w:u w:val="single"/>
        </w:rPr>
      </w:pPr>
      <w:r>
        <w:rPr>
          <w:rFonts w:ascii="Times New Roman" w:hAnsi="Times New Roman"/>
          <w:i/>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color w:val="000000"/>
          <w:sz w:val="24"/>
          <w:szCs w:val="24"/>
        </w:rPr>
        <w:t>Startdatoen for alle indikatorer er startdatoen for foranstaltningen, medmindre andet er angivet i beskrivelsen af foranstaltningen. Beløbene i tabellen omfatter ikke moms.</w:t>
      </w:r>
    </w:p>
    <w:p>
      <w:pPr>
        <w:rPr>
          <w:rFonts w:ascii="Times New Roman" w:hAnsi="Times New Roman" w:cs="Times New Roman"/>
          <w:b/>
          <w:noProof/>
          <w:sz w:val="24"/>
          <w:u w:val="single"/>
          <w:lang w:val="en-IE"/>
        </w:rPr>
        <w:sectPr>
          <w:headerReference w:type="even" r:id="rId307"/>
          <w:headerReference w:type="default" r:id="rId308"/>
          <w:footerReference w:type="even" r:id="rId309"/>
          <w:footerReference w:type="default" r:id="rId310"/>
          <w:headerReference w:type="first" r:id="rId311"/>
          <w:footerReference w:type="first" r:id="rId312"/>
          <w:pgSz w:w="11907" w:h="16839"/>
          <w:pgMar w:top="1134" w:right="1417" w:bottom="1134" w:left="1417" w:header="709" w:footer="709" w:gutter="0"/>
          <w:cols w:space="720"/>
          <w:docGrid w:linePitch="360"/>
        </w:sectPr>
      </w:pPr>
    </w:p>
    <w:p>
      <w:pPr>
        <w:spacing w:before="120" w:after="120" w:line="240" w:lineRule="auto"/>
        <w:jc w:val="both"/>
        <w:rPr>
          <w:rFonts w:ascii="Times New Roman" w:hAnsi="Times New Roman" w:cs="Times New Roman"/>
          <w:b/>
          <w:noProof/>
          <w:sz w:val="24"/>
          <w:u w:val="single"/>
          <w:lang w:val="en-IE"/>
        </w:r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410"/>
        <w:gridCol w:w="992"/>
        <w:gridCol w:w="851"/>
        <w:gridCol w:w="567"/>
        <w:gridCol w:w="567"/>
        <w:gridCol w:w="425"/>
        <w:gridCol w:w="567"/>
        <w:gridCol w:w="6521"/>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Cs/>
                <w:i/>
                <w:noProof/>
                <w:sz w:val="18"/>
                <w:szCs w:val="18"/>
              </w:rPr>
              <w:t xml:space="preserve"> </w:t>
            </w: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41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992"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198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652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bCs/>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41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6521"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Plan "Spanien, det audiovisuelle knudepunkt i Europa"</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Ministerrådets godkendelse af planen "Spanien, det audiovisuelle knudepunkt i Europa". Planen kombinerer offentlige investeringer og reformer, der har til formål at i) internationalisere sektoren og øge Spaniens tiltrækningskraft som destination for udenlandske investeringer, ii) mindske de lovgivningsmæssige og administrative omkostninger iii) at forbedre alle virksomheders konkurrenceevne gennem indførelse af nye teknologier for at sætte virksomheden i stand til at konkurrere på et digitaliseringsmarked: og iv) fremme menneskelig kapital ved at mindske den kønsbestemte forskel.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den almindelige lov om audiovisuel kommunikation.</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vedtægterne ved ikrafttrædelsen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 af den almindelige lov om audiovisuel kommunikation. Denne lov regulerer de retlige rammer for levering af audiovisuelle kommunikationstjenester i Spanien og skal effektivt gennemføre direktiv 2018/1808 om audiovisuelle kommunikationstjenester i det nationale retssystem. Formålet er at tilpasse og ajourføre de retlige rammer for audiovisuelle kommunikationstjenester og videodelingsplatformstjenester i Spanien. Loven har også til formål at sikre lige vilkår for alle de forskellige aktører, der er til stede på markedet. Endelig indeholder loven en vis mekanisme til sikring af brugernes rettigheder (f.eks. beskyttelse af mindreårige og offentligheden mod visse typer indhold).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Loven om film træder i kraft.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vedtægterne ved ikrafttrædelsen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Parlamentets godkendelse af loven om biograffilm og ikrafttræden. Denne lov skal ajourføre de retlige rammer til den audiovisuelle sektors nye virkelighed og behov og tilpasse den nationale lovgivning til den europæiske retlige ramme.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C25.I1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Støtte til SMV'er i den audiovisuelle sektor</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szCs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szCs w:val="18"/>
              </w:rPr>
              <w:t>Støtte til SMV'er i den audiovisuelle sektor i deres digitalisering, fremme af ligestilling mellem kønnene, internationalisering og tiltrækning af udenlandske direkte investeringer under det overordnede program med en samlet budgetbevilling på 200 mio. EUR (støtte til mindst 100 SMV'er).</w:t>
            </w:r>
          </w:p>
        </w:tc>
      </w:tr>
    </w:tbl>
    <w:p>
      <w:pPr>
        <w:rPr>
          <w:rFonts w:ascii="Times New Roman" w:hAnsi="Times New Roman" w:cs="Times New Roman"/>
          <w:noProof/>
          <w:sz w:val="24"/>
          <w:szCs w:val="24"/>
          <w:lang w:val="en-IE"/>
        </w:rPr>
      </w:pPr>
    </w:p>
    <w:p>
      <w:pPr>
        <w:pStyle w:val="SectionTitle"/>
        <w:rPr>
          <w:noProof/>
          <w:lang w:val="en-IE"/>
        </w:rPr>
        <w:sectPr>
          <w:headerReference w:type="even" r:id="rId313"/>
          <w:headerReference w:type="default" r:id="rId314"/>
          <w:footerReference w:type="even" r:id="rId315"/>
          <w:footerReference w:type="default" r:id="rId316"/>
          <w:headerReference w:type="first" r:id="rId317"/>
          <w:footerReference w:type="first" r:id="rId318"/>
          <w:pgSz w:w="16839" w:h="11907" w:orient="landscape"/>
          <w:pgMar w:top="1417" w:right="1134" w:bottom="1417" w:left="1134" w:header="709" w:footer="709" w:gutter="0"/>
          <w:cols w:space="720"/>
          <w:docGrid w:linePitch="360"/>
        </w:sectPr>
      </w:pPr>
    </w:p>
    <w:p>
      <w:pPr>
        <w:pStyle w:val="Heading1"/>
        <w:rPr>
          <w:noProof/>
        </w:rPr>
      </w:pPr>
      <w:r>
        <w:rPr>
          <w:noProof/>
        </w:rPr>
        <w:t xml:space="preserve">Z. KOMPONENT 26: Fremme af sport </w:t>
      </w:r>
    </w:p>
    <w:p>
      <w:pPr>
        <w:pStyle w:val="Text1"/>
        <w:ind w:left="0"/>
        <w:rPr>
          <w:iCs/>
          <w:noProof/>
        </w:rPr>
      </w:pPr>
      <w:r>
        <w:rPr>
          <w:noProof/>
        </w:rPr>
        <w:t xml:space="preserve">Ifølge den spanske genopretnings- og resiliensplan tegner sportssektoren sig for 3,1 % af BNP i Spanien og tegner sig direkte eller indirekte for 2,1 % af den samlede beskæftigelse i Spanien. </w:t>
      </w:r>
    </w:p>
    <w:p>
      <w:pPr>
        <w:pStyle w:val="Text1"/>
        <w:ind w:left="0"/>
        <w:rPr>
          <w:iCs/>
          <w:noProof/>
        </w:rPr>
      </w:pPr>
      <w:r>
        <w:rPr>
          <w:noProof/>
        </w:rPr>
        <w:t>Hovedformålet med denne komponent i den spanske genopretnings- og resiliensplan er at fremme omstillingen af sportssektoren gennem digitalisering af idrætsorganisationer og opgradering af sportsfaciliteter for at sikre deres miljømæssige bæredygtighed og tilgængelighed. Den skal også støtte fremme af sport af sundhedsmæssige årsager, navnlig gennem bedre adgang til fysisk aktivitet i områder, hvor der er risiko for affolkning, samt gennem forskning på området. Endelig skal komponenten omfatte målrettede investeringer til fremme af kvinders deltagelse i professionel sport og amatørsport.</w:t>
      </w:r>
    </w:p>
    <w:p>
      <w:pPr>
        <w:tabs>
          <w:tab w:val="left" w:pos="1134"/>
        </w:tabs>
        <w:spacing w:before="120" w:after="120" w:line="240" w:lineRule="auto"/>
        <w:jc w:val="both"/>
        <w:rPr>
          <w:rFonts w:ascii="Times New Roman" w:hAnsi="Times New Roman" w:cs="Times New Roman"/>
          <w:noProof/>
          <w:sz w:val="24"/>
        </w:rPr>
      </w:pPr>
      <w:r>
        <w:rPr>
          <w:rFonts w:ascii="Times New Roman" w:hAnsi="Times New Roman"/>
          <w:noProof/>
          <w:sz w:val="24"/>
        </w:rPr>
        <w:t>Komponenten vedrører de landespecifikke henstillinger om fremme af investeringer i innovation og energieffektivitet (landespecifik henstilling nr. 3 fra 2019), fremme af offentlige og private investeringer og fremme af den grønne omstilling (landespecifik henstilling nr. 3 fra 2020) og styrkelse af sundhedssystemets modstandsdygtighed (landespecifik henstilling nr. 1 fra 2020).</w:t>
      </w:r>
    </w:p>
    <w:p>
      <w:pPr>
        <w:pStyle w:val="Text1"/>
        <w:ind w:left="0"/>
        <w:rPr>
          <w:iCs/>
          <w:noProof/>
        </w:rPr>
      </w:pPr>
      <w:r>
        <w:rPr>
          <w:noProof/>
        </w:rPr>
        <w:t>Denne komponent skal støtte og supplere de foranstaltninger, der er planlagt i andre dele af planen, f.eks. foranstaltninger til fremme af en sund livsstil i komponent 18 (Reform af sundhedssystemet). Gennem optimering og opgradering af eksisterende sportsinfrastrukturer skal den også supplere de foranstaltninger, der er iværksat under komponent 2 (renovering), og støtte omstillingen af turistsektoren i Spanien i overensstemmelse med komponent 14 (turisme).</w:t>
      </w:r>
    </w:p>
    <w:p>
      <w:pPr>
        <w:pStyle w:val="Text1"/>
        <w:ind w:left="0"/>
        <w:rPr>
          <w:noProof/>
        </w:rPr>
      </w:pPr>
      <w:r>
        <w:rPr>
          <w:noProof/>
          <w:color w:val="000000" w:themeColor="text1"/>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pStyle w:val="Text1"/>
        <w:ind w:left="709"/>
        <w:rPr>
          <w:b/>
          <w:i/>
          <w:noProof/>
          <w:color w:val="4F81BD" w:themeColor="accent1"/>
        </w:rPr>
      </w:pPr>
      <w:r>
        <w:rPr>
          <w:b/>
          <w:bCs/>
          <w:noProof/>
          <w:u w:val="single"/>
        </w:rPr>
        <w:t xml:space="preserve">Z.1 </w:t>
      </w:r>
      <w:r>
        <w:rPr>
          <w:b/>
          <w:noProof/>
          <w:u w:val="single"/>
        </w:rPr>
        <w:tab/>
      </w:r>
      <w:r>
        <w:rPr>
          <w:b/>
          <w:bCs/>
          <w:noProof/>
          <w:u w:val="single"/>
        </w:rPr>
        <w:t>Beskrivelse af reformer og investeringer, som finansieres med ikketilbagebetalingspligtig støtte</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Reform 1 (C26.R1) — Sportsloven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denne lovgivningsmæssige foranstaltning er at sikre sundhed og sikkerhed i udøvelsen af sport på alle niveauer, at medtage aspekter vedrørende ligestilling mellem kønnene, tilgængelighed og social samhørighed i reguleringen af sport, at modernisere idrætsorganisationer og -infrastrukturer gennem digitalisering og gennem deres økologiske omstilling og at fremme internationaliseringen af sektoren. Lovgivningen skal tilpasse idrættens organisationsstrukturer til de aktuelle udfordringer, den står over for, under hensyntagen til erfaringerne fra pandemien. </w:t>
      </w:r>
    </w:p>
    <w:p>
      <w:pPr>
        <w:spacing w:line="240" w:lineRule="auto"/>
        <w:rPr>
          <w:rFonts w:ascii="Times New Roman" w:hAnsi="Times New Roman" w:cs="Times New Roman"/>
          <w:noProof/>
          <w:sz w:val="24"/>
          <w:szCs w:val="24"/>
        </w:rPr>
      </w:pPr>
      <w:r>
        <w:rPr>
          <w:rFonts w:ascii="Times New Roman" w:hAnsi="Times New Roman"/>
          <w:noProof/>
          <w:sz w:val="24"/>
          <w:szCs w:val="24"/>
        </w:rPr>
        <w:t>Gennemførelsen af reformerne skal være afsluttet senest den 31. december 2022.</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Reform 2 (C26.R2) — lov om idrætsfolk</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Formålet med denne lovgivningsmæssige foranstaltning er at sikre, at reguleringen af nye sportserhverv ikke medfører hindringer for etablering og levering af tjenesteydelser på spansk område. Foranstaltningen skal imødegå udfordringer som følge af lovgivningsmæssig uensartethed på regionalt plan (herunder forskellige adgangskrav på tværs af regioner). Foranstaltningen skal sikre overholdelse af EU-retten, navnlig principperne om nødvendighed og proportionalitet.</w:t>
      </w:r>
    </w:p>
    <w:p>
      <w:pPr>
        <w:spacing w:line="240" w:lineRule="auto"/>
        <w:rPr>
          <w:rFonts w:ascii="Times New Roman" w:hAnsi="Times New Roman" w:cs="Times New Roman"/>
          <w:noProof/>
          <w:sz w:val="24"/>
          <w:szCs w:val="24"/>
        </w:rPr>
      </w:pPr>
      <w:r>
        <w:rPr>
          <w:rFonts w:ascii="Times New Roman" w:hAnsi="Times New Roman"/>
          <w:noProof/>
          <w:sz w:val="24"/>
          <w:szCs w:val="24"/>
        </w:rPr>
        <w:t>Reformen skal være gennemført senest den 31. december i 2023.</w:t>
      </w:r>
    </w:p>
    <w:p>
      <w:pPr>
        <w:keepNext/>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Reform 3 (C26.R3) — National strategi for fremme af sport</w:t>
      </w:r>
    </w:p>
    <w:p>
      <w:pPr>
        <w:keepNext/>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denne strategi er at fremme udøvelsen af sport for at undgå de negative konsekvenser, som en stillesiddende livsstil og fysisk inaktivitet kan have for sundhed og trivsel. Foranstaltningen skal bl.a. omfatte: a) foranstaltninger til indførelse af god praksis og sunde vaner b) et analytisk redskab til at måle og forbedre strategiens virkning. </w:t>
      </w:r>
    </w:p>
    <w:p>
      <w:pPr>
        <w:spacing w:line="240" w:lineRule="auto"/>
        <w:rPr>
          <w:rFonts w:ascii="Times New Roman" w:hAnsi="Times New Roman" w:cs="Times New Roman"/>
          <w:noProof/>
          <w:sz w:val="24"/>
          <w:szCs w:val="24"/>
        </w:rPr>
      </w:pPr>
      <w:r>
        <w:rPr>
          <w:rFonts w:ascii="Times New Roman" w:hAnsi="Times New Roman"/>
          <w:noProof/>
          <w:sz w:val="24"/>
          <w:szCs w:val="24"/>
        </w:rPr>
        <w:t xml:space="preserve">Gennemførelsen af reformerne skal være afsluttet senest den 31. december 2023. </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 xml:space="preserve">Investering 1 (C26.I1) — Digital plan for sport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Formålet med denne foranstaltning er at digitalisere idrætsforbundene, herunder deres budgetforvaltning og procedurerne for tildeling af sportslicenser. Det skal også forbedre analysen af data fra sportspraksis, herunder med henblik på at fremme en sund livsstil og til forskningsformål. Endelig skal det fremme digitaliseringen af offentlige sportslægecentre og kampen mod doping.</w:t>
      </w:r>
    </w:p>
    <w:p>
      <w:pPr>
        <w:spacing w:line="240" w:lineRule="auto"/>
        <w:rPr>
          <w:rFonts w:ascii="Times New Roman" w:hAnsi="Times New Roman" w:cs="Times New Roman"/>
          <w:noProof/>
          <w:sz w:val="24"/>
          <w:szCs w:val="24"/>
        </w:rPr>
      </w:pPr>
      <w:r>
        <w:rPr>
          <w:rFonts w:ascii="Times New Roman" w:hAnsi="Times New Roman"/>
          <w:noProof/>
          <w:sz w:val="24"/>
          <w:szCs w:val="24"/>
        </w:rPr>
        <w:t xml:space="preserve">Reformen skal være gennemført senest den 31. december 2023. </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 xml:space="preserve"> Investering 2 (C26.I2) — Plan for økologisk omstilling af sportsfaciliteter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denne foranstaltning er at opgradere eksisterende sportsfaciliteter, herunder sportsfaciliteter, der kan tiltrække turisme og højtydende sportscentre. Dette skal opnås gennem digitalisering med henblik på optimal anvendelse og en forbedring af deres energieffektivitet, som forventes at opnå besparelser på mindst 30 % af efterspørgslen efter primærenergi. Foranstaltningen skal også fremme sport i landdistrikterne gennem oprettelse af et netværk af observatører, der skal tilskynde til fysisk aktivitet.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Udvælgelseskriterierne for investeringer, der foretages i henhold til denne komponent, skal sikre overholdelse af en klimamærkning på mindst 106 000 000 EUR på mindst 100 %. De anvendte indikatorer for forbedring af energimæssig ydeevne skal være akkrediteret ved hjælp af den relevante energiattest inden for rammerne af Europa-Parlamentets og Rådets direktiv 2010/31/EU af 19. maj 2010 om bygningers energimæssige ydeevne</w:t>
      </w:r>
      <w:r>
        <w:rPr>
          <w:rStyle w:val="FootnoteReference"/>
          <w:rFonts w:ascii="Times New Roman" w:hAnsi="Times New Roman" w:cs="Times New Roman"/>
          <w:noProof/>
          <w:sz w:val="24"/>
          <w:szCs w:val="24"/>
          <w:lang w:val="en-IE"/>
        </w:rPr>
        <w:footnoteReference w:id="103"/>
      </w:r>
      <w:r>
        <w:rPr>
          <w:rFonts w:ascii="Times New Roman" w:hAnsi="Times New Roman"/>
          <w:noProof/>
          <w:sz w:val="24"/>
          <w:szCs w:val="24"/>
        </w:rPr>
        <w:t>.</w:t>
      </w:r>
    </w:p>
    <w:p>
      <w:pPr>
        <w:spacing w:line="240" w:lineRule="auto"/>
        <w:rPr>
          <w:rFonts w:ascii="Times New Roman" w:hAnsi="Times New Roman" w:cs="Times New Roman"/>
          <w:noProof/>
          <w:sz w:val="24"/>
          <w:szCs w:val="24"/>
        </w:rPr>
      </w:pPr>
      <w:r>
        <w:rPr>
          <w:rFonts w:ascii="Times New Roman" w:hAnsi="Times New Roman"/>
          <w:noProof/>
          <w:sz w:val="24"/>
          <w:szCs w:val="24"/>
        </w:rPr>
        <w:t xml:space="preserve">Gennemførelsen af investeringen skal være afsluttet senest den 31. december 2025. </w:t>
      </w:r>
    </w:p>
    <w:p>
      <w:pPr>
        <w:spacing w:line="240" w:lineRule="auto"/>
        <w:rPr>
          <w:rFonts w:ascii="Times New Roman" w:hAnsi="Times New Roman" w:cs="Times New Roman"/>
          <w:noProof/>
          <w:sz w:val="24"/>
          <w:szCs w:val="24"/>
          <w:u w:val="single"/>
        </w:rPr>
      </w:pPr>
      <w:r>
        <w:rPr>
          <w:rFonts w:ascii="Times New Roman" w:hAnsi="Times New Roman"/>
          <w:noProof/>
          <w:sz w:val="24"/>
          <w:szCs w:val="24"/>
          <w:u w:val="single"/>
        </w:rPr>
        <w:t>Investering 3 (C26.I3) — Socialplan for sport</w:t>
      </w:r>
    </w:p>
    <w:p>
      <w:pPr>
        <w:spacing w:line="240" w:lineRule="auto"/>
        <w:jc w:val="both"/>
        <w:rPr>
          <w:rFonts w:ascii="Times New Roman" w:hAnsi="Times New Roman" w:cs="Times New Roman"/>
          <w:noProof/>
          <w:sz w:val="24"/>
          <w:szCs w:val="24"/>
          <w:u w:val="single"/>
        </w:rPr>
      </w:pPr>
      <w:r>
        <w:rPr>
          <w:rFonts w:ascii="Times New Roman" w:hAnsi="Times New Roman"/>
          <w:noProof/>
          <w:sz w:val="24"/>
          <w:szCs w:val="24"/>
        </w:rPr>
        <w:t>Formålet med denne foranstaltning er dobbelt. På den ene side sigter det mod at opgradere eksisterende sportsfaciliteter gennem en forbedring af deres digitalisering, energieffektivitet og tilgængelighed med henblik på at give Spanien mulighed for at byde på internationale idrætskonkurrencer. På den anden side har den til formål at fremme kvinders deltagelse i professionel sport gennem tiltag, der skal øge deres tilstedeværelse og synlighed, oplæring og gøre det muligt at professionalisere kvindelig sport, navnlig fodbold.</w:t>
      </w:r>
      <w:r>
        <w:rPr>
          <w:rFonts w:ascii="Times New Roman" w:hAnsi="Times New Roman"/>
          <w:noProof/>
          <w:sz w:val="24"/>
          <w:szCs w:val="24"/>
          <w:u w:val="single"/>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Udvælgelseskriterierne for investeringer, der foretages under denne komponent, skal sikre overholdelse af 100 %klimasporing for mindst 27 500 000 mio. EUR ud af den samlede investering. De anvendte indikatorer for forbedring af energimæssig ydeevne skal være akkrediteret ved hjælp af den relevante energiattest inden for rammerne af Europa-Parlamentets og Rådets direktiv 2010/31/EU af 19. maj 2010 om bygningers energimæssige ydeevne.</w:t>
      </w:r>
    </w:p>
    <w:p>
      <w:pPr>
        <w:spacing w:line="240" w:lineRule="auto"/>
        <w:rPr>
          <w:rFonts w:ascii="Times New Roman" w:hAnsi="Times New Roman" w:cs="Times New Roman"/>
          <w:noProof/>
          <w:sz w:val="24"/>
          <w:szCs w:val="24"/>
        </w:rPr>
      </w:pPr>
      <w:r>
        <w:rPr>
          <w:rFonts w:ascii="Times New Roman" w:hAnsi="Times New Roman"/>
          <w:noProof/>
          <w:sz w:val="24"/>
          <w:szCs w:val="24"/>
        </w:rPr>
        <w:t xml:space="preserve">Gennemførelsen af investeringen skal være afsluttet senest den 31. december 2023. </w:t>
      </w:r>
    </w:p>
    <w:p>
      <w:pPr>
        <w:pStyle w:val="Text1"/>
        <w:ind w:left="709"/>
        <w:rPr>
          <w:b/>
          <w:bCs/>
          <w:noProof/>
          <w:u w:val="single"/>
        </w:rPr>
      </w:pPr>
      <w:r>
        <w:rPr>
          <w:b/>
          <w:bCs/>
          <w:noProof/>
          <w:u w:val="single"/>
        </w:rPr>
        <w:t xml:space="preserve">Z.2 </w:t>
      </w:r>
      <w:r>
        <w:rPr>
          <w:b/>
          <w:noProof/>
          <w:u w:val="single"/>
        </w:rPr>
        <w:tab/>
      </w:r>
      <w:r>
        <w:rPr>
          <w:b/>
          <w:bCs/>
          <w:noProof/>
          <w:u w:val="single"/>
        </w:rPr>
        <w:t>Milepæle, mål, indikatorer og tidsplan for overvågning og gennemførelse af den ikketilbagebetalingspligtige støtte</w:t>
      </w:r>
    </w:p>
    <w:p>
      <w:pPr>
        <w:pStyle w:val="Text1"/>
        <w:ind w:left="709"/>
        <w:rPr>
          <w:b/>
          <w:bCs/>
          <w:noProof/>
          <w:u w:val="single"/>
        </w:rPr>
      </w:pPr>
      <w:r>
        <w:rPr>
          <w:i/>
          <w:iCs/>
          <w:noProof/>
          <w:color w:val="000000"/>
          <w:szCs w:val="24"/>
        </w:rPr>
        <w:t>Se tabellen nedenfor. Startdatoen for alle indikatorer er den 1. februar 2020 , medmindre andet er angivet i beskrivelsen af foranstaltningen. Beløbene i tabellen omfatter moms.</w:t>
      </w:r>
    </w:p>
    <w:p>
      <w:pPr>
        <w:pStyle w:val="Text1"/>
        <w:ind w:left="0"/>
        <w:rPr>
          <w:noProof/>
        </w:rPr>
        <w:sectPr>
          <w:headerReference w:type="even" r:id="rId319"/>
          <w:headerReference w:type="default" r:id="rId320"/>
          <w:footerReference w:type="even" r:id="rId321"/>
          <w:footerReference w:type="default" r:id="rId322"/>
          <w:headerReference w:type="first" r:id="rId323"/>
          <w:footerReference w:type="first" r:id="rId324"/>
          <w:pgSz w:w="11907" w:h="16839"/>
          <w:pgMar w:top="1134" w:right="1417" w:bottom="1134" w:left="1417" w:header="709" w:footer="709" w:gutter="0"/>
          <w:cols w:space="720"/>
          <w:docGrid w:linePitch="360"/>
        </w:sectPr>
      </w:pPr>
    </w:p>
    <w:p>
      <w:pPr>
        <w:pStyle w:val="Text1"/>
        <w:ind w:left="0"/>
        <w:rPr>
          <w:noProof/>
          <w:sz w:val="20"/>
          <w:szCs w:val="20"/>
        </w:rPr>
      </w:pPr>
    </w:p>
    <w:tbl>
      <w:tblPr>
        <w:tblpPr w:leftFromText="180" w:rightFromText="180" w:vertAnchor="text" w:tblpXSpec="right" w:tblpY="1"/>
        <w:tblOverlap w:val="neve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3"/>
        <w:gridCol w:w="845"/>
        <w:gridCol w:w="844"/>
        <w:gridCol w:w="2533"/>
        <w:gridCol w:w="1407"/>
        <w:gridCol w:w="986"/>
        <w:gridCol w:w="1266"/>
        <w:gridCol w:w="845"/>
        <w:gridCol w:w="422"/>
        <w:gridCol w:w="563"/>
        <w:gridCol w:w="4754"/>
        <w:gridCol w:w="29"/>
      </w:tblGrid>
      <w:tr>
        <w:trPr>
          <w:gridAfter w:val="1"/>
          <w:wAfter w:w="29" w:type="dxa"/>
          <w:trHeight w:val="309"/>
          <w:tblHeader/>
        </w:trPr>
        <w:tc>
          <w:tcPr>
            <w:tcW w:w="703"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45"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44"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533"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lang w:val="en-IE"/>
              </w:rPr>
            </w:pPr>
          </w:p>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407"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3097" w:type="dxa"/>
            <w:gridSpan w:val="3"/>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85" w:type="dxa"/>
            <w:gridSpan w:val="2"/>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4754"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Beskrivelse af hver milepæl og hvert mål</w:t>
            </w:r>
          </w:p>
        </w:tc>
      </w:tr>
      <w:tr>
        <w:trPr>
          <w:gridAfter w:val="1"/>
          <w:wAfter w:w="29" w:type="dxa"/>
          <w:trHeight w:val="309"/>
          <w:tblHeader/>
        </w:trPr>
        <w:tc>
          <w:tcPr>
            <w:tcW w:w="703"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45"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44"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533"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1407"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986"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1266"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Referencescenarie</w:t>
            </w:r>
          </w:p>
        </w:tc>
        <w:tc>
          <w:tcPr>
            <w:tcW w:w="845"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2"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3"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4754"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367</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C26.R1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loven om sport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der angiver dens ikrafttræden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Loven skal fremme sundhed og sikkerhed i udøvelsen af sport på alle niveauer, ligestilling mellem kønnene, social inklusion og tilgængelighed, fremme af modellens internationale dimension og modernisering af organisationer og infrastrukturer gennem respekt for miljøet og digitalisering. </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368</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C26.R2</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loven om regulering af visse sportserhverv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Bestemmelse i loven, der angiver dens ikrafttræden</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Vedtagelse af loven om regulering af visse sportserhverv for at imødegå udfordringer som følge af lovgivningsmæssig heterogenitet og under behørig hensyntagen til principperne om nødvendighed og proportionalitet.</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369</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C26.R3</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National strategi til fremme af sport mod stillesiddende livsstil og fysisk inaktivitet</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websiden</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Den spanske regerings godkendelse af gennemførelsen af den nationale strategi til fremme af sport mod stillesiddende livsstil og fysisk inaktivitet. Strategien har til formål: a) gennemførelse af et permanent analyseværktøj til analyse, måling og forbedring af strategiens virkning b) gennemførelse af foranstaltninger, der har til formål at etablere god praksis og sunde vaner efter analysen. Strategien er bindende for regionale og lokale myndigheder.</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370</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Digitalisering af sportssektoren</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i EFT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right"/>
              <w:rPr>
                <w:rFonts w:ascii="Times New Roman" w:eastAsia="Times New Roman" w:hAnsi="Times New Roman" w:cs="Times New Roman"/>
                <w:noProof/>
                <w:sz w:val="18"/>
                <w:szCs w:val="18"/>
                <w:lang w:val="en-IE" w:eastAsia="en-GB"/>
              </w:rPr>
            </w:pP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Budgetgennemførelsen på mindst 75,6 mio. EUR, hvilket bør resultere i en betydelig forbedring af digitaliseringen af sektoren, navnlig: a) digitalisering af sportsforbund (herunder budget- og licensforvaltning) med et nyt IT-system b) IT-datawaresystem til dataanalyser c) tingenes internet (IoT) i højtydende centre d) systemer til bestemmelse af konkurrenternes mønstre eller optimering af uddannelsen af hver idrætsudøver e) offentliggørelse af 10 forskningsprojekter inden for sundhedsfremmende fysisk aktivitet (HEPA) f) IT-systemtest i Sports Medicine National Centre g) oprettelse af et elektronisk kontor i antidopingadministrationen, herunder indførelse af et "papirløst" system til AD-kontrol og h) undersøgelse af digitaliseringsbehov (såsom applikationer, sportsforbund, sportsmedicin, sundhedsfremmende fysisk aktivitet og antidoping) til digitalisering af sportssektoren.</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371</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Sportsmedicinske centre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Mindst 20 af de 23 af Sports Medicine Centers skal anvende den nye IT-teknologi. </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372</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Afslutning af IT-projekter i højtydende centre og i antidopingadministrationen</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Indsamling af data fra højtydende centre Påbegyndelse af test af AD-kontrolapp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45"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Færdiggørelse af udviklingen af it-systemer (herunder tingenes internet) i højtydende centre. Oprettelse af et elektronisk kontor i antidopingadministrationen, herunder indførelse af et "papirløst" system til AD-kontrol </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373</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C26.I2</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Renovering og forbedring af tekniske centre for sports- og sportsfaciliteter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95</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2025</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Mindst 40 tekniske centre og 45 sportsfaciliteter skal være blevet renoveret og vil have opnået forbedret energieffektivitet og/eller optimering af anvendelsen gennem digitalisering og/eller forbedret tilgængelighed. Ved kontrol af færdiggørelsen af arbejdet forstås attester for færdiggørelse af bygge- og anlægsarbejder. Interventioner vedrørende energieffektivitet skal sikre en gennemsnitlig reduktion af primærenergiefterspørgslen på mindst 30 %. Listen over faciliteter offentliggøres.</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374</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C26.I3</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Projekter til fremme af ligestilling inden for sport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i EFT</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1266" w:type="dxa"/>
            <w:shd w:val="clear" w:color="auto" w:fill="C6EFCE"/>
            <w:noWrap/>
          </w:tcPr>
          <w:p>
            <w:pPr>
              <w:tabs>
                <w:tab w:val="center" w:pos="605"/>
                <w:tab w:val="right" w:pos="1210"/>
              </w:tabs>
              <w:spacing w:after="0"/>
              <w:rPr>
                <w:rFonts w:ascii="Times New Roman" w:eastAsia="Times New Roman" w:hAnsi="Times New Roman" w:cs="Times New Roman"/>
                <w:noProof/>
                <w:sz w:val="18"/>
                <w:szCs w:val="18"/>
                <w:lang w:val="en-IE" w:eastAsia="en-GB"/>
              </w:rPr>
            </w:pP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CSD "s (det nationale sportsråd) tildeling af en indkaldelse af forslag i Den Europæiske Unions Tidende, som forventes at udvælge mindst 15 støttemodtagende projekter til fremme af ligestilling inden for sport, navnlig gennem uddannelse, professionalisering af kvindelig sport og synliggørelse af kvindelig sport. Det samlede budget for indkaldelsen er på 11 700 000 EUR.</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375</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C26.I3</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Afslutning af foranstaltninger under den sociale idrætsplan</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126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Afslutning af aktioner under den sociale plan for sport, herunder renovering af [40] sportsfaciliteter og foranstaltninger til fremme af kvinders deltagelse i professionel sport (uddannelsesprogrammer, markedsføringskampagner og undersøgelser). Interventioner vedrørende energieffektivitet skal sikre en gennemsnitlig reduktion af efterspørgslen efter primærenergi på mindst 30 %. Listen over faciliteter offentliggøres.</w:t>
            </w:r>
          </w:p>
        </w:tc>
      </w:tr>
    </w:tbl>
    <w:p>
      <w:pPr>
        <w:pStyle w:val="SectionTitle"/>
        <w:rPr>
          <w:noProof/>
          <w:lang w:val="en-IE"/>
        </w:rPr>
        <w:sectPr>
          <w:headerReference w:type="even" r:id="rId325"/>
          <w:headerReference w:type="default" r:id="rId326"/>
          <w:footerReference w:type="even" r:id="rId327"/>
          <w:footerReference w:type="default" r:id="rId328"/>
          <w:headerReference w:type="first" r:id="rId329"/>
          <w:footerReference w:type="first" r:id="rId330"/>
          <w:pgSz w:w="16839" w:h="11907" w:orient="landscape"/>
          <w:pgMar w:top="1417" w:right="1134" w:bottom="1417" w:left="1134" w:header="709" w:footer="709" w:gutter="0"/>
          <w:cols w:space="720"/>
          <w:docGrid w:linePitch="360"/>
        </w:sectPr>
      </w:pPr>
    </w:p>
    <w:p>
      <w:pPr>
        <w:pStyle w:val="Heading1"/>
        <w:rPr>
          <w:noProof/>
        </w:rPr>
      </w:pPr>
      <w:r>
        <w:rPr>
          <w:noProof/>
        </w:rPr>
        <w:t>AA. KOMPONENT 27: Foranstaltninger og tiltag til forebyggelse og bekæmpelse af skattesvig</w:t>
      </w:r>
    </w:p>
    <w:p>
      <w:pPr>
        <w:pStyle w:val="Text1"/>
        <w:ind w:left="0"/>
        <w:rPr>
          <w:noProof/>
          <w:szCs w:val="24"/>
        </w:rPr>
      </w:pPr>
      <w:r>
        <w:rPr>
          <w:noProof/>
        </w:rPr>
        <w:t xml:space="preserve">Denne komponent i den spanske genopretnings- og resiliensplan tager fat på udfordringerne i forbindelse med forebyggelse og bekæmpelse af skattesvig og skatteunddragelse. Formålet med komponenten er at øge overholdelsen af skattereglerne og opkræve flere skatteindtægter. Komponenten vedrører bl.a. de landespecifikke henstillinger om styrkelse af de finanspolitiske rammer og rammerne for offentlige indkøb på alle forvaltningsniveauer (landespecifik henstilling nr. 1 fra 2019) og — når de økonomiske forhold tillader det — om gennemførelse af finanspolitikker, der tager sigte på at opnå en forsigtig budgetstilling på mellemlang sigt og sikre gældsbæredygtighed, samtidig med at der tilskyndes til investeringer (landespecifik henstilling nr. 1 fra 2020). </w:t>
      </w:r>
    </w:p>
    <w:p>
      <w:pPr>
        <w:pStyle w:val="Text1"/>
        <w:ind w:left="0"/>
        <w:rPr>
          <w:noProof/>
        </w:rPr>
      </w:pPr>
      <w:r>
        <w:rPr>
          <w:noProof/>
          <w:color w:val="000000" w:themeColor="text1"/>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pStyle w:val="Text1"/>
        <w:ind w:left="709"/>
        <w:rPr>
          <w:b/>
          <w:i/>
          <w:noProof/>
          <w:color w:val="4F81BD" w:themeColor="accent1"/>
          <w:szCs w:val="24"/>
        </w:rPr>
      </w:pPr>
      <w:r>
        <w:rPr>
          <w:b/>
          <w:noProof/>
          <w:szCs w:val="24"/>
          <w:u w:val="single"/>
        </w:rPr>
        <w:t xml:space="preserve">AA.1 </w:t>
      </w:r>
      <w:r>
        <w:rPr>
          <w:b/>
          <w:noProof/>
          <w:szCs w:val="24"/>
          <w:u w:val="single"/>
        </w:rPr>
        <w:tab/>
      </w:r>
      <w:r>
        <w:rPr>
          <w:b/>
          <w:bCs/>
          <w:noProof/>
          <w:szCs w:val="24"/>
          <w:u w:val="single"/>
        </w:rPr>
        <w:t>Beskrivelse af reformer og investeringer, som finansieres med ikketilbagebetalingspligtig støtte</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1 (C27.R1) — Vedtagelse af loven om bekæmpelse af svig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reform er at styrke reglerne mod metoder til skatteundgåelse, der direkte påvirker det indre markeds funktion, samt at ændre indirekte og direkte beskatning, visse lokale skatter og regulering af spil. Reformen indfører ændringer i forordningen, der har til formål at fastlægge parametre for skatteretfærdighed og lette foranstaltninger, der har til formål at forebygge og bekæmpe svig ved at styrke skattekontrollen.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Reformen består i vedtagelse og ikrafttræden af en lov om bekæmpelse af skatteunddragelse og skattesvig, som:</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Udvider anvendelsesområdet for transaktioner, hvor e-betalinger er godkendt (underskrift &amp; erhvervsudøvere) og fastsætter en retlig tærskel for kontantbetalinger;</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Ajourfører listen over skattely i henhold til kriterierne om gennemsigtighed, ingen beskatning og skadelige skatteordninger</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Gennemfører ændringer af reglerne for at gøre personer med skatterestancer</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Gennemfører et forbud mod "software med dobbelt anvendelse"</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Indfører en referenceværdi for beskatningsgrundlaget inden for ejendomsbeskatning.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Loven vedtages senest den 30. juni 2021. Loven træder i kraft den 30. juni 2022. Reformen forudser en foreløbig vurdering af loven senest den 31. december 2022, og på grundlag af denne vurdering kan der ske ændringer i 2023.</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Reform 2 (C27.R2) — Modernisering af skattevæsenet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Skattevæsenet har til opgave at gennemføre det statslige skattesystem og toldsystemet og udfører sine aktiviteter inden for rammerne af strategiplanen for 2020-2023. Denne strategiske plan, som i høj grad bygger på brugen af IT-løsninger, revideres hvert år for at sikre, at den tilpasses til nye skattepolitiske udviklinger, informationskilder, skatteydernes adfærd og den teknologiske udvikling. Formålet med denne reform er at støtte gennemførelsen og den årlige revision af strategiplanen for 2020-2023, som har til formål at modernisere agenturets levering af tjenesteydelser for at mindske skattesvig og skatteunddragelse. Reform 2 hænger tæt sammen med andre reformer i denne komponent. Reformen skal omfatte: </w:t>
      </w:r>
    </w:p>
    <w:p>
      <w:pPr>
        <w:pStyle w:val="ListParagraph"/>
        <w:numPr>
          <w:ilvl w:val="0"/>
          <w:numId w:val="11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Forøgelse af de menneskelige ressourcer i Skattestyrelsen i overensstemmelse med dets behov på mellemlang sigt og </w:t>
      </w:r>
    </w:p>
    <w:p>
      <w:pPr>
        <w:pStyle w:val="ListParagraph"/>
        <w:numPr>
          <w:ilvl w:val="0"/>
          <w:numId w:val="11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At foretage en gennemgang af agenturets bygninger for at modernisere teknologien og øge energieffektiviteten.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Reformen gennemføres senest den 31. december 2023.</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Reform 3 (C27.R3) — Øget bistand til skatteyderne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denne reform er at forbedre bistanden til skatteyderne. Et centralt element i Skattestyrelsens strategi for 2020-2023 er at forbedre servicen til skatteyderne med øget brug af elektroniske platforme (de såkaldte ADI'er, Integral Digital Administration). Reformen består i at levere nye tjenesteydelser til at lette selskabs- og personindkomstbeskatning samt momsbeskatning. Nye tjenester skal omfatte forbedrede kommunikationsmetoder, helpdesktjenester og konsultation af brugerdata samt selvangivelser og håndtering af angivelser. Udbuddet af sådanne tjenester skal efter planen øges i tre bølger i perioden 2021-2023 med det mål, at flere og flere kunder i stigende grad vælger at benytte elektroniske tjenester i stedet for at besøge deres lokale skattekontorer. Med disse foranstaltninger sigter agenturet mod at gøre det lettere for deres kunder at overholde skatteloven og dermed øge skatteindtægterne.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Reformen skal være gennemført senest den 31. december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4 (C27.R4) — International dimension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denne reform er at øge og optimere brugen af IT-systemer i det internationale samarbejde til bekæmpelse af skattesvig og skatteunddragelse. Denne reform, der følger internationale aftaler på det politiske område, består i at træffe foranstaltninger til at gøre det lettere for skatteyderne at overholde deres skattemæssige forpligtelser (herunder oplysninger om personlig indkomstskat), at intensivere bekæmpelsen af sort arbejde og den sorte økonomi og at gennemgå kvaliteten og nytten af de oplysninger, der indhentes fra de forskellige lande. Disse mål forventes at blive nået gennem øget brug af mere avancerede IT-systemer og udbredelse af onlinetjenester til skatteyderne.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Reformen gennemføres senest den 31. december 2021.</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5 (C27.R5) — Kooperative modeller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denne reform er at forbedre skattemyndighedens forbindelser med interessenter såsom store selskaber, SMV'er, selvstændige og relevante sammenslutninger samt retssystemet som et middel til at opnå en højere grad af overholdelse af skatteforpligtelserne. Med hensyn til skatteydere sigter agenturet mod bedre samarbejde og bedre overholdelse via frivillige rapporter om gennemsigtighed på skatteområdet. Samarbejdet med dommere, anklagere og domstole forventes at blive øget ved at øge skatteundersøgelserne.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Reformen gennemføres senest den 31. december 2021.</w:t>
      </w:r>
    </w:p>
    <w:p>
      <w:pPr>
        <w:pStyle w:val="Text1"/>
        <w:ind w:left="709"/>
        <w:rPr>
          <w:b/>
          <w:noProof/>
          <w:szCs w:val="24"/>
          <w:u w:val="single"/>
        </w:rPr>
      </w:pPr>
      <w:r>
        <w:rPr>
          <w:b/>
          <w:bCs/>
          <w:noProof/>
          <w:szCs w:val="24"/>
          <w:u w:val="single"/>
        </w:rPr>
        <w:t xml:space="preserve">AA.2 </w:t>
      </w:r>
      <w:r>
        <w:rPr>
          <w:b/>
          <w:noProof/>
          <w:szCs w:val="24"/>
          <w:u w:val="single"/>
        </w:rPr>
        <w:tab/>
      </w:r>
      <w:r>
        <w:rPr>
          <w:b/>
          <w:bCs/>
          <w:noProof/>
          <w:szCs w:val="24"/>
          <w:u w:val="single"/>
        </w:rPr>
        <w:t>Milepæle, mål, indikatorer og tidsplan for overvågning og gennemførelse af den ikketilbagebetalingspligtige støtte</w:t>
      </w:r>
    </w:p>
    <w:p>
      <w:pPr>
        <w:spacing w:before="120" w:after="120" w:line="240" w:lineRule="auto"/>
        <w:rPr>
          <w:rFonts w:ascii="Times New Roman" w:hAnsi="Times New Roman" w:cs="Times New Roman"/>
          <w:i/>
          <w:iCs/>
          <w:noProof/>
          <w:color w:val="000000"/>
        </w:rPr>
        <w:sectPr>
          <w:headerReference w:type="even" r:id="rId331"/>
          <w:headerReference w:type="default" r:id="rId332"/>
          <w:footerReference w:type="even" r:id="rId333"/>
          <w:footerReference w:type="default" r:id="rId334"/>
          <w:headerReference w:type="first" r:id="rId335"/>
          <w:footerReference w:type="first" r:id="rId336"/>
          <w:pgSz w:w="11907" w:h="16839"/>
          <w:pgMar w:top="1134" w:right="1417" w:bottom="1134" w:left="1417" w:header="709" w:footer="709" w:gutter="0"/>
          <w:cols w:space="720"/>
          <w:docGrid w:linePitch="360"/>
        </w:sectPr>
      </w:pPr>
      <w:r>
        <w:rPr>
          <w:rFonts w:ascii="Times New Roman" w:hAnsi="Times New Roman"/>
          <w:i/>
          <w:iCs/>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iCs/>
          <w:noProof/>
          <w:sz w:val="24"/>
          <w:szCs w:val="24"/>
        </w:rPr>
        <w:t>Startdatoen for alle indikatorer er den 1. februar 2020, medmindre andet er angivet i beskrivelsen af foranstaltningen.</w:t>
      </w:r>
      <w:r>
        <w:rPr>
          <w:rFonts w:ascii="Times New Roman" w:hAnsi="Times New Roman"/>
          <w:i/>
          <w:iCs/>
          <w:noProof/>
          <w:color w:val="000000"/>
          <w:sz w:val="24"/>
          <w:szCs w:val="24"/>
        </w:rPr>
        <w:t xml:space="preserve"> Beløbene i tabellen omfatter ikke moms.</w:t>
      </w:r>
    </w:p>
    <w:tbl>
      <w:tblPr>
        <w:tblpPr w:leftFromText="180" w:rightFromText="180" w:vertAnchor="text" w:tblpXSpec="right" w:tblpY="1"/>
        <w:tblOverlap w:val="neve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977"/>
        <w:gridCol w:w="1134"/>
        <w:gridCol w:w="851"/>
        <w:gridCol w:w="708"/>
        <w:gridCol w:w="709"/>
        <w:gridCol w:w="425"/>
        <w:gridCol w:w="709"/>
        <w:gridCol w:w="5131"/>
      </w:tblGrid>
      <w:tr>
        <w:trPr>
          <w:trHeight w:val="309"/>
          <w:tblHeader/>
        </w:trPr>
        <w:tc>
          <w:tcPr>
            <w:tcW w:w="70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977"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1134"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2268" w:type="dxa"/>
            <w:gridSpan w:val="3"/>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1134" w:type="dxa"/>
            <w:gridSpan w:val="2"/>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5131"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977"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708"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70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5"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70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5131"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376</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C27.R1</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Ikrafttrædelse af loven om bekæmpelse af skatteunddragelse og skattesvig</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Bestemmelse i den lov, der angiver dens ikrafttræden </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Ikrafttrædelsen af en lov om bekæmpelse af skatteunddragelse og skattesvig ("</w:t>
            </w:r>
            <w:r>
              <w:rPr>
                <w:rFonts w:ascii="Times New Roman" w:hAnsi="Times New Roman"/>
                <w:i/>
                <w:noProof/>
                <w:color w:val="000000"/>
                <w:sz w:val="18"/>
                <w:szCs w:val="18"/>
              </w:rPr>
              <w:t>Ley de medidas de prevención y lucha contra el fraude fiscal</w:t>
            </w:r>
            <w:r>
              <w:rPr>
                <w:rFonts w:ascii="Times New Roman" w:hAnsi="Times New Roman"/>
                <w:noProof/>
                <w:color w:val="000000"/>
                <w:sz w:val="18"/>
                <w:szCs w:val="18"/>
              </w:rPr>
              <w:t xml:space="preserve">"), som: — Udvider anvendelsesområdet for transaktioner, hvor e-betalinger er obligatoriske (virksomheder &amp; erhvervsdrivende) og fastsætter retlige tærskler for kontantbetalinger — Opdater listen over skattely i henhold til kriterierne om gennemsigtighed, ingen beskatning og skadelige skatteordninger. Gennemfører ændringer af reglerne for at gøre personer med skatterestancer Gennemfører et forbud mod "software med dobbelt anvendelse" Indfører en referenceværdi for beskatningsgrundlaget inden for ejendomsbeskatning. </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377</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C27.R1</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Foreløbig vurdering af virkningerne af loven om skatteunddragelse og skattesvig.</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Offentliggørelse af rapporten på finansministeriets websted.</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2022</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Finansministeriet foretager en foreløbig vurdering af loven om bekæmpelse af skatteunddragelse og skattesvig. Denne vurdering med eventuelle anbefalinger til forbedringer vil blive offentliggjort på finansministeriets websted.</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378</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C27.R2</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Modernisering af skattevæsenet — Antal ansatte i skatteforvaltningen</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Nummer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25 325 </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26 320</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 xml:space="preserve">Øge antallet af ansatte i skatteforvaltningen til mindst 26 320 ansatte. Dato for basislinjen: 31-12-2020.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379</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Modernisering af skattevæsenet — Skatteundersøgelser</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5 743</w:t>
            </w:r>
          </w:p>
        </w:tc>
        <w:tc>
          <w:tcPr>
            <w:tcW w:w="709"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6 591</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Myndighederne gennemfører 6 591 skatteundersøgelser (antal skatteundersøgelser foretaget i 2021) for at opdage uanmeldte afgiftspligtige aktiviteter. Dato for basislinjen: 31-12-2020.</w:t>
            </w:r>
          </w:p>
        </w:tc>
      </w:tr>
      <w:tr>
        <w:trPr>
          <w:trHeight w:val="433"/>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380</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Levering af øget bistand til skatteydere — Sociedades Web opgraderet og tilgængelig for mindst 1 666 123 skatteydere.</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Nummer</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1 666 123</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i/>
                <w:noProof/>
                <w:color w:val="000000"/>
                <w:sz w:val="18"/>
                <w:szCs w:val="18"/>
              </w:rPr>
              <w:t>Sociedades Web</w:t>
            </w:r>
            <w:r>
              <w:rPr>
                <w:rFonts w:ascii="Times New Roman" w:hAnsi="Times New Roman"/>
                <w:noProof/>
                <w:color w:val="000000"/>
                <w:sz w:val="18"/>
                <w:szCs w:val="18"/>
              </w:rPr>
              <w:t>, en tjeneste rettet mod selskabsskatteskattepligtige, skal opgraderes, og den skal automatisk forelægge skatteoplysninger, som virksomhederne tidligere har indberettet til den offentlige forvaltning, og som er relevante for selvangivelsen. Når denne opgradering er afsluttet, skal tjenesten stilles til rådighed for 1 666 123 selskabsskatteskattepligtige. Dato for basislinjen: 31-12-2020.</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381</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C27.R3</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Levering af øget bistand til skatteydere — Renta Web opgraderet og tilgængelig for mindst 1 779 505 skatteydere</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Nummer</w:t>
            </w:r>
          </w:p>
        </w:tc>
        <w:tc>
          <w:tcPr>
            <w:tcW w:w="708"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0</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1 779 505</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i/>
                <w:noProof/>
                <w:color w:val="000000"/>
                <w:sz w:val="18"/>
                <w:szCs w:val="18"/>
              </w:rPr>
              <w:t>Renta Web</w:t>
            </w:r>
            <w:r>
              <w:rPr>
                <w:rFonts w:ascii="Times New Roman" w:hAnsi="Times New Roman"/>
                <w:noProof/>
                <w:color w:val="000000"/>
                <w:sz w:val="18"/>
                <w:szCs w:val="18"/>
              </w:rPr>
              <w:t xml:space="preserve"> er en software, der er rettet mod personlig indkomstskat, og som vil gøre det muligt direkte at importere "</w:t>
            </w:r>
            <w:r>
              <w:rPr>
                <w:rFonts w:ascii="Times New Roman" w:hAnsi="Times New Roman"/>
                <w:i/>
                <w:noProof/>
                <w:color w:val="000000"/>
                <w:sz w:val="18"/>
                <w:szCs w:val="18"/>
              </w:rPr>
              <w:t>libros registro</w:t>
            </w:r>
            <w:r>
              <w:rPr>
                <w:rFonts w:ascii="Times New Roman" w:hAnsi="Times New Roman"/>
                <w:noProof/>
                <w:color w:val="000000"/>
                <w:sz w:val="18"/>
                <w:szCs w:val="18"/>
              </w:rPr>
              <w:t>" til de personlige selvangivelser. Den vil være tilgængelig for 1 779 505 personlige indkomstskatteydere. Dato for basislinjen: 31-12-2020.</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382</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Levering af fire digitale støtteplatforme</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Offentliggørelse af en rapport fra Skattestyrelsen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Skattemyndigheden skal etablere og gøre fire digitale skatteplatforme operationelle med henblik på at forbedre tjenesterne til skatteyderne. Betalingstjenesteudbyderne fungerer som virtuelle onlineskranker, der giver skatteyderne en bredere hjælpetjeneste, der sætter dem i stand til at komme i kontakt med skattemyndigheden på forskellige sprog med henblik på online at gennemføre de samme støtteprocedurer som dem, der findes i et traditionelt kontor, såsom generelle informationstjenester, bistand i forbindelse med de forskellige procedurer og bistand til indgivelse af selvangivelser.</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383</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C27.R4</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International dimension — Registrerede udenlandske skatteydere identificeret </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Antal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85</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For at forbedre overholdelsen af skattereglerne, navnlig for de skatteydere, der er opført i registret som udenlandske skatteydere, gennemfører skattemyndighederne et projekt, der skal anvende nye oplysninger om skatteydere fra forskellige internationale kilder såsom FATCA og CRS. Når projektet er afsluttet, er de internationale oplysninger, der er modtaget, egnede til risikoanalyse. Målet for projektet er, at i det mindste skatteoplysninger fra 85 % af de registrerede udenlandske skatteydere, som skattemyndighederne har modtaget oplysninger fra i 2019, er blevet identificeret, og dets skatteoplysninger er blevet kontrolleret med henblik på anvendelse i risikoanalysen senest den 31. december 2021. Dato for basislinjen: 31-12-2020.</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384</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C27.R5</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Samarbejdsmodel — Gennemsigtighedsrapporter</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Nummer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0</w:t>
            </w:r>
          </w:p>
        </w:tc>
        <w:tc>
          <w:tcPr>
            <w:tcW w:w="70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20</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Skattemyndigheden gennemfører et projekt i 2021, som skal tilskynde multinationale virksomheder til at offentliggøre oplysninger om deres aktiviteter. Disse oplysninger kan have konsekvenser for beskatningen af disse selskaber. Målet er 20 gennemsigtighedsrapporter, der forelægges i 2021.</w:t>
            </w:r>
          </w:p>
        </w:tc>
      </w:tr>
    </w:tbl>
    <w:p>
      <w:pPr>
        <w:pStyle w:val="Text1"/>
        <w:ind w:left="709"/>
        <w:rPr>
          <w:noProof/>
          <w:lang w:val="en-IE"/>
        </w:rPr>
      </w:pPr>
    </w:p>
    <w:p>
      <w:pPr>
        <w:pStyle w:val="SectionTitle"/>
        <w:rPr>
          <w:noProof/>
          <w:lang w:val="en-IE"/>
        </w:rPr>
        <w:sectPr>
          <w:headerReference w:type="even" r:id="rId337"/>
          <w:headerReference w:type="default" r:id="rId338"/>
          <w:footerReference w:type="even" r:id="rId339"/>
          <w:footerReference w:type="default" r:id="rId340"/>
          <w:headerReference w:type="first" r:id="rId341"/>
          <w:footerReference w:type="first" r:id="rId342"/>
          <w:pgSz w:w="16839" w:h="11907" w:orient="landscape"/>
          <w:pgMar w:top="1417" w:right="1134" w:bottom="1417" w:left="1134" w:header="709" w:footer="709" w:gutter="0"/>
          <w:cols w:space="720"/>
          <w:docGrid w:linePitch="360"/>
        </w:sectPr>
      </w:pPr>
    </w:p>
    <w:p>
      <w:pPr>
        <w:pStyle w:val="Heading1"/>
        <w:rPr>
          <w:noProof/>
        </w:rPr>
      </w:pPr>
      <w:r>
        <w:rPr>
          <w:noProof/>
        </w:rPr>
        <w:t>AB. KOMPONENT 28: Tilpasning af skattesystemet til det enogtyvende århundredes virkelighed</w:t>
      </w:r>
    </w:p>
    <w:p>
      <w:pPr>
        <w:pStyle w:val="Text1"/>
        <w:ind w:left="0"/>
        <w:rPr>
          <w:noProof/>
        </w:rPr>
      </w:pPr>
      <w:r>
        <w:rPr>
          <w:noProof/>
        </w:rPr>
        <w:t xml:space="preserve">Foranstaltningerne i komponent 28 i den spanske genopretnings- og resiliensplan omfatter forskellige skatteforanstaltninger såsom de hasteforanstaltninger, der blev besluttet i den akutte fase af den økonomiske krise i 2020, indførelse af nye skatter i forbindelse med statsbudgettet for 2021 og mellemfristede projekter med henblik på at revidere og udvikle skattesystemet, der er bedre egnet til formålet. Formålet med reformen af det spanske skattesystem er at gøre det mere retfærdigt, progressivt, bæredygtigt og retfærdigt og samtidig uddybe udformningen af grøn beskatning, indarbejde et kønsperspektiv og styrke offentlige politikker af almen interesse, såsom sundhedsbeskyttelse. Reformerne sigter også mod at bidrage positivt til økonomisk vækst, jobskabelse, økonomisk modstandsdygtighed og interterritorial samhørighed. Da skatteindtægternes samlede andel af BNP i Spanien er lavere end i de tilsvarende økonomier, er der mulighed for at øge indtægterne og fremme de offentlige finansers holdbarhed på mellemlang og lang sigt. </w:t>
      </w:r>
    </w:p>
    <w:p>
      <w:pPr>
        <w:pStyle w:val="Text1"/>
        <w:ind w:left="0"/>
        <w:rPr>
          <w:noProof/>
        </w:rPr>
      </w:pPr>
      <w:r>
        <w:rPr>
          <w:noProof/>
        </w:rPr>
        <w:t>Komponenten vedrører bl.a. de landespecifikke henstillinger om styrkelse af de finanspolitiske rammer og rammerne for offentlige indkøb på alle forvaltningsniveauer (landespecifik henstilling nr. 1 fra 2019) og — når de økonomiske forhold tillader det — om gennemførelse af finanspolitikker, der tager sigte på at opnå en forsigtig budgetstilling på mellemlang sigt og sikre gældsbæredygtighed, samtidig med at der tilskyndes til investeringer (landespecifik henstilling nr. 1 fra 2020).</w:t>
      </w:r>
    </w:p>
    <w:p>
      <w:pPr>
        <w:pStyle w:val="Text1"/>
        <w:ind w:left="0"/>
        <w:rPr>
          <w:noProof/>
        </w:rPr>
      </w:pPr>
      <w:r>
        <w:rPr>
          <w:noProof/>
          <w:color w:val="000000" w:themeColor="text1"/>
          <w:szCs w:val="24"/>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pStyle w:val="Text1"/>
        <w:ind w:left="709"/>
        <w:rPr>
          <w:b/>
          <w:i/>
          <w:noProof/>
          <w:color w:val="4F81BD" w:themeColor="accent1"/>
        </w:rPr>
      </w:pPr>
      <w:r>
        <w:rPr>
          <w:b/>
          <w:bCs/>
          <w:noProof/>
          <w:u w:val="single"/>
        </w:rPr>
        <w:t xml:space="preserve">AB.1 </w:t>
      </w:r>
      <w:r>
        <w:rPr>
          <w:b/>
          <w:noProof/>
          <w:u w:val="single"/>
        </w:rPr>
        <w:tab/>
      </w:r>
      <w:r>
        <w:rPr>
          <w:b/>
          <w:bCs/>
          <w:noProof/>
          <w:u w:val="single"/>
        </w:rPr>
        <w:t>Beskrivelse af reformer og investeringer, som finansieres med ikketilbagebetalingspligtig støtte</w:t>
      </w:r>
    </w:p>
    <w:p>
      <w:pPr>
        <w:pStyle w:val="Text1"/>
        <w:ind w:left="0"/>
        <w:rPr>
          <w:noProof/>
          <w:u w:val="single"/>
        </w:rPr>
      </w:pPr>
      <w:r>
        <w:rPr>
          <w:noProof/>
          <w:u w:val="single"/>
        </w:rPr>
        <w:t>Reform 1 (C28.R 1) — Foranstaltninger truffet i 2020 og 2021 for at afbøde virkningerne af covid-19-pandemien</w:t>
      </w:r>
    </w:p>
    <w:p>
      <w:pPr>
        <w:pStyle w:val="Text1"/>
        <w:ind w:left="0"/>
        <w:rPr>
          <w:noProof/>
        </w:rPr>
      </w:pPr>
      <w:r>
        <w:rPr>
          <w:noProof/>
        </w:rPr>
        <w:t xml:space="preserve">Spanien indførte i årene 2020 og 2021 en række skatteforanstaltninger for at afbøde de negative virkninger af den økonomiske krise som følge af udbruddet af covid-19. Disse foranstaltninger omfattede udsættelse af skatte- og toldgæld, suspension og forlængelse af frister, muligheder for forenklet personlig indkomstskat, SMV'ers selskabs- og momsordninger, midlertidig nedsættelse af momssatsen for visse varer, der er nødvendige for at bekæmpe sundhedskrisen, og oprettelse af en insolvensfond for ikke-finansielle selskaber. Formålet med disse foranstaltninger var at afbøde pandemiens økonomiske og sociale virkninger. Disse foranstaltninger træder i kraft den 1. februar 2020, og nogle af dem videreføres i 2021. </w:t>
      </w:r>
    </w:p>
    <w:p>
      <w:pPr>
        <w:pStyle w:val="Text1"/>
        <w:ind w:left="0"/>
        <w:rPr>
          <w:noProof/>
        </w:rPr>
      </w:pPr>
      <w:r>
        <w:rPr>
          <w:noProof/>
        </w:rPr>
        <w:t>Foranstaltningen skal være gennemført senest den 2021. marts 31.</w:t>
      </w:r>
    </w:p>
    <w:p>
      <w:pPr>
        <w:pStyle w:val="Text1"/>
        <w:ind w:left="0"/>
        <w:rPr>
          <w:noProof/>
          <w:u w:val="single"/>
        </w:rPr>
      </w:pPr>
      <w:r>
        <w:rPr>
          <w:noProof/>
          <w:u w:val="single"/>
        </w:rPr>
        <w:t>Reform 2  (C28.R 2) — Analyse af skattefordele</w:t>
      </w:r>
    </w:p>
    <w:p>
      <w:pPr>
        <w:pStyle w:val="Text1"/>
        <w:ind w:left="0"/>
        <w:rPr>
          <w:noProof/>
          <w:color w:val="000000"/>
          <w:sz w:val="20"/>
          <w:szCs w:val="20"/>
        </w:rPr>
      </w:pPr>
      <w:r>
        <w:rPr>
          <w:noProof/>
        </w:rPr>
        <w:t>En udgiftsanalyse foretaget af den uafhængige skattemyndighed (</w:t>
      </w:r>
      <w:r>
        <w:rPr>
          <w:i/>
          <w:noProof/>
        </w:rPr>
        <w:t>Autoridad Independiente de Responsabilidad Fiscal,</w:t>
      </w:r>
      <w:r>
        <w:rPr>
          <w:noProof/>
        </w:rPr>
        <w:t xml:space="preserve"> AIReF) om skattefordele i forbindelse med personlig indkomstskat, punktafgifter og moms identificerede muligheder for at ændre visse skattefordele. I 2020 blev skattefordelene ved personlige indkomstskatteordninger og den nedsatte momssats for læskedrikke og juice samt visse drikkevarer med tilsat sukker og/eller sødestoffer ændret. Gennemførelsen af yderligere lovgivningsmæssige reformer senest den 31. marts 2023 skal ske på grundlag af henstillingerne fra en arbejdsgruppe, der er nedsat for at vurdere skattefordele for 15. Denne arbejdsgruppe har til formål at fremsætte anbefalinger om, hvordan skattefordele kan ændres eller afskaffes yderligere i de kommende år for at gøre skattesystemet mere effektivt, øge indtægterne, støtte den grønne omstilling og fremme retfærdighed.</w:t>
      </w:r>
      <w:r>
        <w:rPr>
          <w:noProof/>
          <w:color w:val="000000"/>
          <w:sz w:val="20"/>
          <w:szCs w:val="20"/>
        </w:rPr>
        <w:t xml:space="preserve"> </w:t>
      </w:r>
    </w:p>
    <w:p>
      <w:pPr>
        <w:pStyle w:val="Text1"/>
        <w:ind w:left="0"/>
        <w:rPr>
          <w:noProof/>
        </w:rPr>
      </w:pPr>
      <w:r>
        <w:rPr>
          <w:noProof/>
        </w:rPr>
        <w:t>Foranstaltningen skal være gennemført senest den 2023. marts 31.</w:t>
      </w:r>
    </w:p>
    <w:p>
      <w:pPr>
        <w:pStyle w:val="Text1"/>
        <w:ind w:left="0"/>
        <w:rPr>
          <w:noProof/>
          <w:u w:val="single"/>
        </w:rPr>
      </w:pPr>
      <w:r>
        <w:rPr>
          <w:noProof/>
          <w:u w:val="single"/>
        </w:rPr>
        <w:t>Reform 3 (C28.R 3) — nedsættelse af et ekspertudvalg til skattereform</w:t>
      </w:r>
    </w:p>
    <w:p>
      <w:pPr>
        <w:pStyle w:val="Text1"/>
        <w:ind w:left="0"/>
        <w:rPr>
          <w:noProof/>
        </w:rPr>
      </w:pPr>
      <w:r>
        <w:rPr>
          <w:noProof/>
        </w:rPr>
        <w:t>Myndighederne nedsætter den 12. april 2021 et ekspertudvalg, der skal undersøge elementerne i et optimalt skattesystem og fremsætte anbefalinger til, hvordan den nuværende beskatning kan moderniseres og tilpasses på en sammenhængende måde. Ekspertudvalget skal navnlig være opmærksom på følgende områder:</w:t>
      </w:r>
    </w:p>
    <w:p>
      <w:pPr>
        <w:pStyle w:val="Text1"/>
        <w:numPr>
          <w:ilvl w:val="0"/>
          <w:numId w:val="120"/>
        </w:numPr>
        <w:rPr>
          <w:noProof/>
        </w:rPr>
      </w:pPr>
      <w:r>
        <w:rPr>
          <w:noProof/>
        </w:rPr>
        <w:t xml:space="preserve">miljøbeskatning </w:t>
      </w:r>
    </w:p>
    <w:p>
      <w:pPr>
        <w:pStyle w:val="Text1"/>
        <w:numPr>
          <w:ilvl w:val="0"/>
          <w:numId w:val="120"/>
        </w:numPr>
        <w:rPr>
          <w:noProof/>
        </w:rPr>
      </w:pPr>
      <w:r>
        <w:rPr>
          <w:noProof/>
        </w:rPr>
        <w:t>selskabsbeskatning</w:t>
      </w:r>
    </w:p>
    <w:p>
      <w:pPr>
        <w:pStyle w:val="Text1"/>
        <w:numPr>
          <w:ilvl w:val="0"/>
          <w:numId w:val="120"/>
        </w:numPr>
        <w:rPr>
          <w:noProof/>
        </w:rPr>
      </w:pPr>
      <w:r>
        <w:rPr>
          <w:noProof/>
        </w:rPr>
        <w:t>beskatning af den digitaliserede økonomi</w:t>
      </w:r>
    </w:p>
    <w:p>
      <w:pPr>
        <w:pStyle w:val="Text1"/>
        <w:numPr>
          <w:ilvl w:val="0"/>
          <w:numId w:val="120"/>
        </w:numPr>
        <w:rPr>
          <w:noProof/>
        </w:rPr>
      </w:pPr>
      <w:r>
        <w:rPr>
          <w:noProof/>
        </w:rPr>
        <w:t>formuebeskatning, herunder ejendomsbeskatning og konkret gennemførelse af harmoniseringen på dette område</w:t>
      </w:r>
    </w:p>
    <w:p>
      <w:pPr>
        <w:pStyle w:val="Text1"/>
        <w:numPr>
          <w:ilvl w:val="0"/>
          <w:numId w:val="120"/>
        </w:numPr>
        <w:rPr>
          <w:noProof/>
        </w:rPr>
      </w:pPr>
      <w:r>
        <w:rPr>
          <w:noProof/>
        </w:rPr>
        <w:t>beskatning af nye økonomiske aktiviteter og</w:t>
      </w:r>
    </w:p>
    <w:p>
      <w:pPr>
        <w:pStyle w:val="Text1"/>
        <w:numPr>
          <w:ilvl w:val="0"/>
          <w:numId w:val="120"/>
        </w:numPr>
        <w:rPr>
          <w:noProof/>
        </w:rPr>
      </w:pPr>
      <w:r>
        <w:rPr>
          <w:noProof/>
        </w:rPr>
        <w:t>ligestilling.</w:t>
      </w:r>
    </w:p>
    <w:p>
      <w:pPr>
        <w:pStyle w:val="Text1"/>
        <w:ind w:left="0"/>
        <w:rPr>
          <w:noProof/>
          <w:szCs w:val="24"/>
        </w:rPr>
      </w:pPr>
      <w:r>
        <w:rPr>
          <w:noProof/>
        </w:rPr>
        <w:t>Reformen ledsages også af en analyse af deres fordelingsmæssige virkninger med særligt fokus på familier med børn. Analysen skal mindst omfatte følgende elementer: i) indvirkning på skattesystemets generelle progressivitet på skatteområdet ii) indvirkning på sårbare grupper iii) indvirkning på familier med børn iv) beskatning af store selskaber og v) fordelingen af beskatningen mellem beskatning af arbejde og kapital.</w:t>
      </w:r>
    </w:p>
    <w:p>
      <w:pPr>
        <w:pStyle w:val="Text1"/>
        <w:ind w:left="0"/>
        <w:rPr>
          <w:noProof/>
          <w:szCs w:val="24"/>
        </w:rPr>
      </w:pPr>
      <w:r>
        <w:rPr>
          <w:noProof/>
        </w:rPr>
        <w:t xml:space="preserve">Ekspertudvalget offentliggør sin rapport i februar 2022. De ændringer af skattesystemet, der er baseret på rapportens henstillinger, træder i kraft senest den 31. marts 2023. </w:t>
      </w:r>
    </w:p>
    <w:p>
      <w:pPr>
        <w:pStyle w:val="Text1"/>
        <w:ind w:left="0"/>
        <w:rPr>
          <w:noProof/>
        </w:rPr>
      </w:pPr>
      <w:r>
        <w:rPr>
          <w:noProof/>
        </w:rPr>
        <w:t>Foranstaltningen skal være gennemført senest den 2023. marts 31.</w:t>
      </w:r>
    </w:p>
    <w:p>
      <w:pPr>
        <w:pStyle w:val="Text1"/>
        <w:ind w:left="0"/>
        <w:rPr>
          <w:noProof/>
          <w:szCs w:val="24"/>
          <w:u w:val="single"/>
        </w:rPr>
      </w:pPr>
      <w:r>
        <w:rPr>
          <w:noProof/>
          <w:szCs w:val="24"/>
          <w:u w:val="single"/>
        </w:rPr>
        <w:t>Reform 4 (C28.R4) — Reform af skatteforanstaltninger, der bidrager til den økologiske omstilling</w:t>
      </w:r>
    </w:p>
    <w:p>
      <w:pPr>
        <w:pStyle w:val="Text1"/>
        <w:ind w:left="0"/>
        <w:rPr>
          <w:noProof/>
          <w:szCs w:val="24"/>
        </w:rPr>
      </w:pPr>
      <w:r>
        <w:rPr>
          <w:noProof/>
        </w:rPr>
        <w:t xml:space="preserve">Denne reform indeholder skatteforanstaltninger, der har til formål at støtte grøn omstilling. Disse foranstaltninger omfatter: </w:t>
      </w:r>
    </w:p>
    <w:p>
      <w:pPr>
        <w:pStyle w:val="Text1"/>
        <w:numPr>
          <w:ilvl w:val="0"/>
          <w:numId w:val="121"/>
        </w:numPr>
        <w:rPr>
          <w:noProof/>
          <w:szCs w:val="24"/>
        </w:rPr>
      </w:pPr>
      <w:r>
        <w:rPr>
          <w:noProof/>
        </w:rPr>
        <w:t>indførelse af en afgift på deponering af affald i deponeringsanlæg og forbrændingsanlæg</w:t>
      </w:r>
    </w:p>
    <w:p>
      <w:pPr>
        <w:pStyle w:val="Text1"/>
        <w:numPr>
          <w:ilvl w:val="0"/>
          <w:numId w:val="121"/>
        </w:numPr>
        <w:rPr>
          <w:noProof/>
          <w:szCs w:val="24"/>
        </w:rPr>
      </w:pPr>
      <w:r>
        <w:rPr>
          <w:noProof/>
        </w:rPr>
        <w:t xml:space="preserve">indførelse af en afgift på engangsplastemballage </w:t>
      </w:r>
    </w:p>
    <w:p>
      <w:pPr>
        <w:pStyle w:val="Text1"/>
        <w:numPr>
          <w:ilvl w:val="0"/>
          <w:numId w:val="121"/>
        </w:numPr>
        <w:rPr>
          <w:noProof/>
        </w:rPr>
      </w:pPr>
      <w:r>
        <w:rPr>
          <w:noProof/>
        </w:rPr>
        <w:t xml:space="preserve">ændring af afgiften på fluorholdige drivhusgasser </w:t>
      </w:r>
    </w:p>
    <w:p>
      <w:pPr>
        <w:pStyle w:val="Text1"/>
        <w:numPr>
          <w:ilvl w:val="0"/>
          <w:numId w:val="121"/>
        </w:numPr>
        <w:rPr>
          <w:noProof/>
          <w:szCs w:val="24"/>
        </w:rPr>
      </w:pPr>
      <w:r>
        <w:rPr>
          <w:noProof/>
        </w:rPr>
        <w:t>afgifter eller betalinger i forbindelse med mobilitet såsom vejafgifter og registreringsafgifter og som</w:t>
      </w:r>
    </w:p>
    <w:p>
      <w:pPr>
        <w:pStyle w:val="Text1"/>
        <w:numPr>
          <w:ilvl w:val="0"/>
          <w:numId w:val="121"/>
        </w:numPr>
        <w:rPr>
          <w:noProof/>
          <w:szCs w:val="24"/>
        </w:rPr>
      </w:pPr>
      <w:r>
        <w:rPr>
          <w:noProof/>
        </w:rPr>
        <w:t xml:space="preserve">revision af tilskuddene til mineralolier, der anvendes som brændsel. </w:t>
      </w:r>
    </w:p>
    <w:p>
      <w:pPr>
        <w:pStyle w:val="Text1"/>
        <w:ind w:left="0"/>
        <w:rPr>
          <w:noProof/>
          <w:szCs w:val="24"/>
        </w:rPr>
      </w:pPr>
      <w:r>
        <w:rPr>
          <w:noProof/>
        </w:rPr>
        <w:t xml:space="preserve">Gennemførelsen af reformerne skal være afsluttet senest den 30. juni 2022. </w:t>
      </w:r>
    </w:p>
    <w:p>
      <w:pPr>
        <w:pStyle w:val="Text1"/>
        <w:ind w:left="0"/>
        <w:rPr>
          <w:noProof/>
          <w:szCs w:val="24"/>
          <w:u w:val="single"/>
        </w:rPr>
      </w:pPr>
      <w:r>
        <w:rPr>
          <w:noProof/>
          <w:szCs w:val="24"/>
          <w:u w:val="single"/>
        </w:rPr>
        <w:t>Reform 5 (C28.R5) — Godkendelse af skatten på digitale tjenester</w:t>
      </w:r>
    </w:p>
    <w:p>
      <w:pPr>
        <w:pStyle w:val="Text1"/>
        <w:ind w:left="0"/>
        <w:rPr>
          <w:noProof/>
        </w:rPr>
      </w:pPr>
      <w:r>
        <w:rPr>
          <w:noProof/>
        </w:rPr>
        <w:t xml:space="preserve">Denne reform indfører en afgift baseret på omsætningen i virksomheder med en nettoomsætning på over 750 000 000 EUR og indtægter fra levering af visse digitale tjenester såsom onlinereklame- og formidlingstjenester i Spanien. Afgiften er uafhængig af, om selskabet er hjemmehørende eller ej på spansk område. Afgiften trådte i kraft i første kvartal af 2021. Reformen skal også omfatte en konsekvensanalyserapport om foranstaltningen, som skal foreligge senest den 31. marts i 2022 og 2023. </w:t>
      </w:r>
    </w:p>
    <w:p>
      <w:pPr>
        <w:pStyle w:val="Text1"/>
        <w:ind w:left="0"/>
        <w:rPr>
          <w:noProof/>
        </w:rPr>
      </w:pPr>
      <w:r>
        <w:rPr>
          <w:noProof/>
        </w:rPr>
        <w:t>Foranstaltningen skal være gennemført senest den 2021. marts 31.</w:t>
      </w:r>
    </w:p>
    <w:p>
      <w:pPr>
        <w:pStyle w:val="Text1"/>
        <w:ind w:left="0"/>
        <w:rPr>
          <w:noProof/>
          <w:szCs w:val="24"/>
          <w:u w:val="single"/>
        </w:rPr>
      </w:pPr>
      <w:r>
        <w:rPr>
          <w:noProof/>
          <w:szCs w:val="24"/>
          <w:u w:val="single"/>
        </w:rPr>
        <w:t>Reform 6 (C28.R6) — Godkendelse af afgiften på finansielle transaktioner</w:t>
      </w:r>
    </w:p>
    <w:p>
      <w:pPr>
        <w:pStyle w:val="Text1"/>
        <w:ind w:left="0"/>
        <w:rPr>
          <w:noProof/>
          <w:szCs w:val="24"/>
        </w:rPr>
      </w:pPr>
      <w:r>
        <w:rPr>
          <w:noProof/>
        </w:rPr>
        <w:t xml:space="preserve">Denne foranstaltning indfører en afgift baseret på købsværdien af aktier i noterede spanske virksomheder med en markedsværdi på over 1 000 000 000 EUR. Gennemførelsen af reformen trådte i kraft i første kvartal af 2021. Reformen skal også omfatte en konsekvensanalyserapport om foranstaltningen, som skal foreligge senest den 31. marts i 2022 og 2023. </w:t>
      </w:r>
    </w:p>
    <w:p>
      <w:pPr>
        <w:pStyle w:val="Text1"/>
        <w:ind w:left="0"/>
        <w:rPr>
          <w:noProof/>
          <w:szCs w:val="24"/>
        </w:rPr>
      </w:pPr>
      <w:r>
        <w:rPr>
          <w:noProof/>
        </w:rPr>
        <w:t>Foranstaltningen skal være gennemført senest den 2021. marts 31.</w:t>
      </w:r>
    </w:p>
    <w:p>
      <w:pPr>
        <w:pStyle w:val="Text1"/>
        <w:keepNext/>
        <w:ind w:left="0"/>
        <w:rPr>
          <w:noProof/>
          <w:szCs w:val="24"/>
          <w:u w:val="single"/>
        </w:rPr>
      </w:pPr>
      <w:r>
        <w:rPr>
          <w:noProof/>
          <w:szCs w:val="24"/>
          <w:u w:val="single"/>
        </w:rPr>
        <w:t>Reform 7 (C28.R 7) — Kortsigtede skatteforanstaltninger vedrørende personlige skatter</w:t>
      </w:r>
    </w:p>
    <w:p>
      <w:pPr>
        <w:pStyle w:val="Text1"/>
        <w:keepNext/>
        <w:ind w:left="0"/>
        <w:rPr>
          <w:noProof/>
        </w:rPr>
      </w:pPr>
      <w:r>
        <w:rPr>
          <w:noProof/>
        </w:rPr>
        <w:t>Reformen skal øge progressiviteten og omfordelingen af den personlige indkomstskat ved hjælp af ændringer af personindkomstskatteloven og formueskatteloven. Den forhøjer navnlig satsen på den generelle nationale skala med 2 procentpoint fra 300 000 EUR som et generelt beregningsgrundlag og besparelser på 3 procentpoint fra 200 000 EUR. Desuden nedsættes grænsen for nedsættelse af de individuelle pensionsbidrag fra 8 000 EUR til 2 000 EUR, og den nuværende grænse for virksomhedens bidrag til den ansatte hæves fra 8 000 EUR til 10 000 EUR. For så vidt angår formueskatten skal reformen desuden forhøje satsen for det sidste prisinterval med 1 procentpoint fra 2,5 % til 3,5 % (for aktiver på over 10 000 000 EUR). Reformen skulle være gennemført senest den 1. januar 2021.</w:t>
      </w:r>
    </w:p>
    <w:p>
      <w:pPr>
        <w:pStyle w:val="Text1"/>
        <w:ind w:left="0"/>
        <w:rPr>
          <w:noProof/>
          <w:szCs w:val="24"/>
        </w:rPr>
      </w:pPr>
      <w:r>
        <w:rPr>
          <w:noProof/>
        </w:rPr>
        <w:t>Foranstaltningen skal være gennemført senest den 2021. marts 31.</w:t>
      </w:r>
    </w:p>
    <w:p>
      <w:pPr>
        <w:pStyle w:val="Text1"/>
        <w:ind w:left="0"/>
        <w:rPr>
          <w:noProof/>
          <w:szCs w:val="24"/>
          <w:u w:val="single"/>
        </w:rPr>
      </w:pPr>
      <w:r>
        <w:rPr>
          <w:noProof/>
          <w:szCs w:val="24"/>
          <w:u w:val="single"/>
        </w:rPr>
        <w:t>Reform 8 (C28.R 8) — Kortsigtet vedtagelse af skatteforanstaltninger inden for selskabsskat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Reformen skal ændre selskabsskatteloven for at øge denne afgifts bidrag til støtte for de offentlige udgifter, samtidig med at der indføres forenklinger af fritagelserne og fradragene for at sikre en minimumssats på 15 % for skatteyderne. På den anden side nedsættes fritagelsen for udbytte og kapitalgevinster, der opstår som følge af deres kapitalandele i datterselskaber, både hjemmehørende og ikke-hjemmehørende på spansk område, med 5 %. </w:t>
      </w:r>
    </w:p>
    <w:p>
      <w:pPr>
        <w:pStyle w:val="Text1"/>
        <w:ind w:left="0"/>
        <w:rPr>
          <w:noProof/>
          <w:szCs w:val="24"/>
        </w:rPr>
      </w:pPr>
      <w:r>
        <w:rPr>
          <w:noProof/>
        </w:rPr>
        <w:t>Foranstaltningen skal være gennemført senest den 2021. marts 31.</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szCs w:val="24"/>
          <w:u w:val="single"/>
        </w:rPr>
        <w:t>Reform 9 (C28.R9) — Kortsigtede skatteforanstaltninger inden for indirekte skatter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Reformen udvider anvendelsen af normalsatsen for moms på 21 % til også at omfatte læskedrikke, juice og gasformige drikkevarer tilsat sukker. En sådan foranstaltning udgør en social forpligtelse til at fremme ansvarligt forbrug af disse kategorier af drikkevarer og er i overensstemmelse med målet om at finansiere de eksterne omkostninger for den spanske velfærdsstat, hvilket i dette tilfælde skyldes usunde kostvaner. Desuden hæves afgiftssatsen for forsikringspræmier med to procentpoint til 8 %, men forbliver dog på det mellemlave niveau i forhold til nabolandene. </w:t>
      </w:r>
    </w:p>
    <w:p>
      <w:pPr>
        <w:pStyle w:val="Text1"/>
        <w:ind w:left="0"/>
        <w:rPr>
          <w:noProof/>
          <w:szCs w:val="24"/>
        </w:rPr>
      </w:pPr>
      <w:r>
        <w:rPr>
          <w:noProof/>
        </w:rPr>
        <w:t>Foranstaltningen skal være gennemført senest den 2021. marts 31.</w:t>
      </w:r>
    </w:p>
    <w:p>
      <w:pPr>
        <w:pStyle w:val="Text1"/>
        <w:ind w:left="709"/>
        <w:rPr>
          <w:b/>
          <w:noProof/>
          <w:szCs w:val="24"/>
          <w:u w:val="single"/>
        </w:rPr>
      </w:pPr>
      <w:r>
        <w:rPr>
          <w:b/>
          <w:bCs/>
          <w:noProof/>
          <w:szCs w:val="24"/>
          <w:u w:val="single"/>
        </w:rPr>
        <w:t xml:space="preserve">AB.2 </w:t>
      </w:r>
      <w:r>
        <w:rPr>
          <w:b/>
          <w:noProof/>
          <w:szCs w:val="24"/>
          <w:u w:val="single"/>
        </w:rPr>
        <w:tab/>
      </w:r>
      <w:r>
        <w:rPr>
          <w:b/>
          <w:bCs/>
          <w:noProof/>
          <w:szCs w:val="24"/>
          <w:u w:val="single"/>
        </w:rPr>
        <w:t>Milepæle, mål, indikatorer og tidsplan for overvågning og gennemførelse af den ikketilbagebetalingspligtige støtte</w:t>
      </w:r>
    </w:p>
    <w:p>
      <w:pPr>
        <w:spacing w:before="120" w:after="120" w:line="240" w:lineRule="auto"/>
        <w:rPr>
          <w:rFonts w:ascii="Times New Roman" w:hAnsi="Times New Roman" w:cs="Times New Roman"/>
          <w:noProof/>
          <w:color w:val="1F497D"/>
          <w:sz w:val="24"/>
          <w:szCs w:val="24"/>
        </w:rPr>
      </w:pPr>
      <w:r>
        <w:rPr>
          <w:rFonts w:ascii="Times New Roman" w:hAnsi="Times New Roman"/>
          <w:i/>
          <w:iCs/>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sz w:val="24"/>
          <w:szCs w:val="24"/>
        </w:rPr>
        <w:t>Startdatoen for alle indikatorer er den 1. februar 2020, medmindre andet er angivet i beskrivelsen af foranstaltningen.</w:t>
      </w:r>
      <w:r>
        <w:rPr>
          <w:rFonts w:ascii="Times New Roman" w:hAnsi="Times New Roman"/>
          <w:i/>
          <w:iCs/>
          <w:noProof/>
          <w:color w:val="000000"/>
          <w:sz w:val="24"/>
          <w:szCs w:val="24"/>
        </w:rPr>
        <w:t xml:space="preserve"> Beløbene i tabellen omfatter ikke moms.</w:t>
      </w:r>
      <w:r>
        <w:rPr>
          <w:rFonts w:ascii="Times New Roman" w:hAnsi="Times New Roman"/>
          <w:noProof/>
          <w:color w:val="1F497D"/>
          <w:sz w:val="24"/>
          <w:szCs w:val="24"/>
        </w:rPr>
        <w:t xml:space="preserve"> </w:t>
      </w:r>
    </w:p>
    <w:p>
      <w:pPr>
        <w:pStyle w:val="Text1"/>
        <w:ind w:left="0"/>
        <w:rPr>
          <w:noProof/>
        </w:rPr>
        <w:sectPr>
          <w:headerReference w:type="even" r:id="rId343"/>
          <w:headerReference w:type="default" r:id="rId344"/>
          <w:footerReference w:type="even" r:id="rId345"/>
          <w:footerReference w:type="default" r:id="rId346"/>
          <w:headerReference w:type="first" r:id="rId347"/>
          <w:footerReference w:type="first" r:id="rId348"/>
          <w:pgSz w:w="11907" w:h="16839"/>
          <w:pgMar w:top="1134" w:right="1417" w:bottom="1134" w:left="1417" w:header="709" w:footer="709" w:gutter="0"/>
          <w:cols w:space="720"/>
          <w:docGrid w:linePitch="360"/>
        </w:sectPr>
      </w:pPr>
    </w:p>
    <w:tbl>
      <w:tblPr>
        <w:tblW w:w="150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98"/>
        <w:gridCol w:w="839"/>
        <w:gridCol w:w="838"/>
        <w:gridCol w:w="2792"/>
        <w:gridCol w:w="979"/>
        <w:gridCol w:w="420"/>
        <w:gridCol w:w="420"/>
        <w:gridCol w:w="559"/>
        <w:gridCol w:w="420"/>
        <w:gridCol w:w="559"/>
        <w:gridCol w:w="6502"/>
        <w:gridCol w:w="59"/>
      </w:tblGrid>
      <w:tr>
        <w:trPr>
          <w:gridAfter w:val="1"/>
          <w:wAfter w:w="59" w:type="dxa"/>
          <w:trHeight w:val="309"/>
          <w:tblHeader/>
        </w:trPr>
        <w:tc>
          <w:tcPr>
            <w:tcW w:w="698"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3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38"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79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97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1399" w:type="dxa"/>
            <w:gridSpan w:val="3"/>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79" w:type="dxa"/>
            <w:gridSpan w:val="2"/>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650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Beskrivelse af hver milepæl og hvert mål</w:t>
            </w:r>
          </w:p>
        </w:tc>
      </w:tr>
      <w:tr>
        <w:trPr>
          <w:gridAfter w:val="1"/>
          <w:wAfter w:w="59" w:type="dxa"/>
          <w:trHeight w:val="309"/>
          <w:tblHeader/>
        </w:trPr>
        <w:tc>
          <w:tcPr>
            <w:tcW w:w="698"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3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38"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792"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97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420"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420"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55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0"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5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6502"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385</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C28.R1</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Finanspolitiske foranstaltninger, der blev vedtaget i 2020 og 2021 for at afbøde virkningerne af covid-19-pandemien.</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 og kongelige lovtekster med angivelse af deres ikrafttræden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de skatteforanstaltninger, der blev vedtaget i 2020 og 2021 for at afbøde de negative økonomiske og sociale virkninger af covid-19-pandemien: 1. Overgangsbestemmelser: Forskellige kongelige love, der er godkendt af regeringen siden begyndelsen af covid-19-pandemien. 2. Ændring af statsbestemmelser: - Kongeligt dekret nr. 1/1993 af september 24, som godkender den konsoliderede tekst til loven om beskatning af overførsel af formuegoder og dokumenterede retsakter. - Lov nr. 37 af 28. december 1992 om merværdiafgift. -Lov 49/2002, december 23, om skatteordningen for nonprofitorganisationer og om skattemæssige incitamenter til protektion. - Lov nr. 58 af 17. december 2003, almindelig skat. Lov 35/2006 af november 28 om personlig indkomstskat</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386</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C28.R2</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Revision og ændringer af skattefordele</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reformerne med angivelse af deres ikrafttræden og offentliggørelse på Finance Webpage af arbejdsgruppens anbefalinger</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de lovgivningsmæssige reformer, der er nødvendige for at gennemføre arbejdsgruppens anbefalinger om ændring eller afskaffelse af skattefordele for 15. Skattefordelene skal være udvalgt ud fra deres kvantitative og kvalitative betydning og vurderet efter AIReF-metoden. De lovgivningsmæssige reformer skal sigte mod at gøre skattesystemet mere effektivt, øge indtægterne, støtte grøn omstilling og fremme retfærdighed. </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387</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C28.R3</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Finansministeren udnævner ekspertudvalget.</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websiden</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Nedsættelse af et ekspertudvalg som rettesnor for reformen af skattesystemet. Udvalget er ansvarligt for at foretage en teknisk analyse af de nødvendige reformer under hensyntagen til det nuværende scenario og den forventede situation på mellemlang og lang sigt med særlig vægt på følgende områder: miljøbeskatning, selskabsbeskatning, beskatning af den digitale økonomi, formuebeskatning og konkret harmonisering på dette område, beskatning af nye økonomiske aktiviteter, fordelingseffekt.</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388</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C28.R3</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de reformer, der er afledt af udvalgets henstillinger</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Bestemmelser i reformerne, hvoraf det fremgår, at de er trådt i kraft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de reformer, der er afledt af ekspertudvalgets anbefalinger vedrørende de forskellige elementer i det spanske skattesystem, med henblik på at bringe Spaniens offentlige indtægtskvote tættere på EU-gennemsnittet, sikre en minimumsbeskatning af virksomheder, gøre skattesystemet mere effektivt, modernisere og tilpasse det til nye tendenser, herunder et kønsperspektiv, med fokus på områderne miljøbeskatning, selskabsbeskatning, beskatning af den digitaliserede økonomi, harmonisering af formuebeskatning og beskatning af nye økonomiske aktiviteter. Reformerne ledsages også af en analyse af deres fordelingsmæssige virkninger med særligt fokus på familier med børn.</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389</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C28.R4</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Afgifter på engangsplast og affald</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den lov, der angiver dens ikrafttræden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loven om beskatning af plast og deponering og forbrænding af affald for at fremme den cirkulære økonomi og mindske brugen af engangsplast.</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390</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C28.R4</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Analyse af registreringsafgiften og færdselsafgiften</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websiden</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Reformen omfatter en analyse af registreringsafgiften på køretøjer eller betalinger som f.eks. vejafgifter. På grundlag af denne analyse skal en revision af loven overvejes for at fremme en mere bæredygtig vejtransport og reducere drivhusgasemissionerne. </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391</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C28.R4</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reformen af afgiften på fluorholdige gasser </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den lov, der angiver dens ikrafttræden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reformen af afgiften på fluorholdige gasser for at modvirke brugen heraf og mindske skatteundgåelse. </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392</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C28.R5</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Skat på digitale tjenester</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den lov, der angiver dens ikrafttræden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lov om visse afgifter på digitale tjenester </w:t>
            </w:r>
            <w:r>
              <w:rPr>
                <w:rFonts w:ascii="Times New Roman" w:hAnsi="Times New Roman"/>
                <w:i/>
                <w:noProof/>
                <w:color w:val="000000"/>
                <w:sz w:val="18"/>
                <w:szCs w:val="18"/>
              </w:rPr>
              <w:t>(Ley 4/2020, de 15 de octubre, del Impuesto sobre Determinados Servicios Digitales</w:t>
            </w:r>
            <w:r>
              <w:rPr>
                <w:rFonts w:ascii="Times New Roman" w:hAnsi="Times New Roman"/>
                <w:noProof/>
                <w:color w:val="000000"/>
                <w:sz w:val="18"/>
                <w:szCs w:val="18"/>
              </w:rPr>
              <w:t>) for at skabe nye indtægtskilder for regeringen baseret på nye erhvervssektorer og samtidig udvikle skattesystemet på en sammenhængende måde og, hvor det er relevant, i international sammenhæng.</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393</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C28.R6</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Afgift på finansielle transaktioner</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den lov, der angiver dens ikrafttræden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loven om afgift på finansielle transaktioner (</w:t>
            </w:r>
            <w:r>
              <w:rPr>
                <w:rFonts w:ascii="Times New Roman" w:hAnsi="Times New Roman"/>
                <w:i/>
                <w:noProof/>
                <w:color w:val="000000"/>
                <w:sz w:val="18"/>
                <w:szCs w:val="18"/>
              </w:rPr>
              <w:t>Ley 5/2020, de 15 de octubre, del Impuesto sobre las Transacciones Financieras</w:t>
            </w:r>
            <w:r>
              <w:rPr>
                <w:rFonts w:ascii="Times New Roman" w:hAnsi="Times New Roman"/>
                <w:noProof/>
                <w:color w:val="000000"/>
                <w:sz w:val="18"/>
                <w:szCs w:val="18"/>
              </w:rPr>
              <w:t>) for at generere nye indtægtskilder for regeringen og samtidig udvikle skattesystemet på en sammenhængende måde og, hvor det er relevant, i international sammenhæng.</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394</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C28.R7</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Ændringer af personlig indkomstskat og formueskat i 2021</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finansloven med angivelse af dens ikrafttræden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de ændringer, der blev indført ved finansloven for 2021, og udviklingsforordningerne vedrørende personlig indkomstskat og formueskat for at mindske det offentlige underskud og gøre personindkomstbeskatningen mere progressiv.</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395</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C28.R8</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Ændringer af selskabsskat i 2021</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finansloven med angivelse af dens ikrafttræden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de ændringer, der blev indført med finansloven for 2021, og udviklingsforordningerne vedrørende selskabsskat med henblik på at øge selskabsskatteindtægterne.</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396</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C28.R9</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Ændringer af indirekte skatter i 2021</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finansloven med angivelse af dens ikrafttræden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de ændringer, der blev indført ved finansloven for 2021, og udviklingsforordningerne vedrørende indirekte skatter for at fremme sundere kostvaner gennem reduktion af forbruget af visse sukkerholdige drikkevarer og øge statens indtægter ved at øge afgiften på forsikringspræmier.</w:t>
            </w:r>
          </w:p>
        </w:tc>
      </w:tr>
    </w:tbl>
    <w:p>
      <w:pPr>
        <w:pStyle w:val="SectionTitle"/>
        <w:jc w:val="left"/>
        <w:rPr>
          <w:noProof/>
        </w:rPr>
        <w:sectPr>
          <w:headerReference w:type="even" r:id="rId349"/>
          <w:headerReference w:type="default" r:id="rId350"/>
          <w:footerReference w:type="even" r:id="rId351"/>
          <w:footerReference w:type="default" r:id="rId352"/>
          <w:headerReference w:type="first" r:id="rId353"/>
          <w:footerReference w:type="first" r:id="rId354"/>
          <w:pgSz w:w="16839" w:h="11907" w:orient="landscape"/>
          <w:pgMar w:top="1417" w:right="1134" w:bottom="1417" w:left="1134" w:header="709" w:footer="709" w:gutter="0"/>
          <w:cols w:space="720"/>
          <w:docGrid w:linePitch="360"/>
        </w:sectPr>
      </w:pPr>
    </w:p>
    <w:p>
      <w:pPr>
        <w:pStyle w:val="Heading1"/>
        <w:rPr>
          <w:noProof/>
        </w:rPr>
      </w:pPr>
      <w:r>
        <w:rPr>
          <w:noProof/>
        </w:rPr>
        <w:t>AC. KOMPONENT 29: Effektivisering af de offentlige udgifter</w:t>
      </w:r>
    </w:p>
    <w:p>
      <w:pPr>
        <w:pStyle w:val="Text1"/>
        <w:ind w:left="0"/>
        <w:rPr>
          <w:noProof/>
        </w:rPr>
      </w:pPr>
      <w:r>
        <w:rPr>
          <w:noProof/>
        </w:rPr>
        <w:t xml:space="preserve">Reformerne i komponent 29 i den spanske genopretnings- og resiliensplan har til formål i) at forbedre effektiviteten af de offentlige udgifter ved at styrke rammerne og praksis for udgiftsanalyser og ii) bringe statsbudgettet i overensstemmelse med målene for bæredygtig udvikling og principperne om grøn budgettering. </w:t>
      </w:r>
    </w:p>
    <w:p>
      <w:pPr>
        <w:pStyle w:val="Text1"/>
        <w:ind w:left="0"/>
        <w:rPr>
          <w:noProof/>
        </w:rPr>
      </w:pPr>
      <w:r>
        <w:rPr>
          <w:noProof/>
        </w:rPr>
        <w:t xml:space="preserve">Formålet med planens komponent er at forbedre kvaliteten af de offentlige udgifter, navnlig ved at revidere dens sammensætning og omlægge anvendelsen heraf, støtte økonomisk vækst og jobskabelse og i sidste ende gøre de offentlige finanser mere stabile og den offentlige gæld mere bæredygtige på mellemlang sigt. Reformerne tager også fat på udfordringerne i forbindelse med den nye økonomiske og sociale virkelighed. </w:t>
      </w:r>
    </w:p>
    <w:p>
      <w:pPr>
        <w:pStyle w:val="Text1"/>
        <w:ind w:left="0"/>
        <w:rPr>
          <w:noProof/>
        </w:rPr>
      </w:pPr>
      <w:r>
        <w:rPr>
          <w:noProof/>
        </w:rPr>
        <w:t>Komponenten vedrører den landespecifikke henstilling om — når de økonomiske forhold tillader det — at føre en finanspolitik, der tager sigte på at opnå en forsigtig budgetstilling på mellemlang sigt og sikre gældsbæredygtighed, samtidig med at der tilskyndes til investeringer (landespecifik henstilling nr. 1 fra 2020).</w:t>
      </w:r>
    </w:p>
    <w:p>
      <w:pPr>
        <w:pStyle w:val="Text1"/>
        <w:ind w:left="0"/>
        <w:rPr>
          <w:noProof/>
        </w:rPr>
      </w:pPr>
      <w:r>
        <w:rPr>
          <w:noProof/>
          <w:color w:val="000000" w:themeColor="text1"/>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pStyle w:val="Text1"/>
        <w:ind w:left="709"/>
        <w:rPr>
          <w:noProof/>
        </w:rPr>
      </w:pPr>
      <w:r>
        <w:rPr>
          <w:b/>
          <w:bCs/>
          <w:noProof/>
          <w:u w:val="single"/>
        </w:rPr>
        <w:t xml:space="preserve">AC.1 </w:t>
      </w:r>
      <w:r>
        <w:rPr>
          <w:b/>
          <w:noProof/>
          <w:u w:val="single"/>
        </w:rPr>
        <w:tab/>
      </w:r>
      <w:r>
        <w:rPr>
          <w:b/>
          <w:bCs/>
          <w:noProof/>
          <w:u w:val="single"/>
        </w:rPr>
        <w:t>Beskrivelse af reformer og investeringer, som finansieres med ikketilbagebetalingspligtig støtte</w:t>
      </w:r>
    </w:p>
    <w:p>
      <w:pPr>
        <w:pStyle w:val="Text1"/>
        <w:ind w:left="0"/>
        <w:rPr>
          <w:noProof/>
          <w:u w:val="single"/>
        </w:rPr>
      </w:pPr>
      <w:r>
        <w:rPr>
          <w:noProof/>
          <w:u w:val="single"/>
        </w:rPr>
        <w:t>Reform 1 (C29.R1) — gennemgang og evaluering af offentlige udgifter</w:t>
      </w:r>
    </w:p>
    <w:p>
      <w:pPr>
        <w:pStyle w:val="Text1"/>
        <w:ind w:left="0"/>
        <w:rPr>
          <w:noProof/>
        </w:rPr>
      </w:pPr>
      <w:r>
        <w:rPr>
          <w:noProof/>
        </w:rPr>
        <w:t>Formålet med denne reform er at etablere en permanent ramme, der sikrer forbedringer i kvaliteten af de offentlige udgifter, styrker den finanspolitiske stabilitet og de offentlige finansers holdbarhed. Denne reform indeholder fire delelementer:</w:t>
      </w:r>
    </w:p>
    <w:p>
      <w:pPr>
        <w:pStyle w:val="Text1"/>
        <w:numPr>
          <w:ilvl w:val="0"/>
          <w:numId w:val="122"/>
        </w:numPr>
        <w:rPr>
          <w:noProof/>
        </w:rPr>
      </w:pPr>
      <w:r>
        <w:rPr>
          <w:noProof/>
        </w:rPr>
        <w:t xml:space="preserve">Indarbejdelse i beslutningsprocessen af anbefalingerne fra udgiftsgennemgangen for 2018-2020 (fase I og II): For at opnå en effektiv opfølgning af henstillingerne i fase I og II skal de budgetenheder, der har modtaget henstillinger, have en frist til at svare på disse henstillinger i overensstemmelse med princippet om "følg eller forklar". Finansministeriet forventes at få til opgave at overvåge opfølgningen og udarbejde en årlig rapport om reaktionen på henstillingerne. </w:t>
      </w:r>
    </w:p>
    <w:p>
      <w:pPr>
        <w:pStyle w:val="Text1"/>
        <w:numPr>
          <w:ilvl w:val="0"/>
          <w:numId w:val="122"/>
        </w:numPr>
        <w:rPr>
          <w:noProof/>
        </w:rPr>
      </w:pPr>
      <w:r>
        <w:rPr>
          <w:noProof/>
        </w:rPr>
        <w:t xml:space="preserve">Indledning af fase III af udgiftsanalysen for 2021: Den tredje fase af udgiftsgennemgangen er planlagt til at fokusere på finansielle instrumenter og kommunernes affaldshåndtering. </w:t>
      </w:r>
    </w:p>
    <w:p>
      <w:pPr>
        <w:pStyle w:val="Text1"/>
        <w:numPr>
          <w:ilvl w:val="0"/>
          <w:numId w:val="122"/>
        </w:numPr>
        <w:rPr>
          <w:noProof/>
        </w:rPr>
      </w:pPr>
      <w:r>
        <w:rPr>
          <w:noProof/>
        </w:rPr>
        <w:t>Ny gennemgang og evaluering af de offentlige udgifter (for 2022-2026): Fremtidige udgiftsanalyser i denne cyklus vil blive foretaget af den uafhængige finanspolitiske myndighed (</w:t>
      </w:r>
      <w:r>
        <w:rPr>
          <w:i/>
          <w:noProof/>
        </w:rPr>
        <w:t>Autoridad Independiente de Responsabilidad Fiscal,</w:t>
      </w:r>
      <w:r>
        <w:rPr>
          <w:noProof/>
        </w:rPr>
        <w:t xml:space="preserve"> AIReF). Fokus, dækning og tidsplan for disse fremtidige revisioner fastlægges af Ministerrådet efter høring af AIReF. Målet er at offentliggøre en årlig rapport i 2022-2026. </w:t>
      </w:r>
    </w:p>
    <w:p>
      <w:pPr>
        <w:pStyle w:val="Text1"/>
        <w:numPr>
          <w:ilvl w:val="0"/>
          <w:numId w:val="122"/>
        </w:numPr>
        <w:rPr>
          <w:noProof/>
        </w:rPr>
      </w:pPr>
      <w:r>
        <w:rPr>
          <w:noProof/>
        </w:rPr>
        <w:t>Styrkelse af evaluatorens kapacitet (AIReF): AIReF's vedtægter ændres, så der oprettes en ny enhed med ansvar for gennemgangen af de offentlige udgifter.</w:t>
      </w:r>
    </w:p>
    <w:p>
      <w:pPr>
        <w:pStyle w:val="Text1"/>
        <w:ind w:left="0"/>
        <w:rPr>
          <w:noProof/>
        </w:rPr>
      </w:pPr>
      <w:r>
        <w:rPr>
          <w:noProof/>
        </w:rPr>
        <w:t xml:space="preserve">Reform 1 kan ses som støtte til sammenhæng og andre reformer i den spanske genopretnings- og resiliensplan, navnlig i komponent 6, 17, 18, 21, 23 og 28, hvor anbefalingerne baseret på fase I og II i udgiftsanalysen har bidraget til disse reformprioriteter. </w:t>
      </w:r>
    </w:p>
    <w:p>
      <w:pPr>
        <w:pStyle w:val="Text1"/>
        <w:ind w:left="0"/>
        <w:rPr>
          <w:noProof/>
        </w:rPr>
      </w:pPr>
      <w:r>
        <w:rPr>
          <w:noProof/>
        </w:rPr>
        <w:t>Denne reform forventes afsluttet senest den 30. juni 2023.</w:t>
      </w:r>
    </w:p>
    <w:p>
      <w:pPr>
        <w:pStyle w:val="Text1"/>
        <w:ind w:left="0"/>
        <w:rPr>
          <w:noProof/>
          <w:u w:val="single"/>
        </w:rPr>
      </w:pPr>
      <w:r>
        <w:rPr>
          <w:noProof/>
        </w:rPr>
        <w:t>Reform 2 (C29.R2) — Tilpasning af centralregeringens budget til målene for bæredygtig udvikling i 2030-dagsordenen</w:t>
      </w:r>
    </w:p>
    <w:p>
      <w:pPr>
        <w:pStyle w:val="Text1"/>
        <w:ind w:left="0"/>
        <w:rPr>
          <w:noProof/>
        </w:rPr>
      </w:pPr>
      <w:r>
        <w:rPr>
          <w:noProof/>
        </w:rPr>
        <w:t xml:space="preserve">Formålet med denne reform er at tilpasse statsbudgettet til målene for bæredygtig udvikling, som ligger til grund for hele planen. Reformen består i offentliggørelse af en rapport i forbindelse med statsbudgetprocessen, som i overensstemmelse med en foruddefineret metode skal afspejle tilpasningen af de offentlige investeringer til målene for bæredygtig udvikling. Denne reform bygger på den metode og overvågningsramme, der i øjeblikket er ved at blive udformet med støtte fra EU's tekniske støtteinstrument. </w:t>
      </w:r>
    </w:p>
    <w:p>
      <w:pPr>
        <w:pStyle w:val="Text1"/>
        <w:ind w:left="0"/>
        <w:rPr>
          <w:noProof/>
        </w:rPr>
      </w:pPr>
      <w:r>
        <w:rPr>
          <w:noProof/>
        </w:rPr>
        <w:t>Gennemførelsen af reformerne skal være afsluttet senest den 30. september 2021.</w:t>
      </w:r>
    </w:p>
    <w:p>
      <w:pPr>
        <w:pStyle w:val="Text1"/>
        <w:ind w:left="0"/>
        <w:rPr>
          <w:noProof/>
          <w:u w:val="single"/>
        </w:rPr>
      </w:pPr>
      <w:r>
        <w:rPr>
          <w:noProof/>
          <w:u w:val="single"/>
        </w:rPr>
        <w:t>Reform 3 (C29.R3) — Tilpasning af centralregeringens budget til grøn budgettering</w:t>
      </w:r>
    </w:p>
    <w:p>
      <w:pPr>
        <w:pStyle w:val="Text1"/>
        <w:ind w:left="0"/>
        <w:rPr>
          <w:noProof/>
        </w:rPr>
      </w:pPr>
      <w:r>
        <w:rPr>
          <w:noProof/>
        </w:rPr>
        <w:t>Formålet med denne reform er at tilpasse statsbudgettet til EU's referenceramme for grøn budgettering på mellemlang sigt. Den styrker reformen 2 og mere generelt planens grønne ambitioner. Reformen består i offentliggørelse af to rapporter inden for rammerne af statsbudgetprocessen, som skal kortlægge henholdsvis grønne og brune udgifter i forhold til de årlige budgetlove for 2023 og 2024. Denne reform bygger på den metode og overvågningsramme, der i øjeblikket er ved at blive udformet med støtte fra EU's tekniske støtteinstrument.</w:t>
      </w:r>
    </w:p>
    <w:p>
      <w:pPr>
        <w:pStyle w:val="Text1"/>
        <w:ind w:left="0"/>
        <w:rPr>
          <w:noProof/>
        </w:rPr>
      </w:pPr>
      <w:r>
        <w:rPr>
          <w:noProof/>
        </w:rPr>
        <w:t>Gennemførelsen af reformerne skal være afsluttet senest den 30. september 2023.</w:t>
      </w:r>
    </w:p>
    <w:p>
      <w:pPr>
        <w:pStyle w:val="Text1"/>
        <w:ind w:left="709"/>
        <w:rPr>
          <w:b/>
          <w:bCs/>
          <w:noProof/>
          <w:szCs w:val="24"/>
          <w:u w:val="single"/>
        </w:rPr>
      </w:pPr>
      <w:r>
        <w:rPr>
          <w:b/>
          <w:bCs/>
          <w:noProof/>
          <w:szCs w:val="24"/>
          <w:u w:val="single"/>
        </w:rPr>
        <w:t xml:space="preserve">AC.2 </w:t>
      </w:r>
      <w:r>
        <w:rPr>
          <w:b/>
          <w:noProof/>
          <w:szCs w:val="24"/>
          <w:u w:val="single"/>
        </w:rPr>
        <w:tab/>
      </w:r>
      <w:r>
        <w:rPr>
          <w:b/>
          <w:bCs/>
          <w:noProof/>
          <w:szCs w:val="24"/>
          <w:u w:val="single"/>
        </w:rPr>
        <w:t>Milepæle, mål, indikatorer og tidsplan for overvågning og gennemførelse af den ikketilbagebetalingspligtige støtte</w:t>
      </w:r>
    </w:p>
    <w:p>
      <w:pPr>
        <w:spacing w:before="120" w:after="120" w:line="240" w:lineRule="auto"/>
        <w:rPr>
          <w:rFonts w:ascii="Times New Roman" w:hAnsi="Times New Roman" w:cs="Times New Roman"/>
          <w:noProof/>
          <w:color w:val="1F497D"/>
          <w:sz w:val="24"/>
          <w:szCs w:val="24"/>
        </w:rPr>
      </w:pPr>
      <w:r>
        <w:rPr>
          <w:rFonts w:ascii="Times New Roman" w:hAnsi="Times New Roman"/>
          <w:i/>
          <w:iCs/>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noProof/>
          <w:sz w:val="24"/>
          <w:szCs w:val="24"/>
        </w:rPr>
        <w:t>Startdatoen for alle indikatorer er den 1. februar 2020 , medmindre andet er angivet i beskrivelsen af foranstaltningen.</w:t>
      </w:r>
      <w:r>
        <w:rPr>
          <w:rFonts w:ascii="Times New Roman" w:hAnsi="Times New Roman"/>
          <w:i/>
          <w:iCs/>
          <w:noProof/>
          <w:color w:val="000000"/>
          <w:sz w:val="24"/>
          <w:szCs w:val="24"/>
        </w:rPr>
        <w:t xml:space="preserve"> Beløbene i tabellen omfatter ikke moms.</w:t>
      </w:r>
      <w:r>
        <w:rPr>
          <w:rFonts w:ascii="Times New Roman" w:hAnsi="Times New Roman"/>
          <w:noProof/>
          <w:color w:val="1F497D"/>
          <w:sz w:val="24"/>
          <w:szCs w:val="24"/>
        </w:rPr>
        <w:t xml:space="preserve"> </w:t>
      </w:r>
    </w:p>
    <w:p>
      <w:pPr>
        <w:pStyle w:val="Text1"/>
        <w:ind w:left="0"/>
        <w:rPr>
          <w:b/>
          <w:bCs/>
          <w:noProof/>
          <w:u w:val="single"/>
        </w:rPr>
      </w:pPr>
    </w:p>
    <w:p>
      <w:pPr>
        <w:pStyle w:val="Text1"/>
        <w:ind w:left="709"/>
        <w:rPr>
          <w:noProof/>
        </w:rPr>
        <w:sectPr>
          <w:headerReference w:type="even" r:id="rId355"/>
          <w:headerReference w:type="default" r:id="rId356"/>
          <w:footerReference w:type="even" r:id="rId357"/>
          <w:footerReference w:type="default" r:id="rId358"/>
          <w:headerReference w:type="first" r:id="rId359"/>
          <w:footerReference w:type="first" r:id="rId36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694"/>
        <w:gridCol w:w="992"/>
        <w:gridCol w:w="709"/>
        <w:gridCol w:w="567"/>
        <w:gridCol w:w="708"/>
        <w:gridCol w:w="567"/>
        <w:gridCol w:w="567"/>
        <w:gridCol w:w="6096"/>
      </w:tblGrid>
      <w:tr>
        <w:trPr>
          <w:trHeight w:val="309"/>
          <w:tblHeader/>
        </w:trPr>
        <w:tc>
          <w:tcPr>
            <w:tcW w:w="709"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694"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992"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1984" w:type="dxa"/>
            <w:gridSpan w:val="3"/>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1134" w:type="dxa"/>
            <w:gridSpan w:val="2"/>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6096"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694"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709"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567"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708"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567"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6096"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397</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Oprettelse af et permanent team i finansministeriet til aktiv overvågning af gennemførelsen af resultaterne af udgiftsanalyserne og godkendelse af bekendtgørelsen om udarbejdelse af den årlige budgetlov</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Bestemmelser i den lovgivning, der angiver dens ikrafttræden. Bekendtgørelse om udarbejdelse af den årlige budgetlov</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Ikrafttræden i) af oprettelsen i finansministeriet (i statssekretariatet for budget og udgifter) af et permanent team til aktiv overvågning af gennemførelsen af resultaterne af udgiftsanalyserne, som fremmer "følg eller forklar" -princippet og ii) finansministeriets tilsagn om at offentliggøre en årlig rapport med svar på alle anbefalinger fra AIReF om gennemgang af udgifterne. Bekendtgørelsen om udarbejdelse af den årlige budgetlov skal indeholde statens og de sociale sikringsmyndigheders forpligtelse til gennem budgetcyklussen at overvåge og følge op på anbefalingerne fra udgiftsanalyserne, herunder foranstaltninger, der er gennemført eller forventes gennemført det følgende år.</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398</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Fase III af udgiftsanalysen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Ministerrådet træffer afgørelse om iværksættelse af fase III af udgiftsanalysen i 2021. Den tredje fase af udgiftsgennemgangen skal omfatte mindst to områder: finansielle instrumenter og håndtering af kommunalt affald. Udgiftsrevisionen foretages af AIReF. </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399</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Oprettelse af en permanent enhed inden for AIReF med ansvar for at foretage de udgiftsanalyser, som regeringen har givet mandat til.</w:t>
            </w:r>
          </w:p>
        </w:tc>
        <w:tc>
          <w:tcPr>
            <w:tcW w:w="992"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Bestemmelser i RD'et med angivelse af dets ikrafttræden</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 xml:space="preserve">Ikrafttrædelsen af ændringen af kongeligt dekret 215/2014 af den organiske vedtægt for AIReF med oprettelsen af en permanent enhed med ansvar for at udføre de udgiftsanalyser, som regeringen har bestilt.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400</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Ministerrådets godkendelse af den nye cyklus (2022-26) af udgiftsanalyser, der skal bestilles AIReF.</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ministerrådets aftale om, at den træder i kraft</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8"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Den nye flerårige gennemgang af de offentlige udgifter skal dække perioden 2022-2026. For at planlægge anvendelsen korrekt og indsamle de nødvendige oplysninger for hver fase af udgiftsgennemgangen træffer Ministerrådet efter høring af AIReF afgørelse om og offentliggør som minimum de politikområder, de berørte offentlige enheder og de tidsperioder, der skal dækkes af analysen, samt relevante metodologiske aspekter. </w:t>
            </w:r>
          </w:p>
        </w:tc>
      </w:tr>
      <w:tr>
        <w:trPr>
          <w:trHeight w:val="390"/>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401</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T</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en overvågningsrapport</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på finansministeriets websted</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Årlig offentliggørelse af en overvågningsrapport. Rapporten skal indeholde en liste over de henstillinger, som AIReF har fremsat, og en detaljeret beskrivelse af de lovgivningsmæssige ændringer eller andre foranstaltninger, der er truffet for at afhjælpe dem. Hvis de udgiftscentre, som henstillingerne er rettet til, ikke er enige i dem, skal der vedlægges en passende begrundelse.</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402</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Fase III af udgiftsanalysen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rapporterne på AIReF's websted</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2023</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rapporterne fra tredje fase af AIReF's udgiftsgennemgang.</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403</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Rapport om tilpasning af budgettet til målene for bæredygtig udvikling</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som supplerende dokumentation i den årlige budgetlov</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den rapport, der ledsager forslaget til finanslov for 2022 om dens tilpasning til målene for bæredygtig udvikling.</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404</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C29.R3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Rapport om tilpasning af miljøbudgetteringen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som supplerende dokumentation i den årlige budgetlov</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Q3</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Rapport om grønt budget (grøn dimension), der ledsager den årlige finanslov for 2023. Rapporten skal kortlægge grønne udgifter i den årlige finanslov og udarbejdes i overensstemmelse med den metode og overvågningsramme, der er udformet med støtte fra EU's tekniske støtteinstrument.</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405</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C29.R3</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2694"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Rapport om tilpasning af miljøbudgetteringen</w:t>
            </w:r>
          </w:p>
        </w:tc>
        <w:tc>
          <w:tcPr>
            <w:tcW w:w="992"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Offentliggørelse som supplerende dokumentation i den årlige budgetlov</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Q3</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szCs w:val="18"/>
              </w:rPr>
              <w:t>2023</w:t>
            </w:r>
          </w:p>
        </w:tc>
        <w:tc>
          <w:tcPr>
            <w:tcW w:w="6096"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szCs w:val="18"/>
              </w:rPr>
              <w:t>Rapport om grønt budget (brun dimension), der ledsager den årlige finanslov for 2024. Rapporten skal kortlægge brune udgifter i den årlige finanslov og udarbejdes i overensstemmelse med den metode og overvågningsramme, der er udformet med støtte fra EU's tekniske støtteinstrument.</w:t>
            </w:r>
          </w:p>
        </w:tc>
      </w:tr>
    </w:tbl>
    <w:p>
      <w:pPr>
        <w:pStyle w:val="SectionTitle"/>
        <w:rPr>
          <w:noProof/>
          <w:sz w:val="2"/>
          <w:szCs w:val="2"/>
        </w:rPr>
        <w:sectPr>
          <w:headerReference w:type="even" r:id="rId361"/>
          <w:headerReference w:type="default" r:id="rId362"/>
          <w:footerReference w:type="even" r:id="rId363"/>
          <w:footerReference w:type="default" r:id="rId364"/>
          <w:headerReference w:type="first" r:id="rId365"/>
          <w:footerReference w:type="first" r:id="rId366"/>
          <w:pgSz w:w="16839" w:h="11907" w:orient="landscape"/>
          <w:pgMar w:top="1417" w:right="1134" w:bottom="1417" w:left="1134" w:header="709" w:footer="709" w:gutter="0"/>
          <w:cols w:space="720"/>
          <w:docGrid w:linePitch="360"/>
        </w:sectPr>
      </w:pPr>
    </w:p>
    <w:p>
      <w:pPr>
        <w:pStyle w:val="Heading1"/>
        <w:rPr>
          <w:noProof/>
        </w:rPr>
      </w:pPr>
      <w:r>
        <w:rPr>
          <w:noProof/>
        </w:rPr>
        <w:t>AD. KOMPONENT 30: Pensioner</w:t>
      </w:r>
    </w:p>
    <w:p>
      <w:pPr>
        <w:pStyle w:val="Text1"/>
        <w:ind w:left="0"/>
        <w:rPr>
          <w:rStyle w:val="IntenseEmphasis"/>
          <w:i w:val="0"/>
          <w:noProof/>
          <w:szCs w:val="24"/>
        </w:rPr>
      </w:pPr>
      <w:r>
        <w:rPr>
          <w:noProof/>
        </w:rPr>
        <w:t>Formålet med komponenten i den spanske genopretnings- og resiliensplan er at reformere pensionssystemet for i) at sikre systemets finansielle bæredygtighed på kort, mellemlang og lang sigt, ii) fastholde pensionernes købekraft, iii) bevare pensionernes tilstrækkelighed, iv) beskytte pensionisterne mod fattigdom og v) sikre lighed mellem generationerne. Reformforanstaltningerne bygger på den brede parlamentariske konsensus om vedtagelsen af henstillingerne i Toledopagten</w:t>
      </w:r>
      <w:r>
        <w:rPr>
          <w:rStyle w:val="FootnoteReference"/>
          <w:noProof/>
          <w:szCs w:val="24"/>
          <w:lang w:val="en-IE"/>
        </w:rPr>
        <w:footnoteReference w:id="104"/>
      </w:r>
      <w:r>
        <w:rPr>
          <w:noProof/>
        </w:rPr>
        <w:t>. Foranstaltningerne, som stadig er genstand for en social dialog, omfatter: i) adskillelse af finansieringskilder, ii) en revideret indekseringsmekanisme for pensionsydelser, iii) incitamenter til sen pensionering og lovgivningsmæssige ændringer vedrørende førtidspensionering, iv) ændringer af bidragsperioden med henblik på beregning af pensionen, v) en ny bidragsordning for selvstændige baseret på realindkomst og vi) udvikling af arbejdsmarkedsrelaterede pensionsordninger gennem kollektive forhandlinger.</w:t>
      </w:r>
    </w:p>
    <w:p>
      <w:pPr>
        <w:pStyle w:val="Text1"/>
        <w:ind w:left="0"/>
        <w:rPr>
          <w:rStyle w:val="IntenseEmphasis"/>
          <w:i w:val="0"/>
          <w:noProof/>
          <w:color w:val="000000" w:themeColor="text1"/>
        </w:rPr>
      </w:pPr>
      <w:r>
        <w:rPr>
          <w:rStyle w:val="IntenseEmphasis"/>
          <w:i w:val="0"/>
          <w:noProof/>
          <w:color w:val="000000" w:themeColor="text1"/>
        </w:rPr>
        <w:t xml:space="preserve">Komponenten vedrører de landespecifikke henstillinger om at bevare pensionssystemets holdbarhed (landespecifik henstilling nr. 1 fra 2019) og føre finanspolitikker, når de økonomiske forhold tillader det, med henblik på at opnå en forsigtig budgetstilling på mellemlang sigt og sikre gældsbæredygtighed, samtidig med at der tilskyndes til investeringer (landespecifik henstilling nr. 1 fra 2020). </w:t>
      </w:r>
    </w:p>
    <w:p>
      <w:pPr>
        <w:pStyle w:val="Text1"/>
        <w:ind w:left="0"/>
        <w:rPr>
          <w:noProof/>
          <w:color w:val="000000" w:themeColor="text1"/>
        </w:rPr>
      </w:pPr>
      <w:r>
        <w:rPr>
          <w:noProof/>
          <w:color w:val="000000" w:themeColor="text1"/>
        </w:rPr>
        <w:t>Det forventes, at ingen foranstaltning i denne komponent skader miljømålene i henhold til artikel 17 i forordning (EU) 2020/852 væsentligt, idet der tages hensyn til beskrivelsen af foranstaltningerne og de afhjælpende foranstaltninger, der er fastsat i genopretnings- og resiliensplanen i overensstemmelse med den tekniske vejledning om DNSH-princippet (2021/C58/01).</w:t>
      </w:r>
    </w:p>
    <w:p>
      <w:pPr>
        <w:pStyle w:val="Text1"/>
        <w:ind w:left="709"/>
        <w:rPr>
          <w:b/>
          <w:bCs/>
          <w:noProof/>
          <w:szCs w:val="24"/>
          <w:u w:val="single"/>
        </w:rPr>
      </w:pPr>
      <w:r>
        <w:rPr>
          <w:b/>
          <w:bCs/>
          <w:noProof/>
          <w:szCs w:val="24"/>
          <w:u w:val="single"/>
        </w:rPr>
        <w:t xml:space="preserve">AD.1 </w:t>
      </w:r>
      <w:r>
        <w:rPr>
          <w:b/>
          <w:noProof/>
          <w:szCs w:val="24"/>
          <w:u w:val="single"/>
        </w:rPr>
        <w:tab/>
      </w:r>
      <w:r>
        <w:rPr>
          <w:b/>
          <w:bCs/>
          <w:noProof/>
          <w:szCs w:val="24"/>
          <w:u w:val="single"/>
        </w:rPr>
        <w:t>Beskrivelse af reformer og investeringer, som finansieres med ikketilbagebetalingspligtig støtte</w:t>
      </w:r>
    </w:p>
    <w:p>
      <w:pPr>
        <w:pStyle w:val="Text1"/>
        <w:ind w:left="0"/>
        <w:rPr>
          <w:noProof/>
          <w:szCs w:val="24"/>
        </w:rPr>
      </w:pPr>
      <w:r>
        <w:rPr>
          <w:iCs/>
          <w:noProof/>
          <w:color w:val="000000" w:themeColor="text1"/>
          <w:szCs w:val="24"/>
          <w:u w:val="single"/>
        </w:rPr>
        <w:t>Reform 1 (C30.R1) — Opdeling af kilder til finansiering af social sikring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reformen er at ændre finansieringen af pensionssystemet i overensstemmelse med henstillingerne i Toledopagten, således at bidragspligtige ydelser finansieres via sociale bidrag, og ikke-bidragspligtige ydelser betales over statsbudgettet. Reformen består i, at staten overtager finansieringen af en række udgiftsposter, som i øjeblikket dækkes af sociale bidrag. Reformen forventes at styrke forbindelsen mellem bidrag og rettigheder og forbedre bidragssystemets finansielle bæredygtighed.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De udgiftsposter, der tidligere blev finansieret gennem sociale bidrag, men under denne reform, betragtes som ikke-bidragspligtige og finansieres over statsbudgettet, består af i) en del af ikke-bidragspligtige beskæftigelsespolitikker, ii) nedsættelse af socialsikringsbidraget til fremme af beskæftigelsen, iii) barsels- og børnepasningsydelser, iv) udgifter i forbindelse med førtidspensionering, v) moderskabstillæg, v) pensioner til familiemedlemmer, vi) støtteforanstaltninger ("implicitte tilskud") til særlige ordninger og vii) omkostningerne ved at supplere forskellene i pensionsbidragene.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Reformen er påbegyndt ved hjælp af bestemmelser i det almindelige statsbudget for 2021 og skal gennemføres gradvist gennem overførsler fra statsbudgettet til socialsikringsbudgettet.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Reformen gennemføres senest den 31. december 2023.</w:t>
      </w:r>
    </w:p>
    <w:p>
      <w:pPr>
        <w:pStyle w:val="Text1"/>
        <w:ind w:left="0"/>
        <w:rPr>
          <w:iCs/>
          <w:noProof/>
          <w:color w:val="000000" w:themeColor="text1"/>
          <w:szCs w:val="24"/>
          <w:u w:val="single"/>
        </w:rPr>
      </w:pPr>
      <w:r>
        <w:rPr>
          <w:noProof/>
        </w:rPr>
        <w:t>Reform 2 (C30.R2) — Vedligeholdelse af pensionernes købekraft, tilpasning af den faktiske pensionsalder til den lovbestemte pensionsalder, tilpasning af beregningsperioden for beregningen af pensionen til nye karrierer og erstatning af bæredygtighedsfaktoren med en mekanisme for lighed mellem generationerne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Formålet med reformen er i) at sikre pensionisternes købekraft, ii) øge erhvervsfrekvensen ved en alder, der ligger tæt på den lovbestemte pensionsalder, iii) udsætte pensioneringen, iv) styrke progressiviteten i bidragssystemet, v) tilpasse den nuværende forordning til usammenhængende karrierer og andre former for atypisk arbejde og vi) håndtere virkningerne af de kommende demografiske ændringer uden at forværre tilstrækkeligheden af nuværende og fremtidige pensioner. Reformen består af fire separate lovgivningsmæssige reformer i overensstemmelse med henstillingerne i Toledopagten, der skal vedtages i to trin. </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De reformer, der skal træde i kraft senest den 31. december 2021, er:</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En ny indekseringsmekanisme, der knytter pensionsydelser sammen med inflationen med det formål at sikre pensionisternes købekraft på en varig måde. </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Tilpasning af den faktiske pensionsalder til den lovbestemte pensionsalder med målene om at øge erhvervsfrekvensen ved en alder, der ligger tæt på den lovbestemte pensionsalder, og at udskyde pensioneringen. Foranstaltningen består af følgende lovgivningsmæssige ændringer:</w:t>
      </w:r>
    </w:p>
    <w:p>
      <w:pPr>
        <w:pStyle w:val="ListParagraph"/>
        <w:numPr>
          <w:ilvl w:val="1"/>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 At skabe nye incitamenter til at udskyde pensioneringen (øgede økonomiske incitamenter til at udskyde pensioneringen og fremme foreneligheden mellem arbejde og pension). Navnlig har arbejdstagere, der udskyder pensioneringen, ret til at vælge mellem: en forhøjelse af pensionsbeløbet for hvert fulde yderligere bidragsår, der godskrives mellem den lovbestemte pensionsalder og den faktiske pensionering et fast beløb og en kombination af de to førstnævnte.</w:t>
      </w:r>
    </w:p>
    <w:p>
      <w:pPr>
        <w:pStyle w:val="ListParagraph"/>
        <w:numPr>
          <w:ilvl w:val="1"/>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Styrke de negative incitamenter i reguleringen af førtidspensioneringselementer i den nuværende regulering af førtidspensionering. Nedsættelsessatsen for førtidspensionering ændres for at hæve den faktiske pensionsalder og fjerne den privilegerede behandling, der gives til pensionister med det maksimale bidragsgrundlag. Kollektive overenskomstbestemmelser, der tvinger adgang til pension ved den normale pensionsalder, skal forbydes.</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De reformer, der skal træde i kraft senest den 31. december 2022, er:</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Tilpasning af bidragsperioden med henblik på beregning af alderspension med det formål at styrke systemets progressivitet og tilpasse den nuværende forordning til uafbrudt karriere og andre former for atypisk arbejde. </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Erstatning af bæredygtighedsfaktoren med en mekanisme, der sikrer lighed mellem generationerne og budgetmæssig bæredygtighed. Formålet med foranstaltningen er at imødegå virkningerne af de kommende demografiske ændringer uden at forringe de nuværende og fremtidige pensioners tilstrækkelighed.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Reformen gennemføres senest den 31. december 2022.</w:t>
      </w:r>
    </w:p>
    <w:p>
      <w:pPr>
        <w:keepNext/>
        <w:spacing w:before="120" w:after="120" w:line="240" w:lineRule="auto"/>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Reform 3 (C30.R3) — Reform af ordningen for bidrag til social sikring for selvstændige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reformen er at ensrette behandlingen af arbejdstagere og selvstændige, øge bidragene til pensionssystemet og sikre, at selvstændige får en passende pensionsindkomst. Reformen skal ændre bidragsordningen for selvstændige erhvervsdrivende. Reformen skal basere selvstændige erhvervsdrivendes bidrag på realindkomsten i stedet for et selvvalgt bidragsgrundlag i overensstemmelse med henstillingerne i Toledopagten. Det endelige bidrag beregnes på grundlag af den selvstændige erhvervsindkomst fra skattemyndighederne. Reformen gennemføres gradvist gennem forhøjelser af minimumsbidragsgrundlaget for at muliggøre tilpasning til den nye ordning.</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Reformen gennemføres senest den 30. juni 2022.</w:t>
      </w:r>
    </w:p>
    <w:p>
      <w:pPr>
        <w:keepNext/>
        <w:spacing w:before="120" w:after="120" w:line="240" w:lineRule="auto"/>
        <w:rPr>
          <w:rFonts w:ascii="Times New Roman" w:hAnsi="Times New Roman" w:cs="Times New Roman"/>
          <w:noProof/>
          <w:sz w:val="24"/>
          <w:szCs w:val="24"/>
        </w:rPr>
      </w:pPr>
      <w:r>
        <w:rPr>
          <w:rFonts w:ascii="Times New Roman" w:hAnsi="Times New Roman"/>
          <w:noProof/>
          <w:color w:val="000000" w:themeColor="text1"/>
          <w:sz w:val="24"/>
          <w:szCs w:val="24"/>
          <w:u w:val="single"/>
        </w:rPr>
        <w:t>Reform 4 (C30.R4) — Strømlining af barselstillæg</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Formålet med reformen er at kompensere forældre, primært mødre, for udgifterne til fødsel og børnepasning med henblik på at mindske den kønsbestemte pensionsforskel. Reformen ændrer moderskabstillægget og er allerede vedtaget (kongeligt lovdekret nr. 3/2021 af 2. februar). Det tidligere moderskabstillæg, der har været gældende siden 2016, blev af Den Europæiske Unions Domstol anset for diskriminerende for mænd i sin dom af 12. december 2019. Det reformerede tillæg til barselsorlov forventes at være i overensstemmelse med domstolsafgørelsen og forebygge forskelsbehandling. Det nye tillæg er baseret på en analyse af bidragsforløb med henblik på at identificere, hvilke af de to forældre der var dårligst stillet i deres bidragsperiode som følge af et barns fødsel, forudsat at moderen i mangel af en særlig dårligt stillet forælder tildeles tillægget.</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Reformen gennemføres senest den 31. marts 2021.</w:t>
      </w:r>
    </w:p>
    <w:p>
      <w:pPr>
        <w:spacing w:before="120" w:after="120" w:line="240" w:lineRule="auto"/>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Reform 5 (C30.R5) — Revision af det nuværende supplerende pensionssystem</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Reformen skal revidere de lovgivningsmæssige rammer for det supplerende pensionssystem med det formål at øge dækningen af arbejdsmarkedsrelaterede pensionsordninger, der er aftalt gennem kollektive forhandlinger, helst på sektorniveau. Den nye retlige ramme for arbejdsmarkedsrelaterede pensionsordninger har til formål at dække arbejdstagere uden erhvervstilknyttede pensionsordninger i deres virksomheder og selvstændige, som i øjeblikket ikke har adgang til disse ordninger under anden søjle. </w:t>
      </w:r>
    </w:p>
    <w:p>
      <w:pPr>
        <w:spacing w:before="120" w:after="120" w:line="240" w:lineRule="auto"/>
        <w:rPr>
          <w:rFonts w:ascii="Times New Roman" w:hAnsi="Times New Roman" w:cs="Times New Roman"/>
          <w:noProof/>
          <w:sz w:val="24"/>
          <w:szCs w:val="24"/>
        </w:rPr>
      </w:pPr>
      <w:r>
        <w:rPr>
          <w:rFonts w:ascii="Times New Roman" w:hAnsi="Times New Roman"/>
          <w:noProof/>
          <w:sz w:val="24"/>
          <w:szCs w:val="24"/>
        </w:rPr>
        <w:t>Reformens specifikke foranstaltninger omfatter:</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 xml:space="preserve">Oprettelse af offentligt støttede fonde for arbejdsmarkedsrelaterede pensioner, der forvaltes af den private sektor. </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Incitamenter og lovgivningsmæssige ændringer med henblik på at øge dækningen af arbejdsmarkedsrelaterede pensionsordninger, der er aftalt gennem kollektive forhandlinger.</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Forenkling af pensionsordningernes procedurer.</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Lovgivningsmæssige ændringer for at fremme arbejdstagernes mobilitet mellem forskellige virksomheder og sektorer.</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Skatteincitamenter til fremme af deltagelse i kollektive arbejdsmarkedsordninger</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At begrænse forvaltningsomkostningerne for kollektive beskæftigelsesordninger til under 0,30 % af de forvaltede aktiver.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Gennemførelsen af reformen er påbegyndt gennem bestemmelser i det almindelige statsbudget for 2021, der flytter skatteincitamenter, der tidligere var knyttet til individuelle pensionsordninger, til fordel for de kollektive ordninger (foranstaltning v. ovenfor) og gennem offentlig fremme af arbejdsmarkedsrelaterede pensionsfonde (foranstaltning i. ovenfor).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Reformen gennemføres senest den 30. juni 2022.</w:t>
      </w:r>
    </w:p>
    <w:p>
      <w:pPr>
        <w:spacing w:before="120" w:after="120" w:line="240" w:lineRule="auto"/>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szCs w:val="24"/>
          <w:u w:val="single"/>
        </w:rPr>
        <w:t>Reform 6 (C30.R6) — justering af det maksimale bidragsgrundlag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Reformen skal øge det maksimale bidragsgrundlag for pensionssystemet og tilpasse maksimumspensionerne med henblik på at udvide bidragsgrundlaget, øge progressiviteten i pensionssystemet og øge de samlede indtægter. Foranstaltningerne er i overensstemmelse med henstillingerne i Toledopagten. Tilpasningen af systemet sker gradvist for at give stillerne mulighed for at tilpasse sig ændringerne. Maksimumspensioner og maksimale bidragsgrundlag forhøjes tilsvarende for at bevare systemets bidragspligtige karakter. Reformen gennemføres gradvist</w:t>
      </w:r>
      <w:r>
        <w:rPr>
          <w:rStyle w:val="normaltextrun"/>
          <w:rFonts w:ascii="Times New Roman" w:hAnsi="Times New Roman"/>
          <w:noProof/>
          <w:color w:val="000000"/>
          <w:sz w:val="24"/>
          <w:szCs w:val="24"/>
          <w:bdr w:val="none" w:sz="0" w:space="0" w:color="auto" w:frame="1"/>
        </w:rPr>
        <w:t xml:space="preserve"> </w:t>
      </w:r>
      <w:r>
        <w:rPr>
          <w:rFonts w:ascii="Times New Roman" w:hAnsi="Times New Roman"/>
          <w:noProof/>
          <w:sz w:val="24"/>
          <w:szCs w:val="24"/>
        </w:rPr>
        <w:t>over de næste tredive år.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Reformen træder i kraft senest den 31. december 2022. </w:t>
      </w:r>
    </w:p>
    <w:p>
      <w:pPr>
        <w:pStyle w:val="Text1"/>
        <w:ind w:left="709"/>
        <w:rPr>
          <w:b/>
          <w:noProof/>
          <w:szCs w:val="24"/>
          <w:u w:val="single"/>
        </w:rPr>
      </w:pPr>
      <w:r>
        <w:rPr>
          <w:b/>
          <w:bCs/>
          <w:noProof/>
          <w:szCs w:val="24"/>
          <w:u w:val="single"/>
        </w:rPr>
        <w:t xml:space="preserve">AD.2 </w:t>
      </w:r>
      <w:r>
        <w:rPr>
          <w:b/>
          <w:noProof/>
          <w:szCs w:val="24"/>
          <w:u w:val="single"/>
        </w:rPr>
        <w:tab/>
      </w:r>
      <w:r>
        <w:rPr>
          <w:b/>
          <w:bCs/>
          <w:noProof/>
          <w:szCs w:val="24"/>
          <w:u w:val="single"/>
        </w:rPr>
        <w:t>Milepæle, mål, indikatorer og tidsplan for overvågning og gennemførelse af den ikketilbagebetalingspligtige støtte</w:t>
      </w:r>
    </w:p>
    <w:p>
      <w:pPr>
        <w:spacing w:before="120" w:after="120" w:line="240" w:lineRule="auto"/>
        <w:jc w:val="both"/>
        <w:rPr>
          <w:rFonts w:ascii="Times New Roman" w:hAnsi="Times New Roman" w:cs="Times New Roman"/>
          <w:noProof/>
          <w:color w:val="1F497D"/>
          <w:sz w:val="24"/>
          <w:szCs w:val="24"/>
        </w:rPr>
      </w:pPr>
      <w:r>
        <w:rPr>
          <w:rFonts w:ascii="Times New Roman" w:hAnsi="Times New Roman"/>
          <w:i/>
          <w:iCs/>
          <w:noProof/>
          <w:color w:val="000000"/>
          <w:sz w:val="24"/>
          <w:szCs w:val="24"/>
        </w:rPr>
        <w:t>Se tabellen nedenfor.</w:t>
      </w:r>
      <w:r>
        <w:rPr>
          <w:rFonts w:ascii="Times New Roman" w:hAnsi="Times New Roman"/>
          <w:noProof/>
          <w:color w:val="1F497D"/>
          <w:sz w:val="24"/>
          <w:szCs w:val="24"/>
        </w:rPr>
        <w:t xml:space="preserve"> </w:t>
      </w:r>
      <w:r>
        <w:rPr>
          <w:rFonts w:ascii="Times New Roman" w:hAnsi="Times New Roman"/>
          <w:i/>
          <w:iCs/>
          <w:noProof/>
          <w:sz w:val="24"/>
          <w:szCs w:val="24"/>
        </w:rPr>
        <w:t>Startdatoen for alle indikatorer er den 1. februar 2020 , medmindre andet er angivet i beskrivelsen af foranstaltningen.</w:t>
      </w:r>
      <w:r>
        <w:rPr>
          <w:rFonts w:ascii="Times New Roman" w:hAnsi="Times New Roman"/>
          <w:i/>
          <w:iCs/>
          <w:noProof/>
          <w:color w:val="000000"/>
          <w:sz w:val="24"/>
          <w:szCs w:val="24"/>
        </w:rPr>
        <w:t xml:space="preserve"> Beløbene i tabellen omfatter ikke moms.</w:t>
      </w:r>
      <w:r>
        <w:rPr>
          <w:rFonts w:ascii="Times New Roman" w:hAnsi="Times New Roman"/>
          <w:noProof/>
          <w:color w:val="1F497D"/>
          <w:sz w:val="24"/>
          <w:szCs w:val="24"/>
        </w:rPr>
        <w:t xml:space="preserve"> </w:t>
      </w:r>
    </w:p>
    <w:p>
      <w:pPr>
        <w:pStyle w:val="Text1"/>
        <w:ind w:left="709"/>
        <w:rPr>
          <w:noProof/>
        </w:rPr>
        <w:sectPr>
          <w:headerReference w:type="even" r:id="rId367"/>
          <w:headerReference w:type="default" r:id="rId368"/>
          <w:footerReference w:type="even" r:id="rId369"/>
          <w:footerReference w:type="default" r:id="rId370"/>
          <w:headerReference w:type="first" r:id="rId371"/>
          <w:footerReference w:type="first" r:id="rId37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552"/>
        <w:gridCol w:w="992"/>
        <w:gridCol w:w="567"/>
        <w:gridCol w:w="425"/>
        <w:gridCol w:w="567"/>
        <w:gridCol w:w="426"/>
        <w:gridCol w:w="567"/>
        <w:gridCol w:w="6804"/>
      </w:tblGrid>
      <w:tr>
        <w:trPr>
          <w:trHeight w:val="309"/>
          <w:tblHeader/>
        </w:trPr>
        <w:tc>
          <w:tcPr>
            <w:tcW w:w="70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Nummer</w:t>
            </w:r>
          </w:p>
        </w:tc>
        <w:tc>
          <w:tcPr>
            <w:tcW w:w="851"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Foranstaltning</w:t>
            </w:r>
          </w:p>
        </w:tc>
        <w:tc>
          <w:tcPr>
            <w:tcW w:w="850"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Milepæl/mål</w:t>
            </w:r>
          </w:p>
        </w:tc>
        <w:tc>
          <w:tcPr>
            <w:tcW w:w="255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Betegnelse</w:t>
            </w:r>
          </w:p>
        </w:tc>
        <w:tc>
          <w:tcPr>
            <w:tcW w:w="99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Kvalitativ indikator for milepæle</w:t>
            </w:r>
          </w:p>
        </w:tc>
        <w:tc>
          <w:tcPr>
            <w:tcW w:w="1559" w:type="dxa"/>
            <w:gridSpan w:val="3"/>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Kvantitativ indikator for målet</w:t>
            </w:r>
          </w:p>
        </w:tc>
        <w:tc>
          <w:tcPr>
            <w:tcW w:w="993" w:type="dxa"/>
            <w:gridSpan w:val="2"/>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Tid</w:t>
            </w:r>
          </w:p>
        </w:tc>
        <w:tc>
          <w:tcPr>
            <w:tcW w:w="6804"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sz w:val="18"/>
                <w:szCs w:val="18"/>
              </w:rPr>
              <w:t>Beskrivelse af hver milepæl og hvert mål</w:t>
            </w:r>
          </w:p>
        </w:tc>
      </w:tr>
      <w:tr>
        <w:trPr>
          <w:trHeight w:val="309"/>
          <w:tblHeader/>
        </w:trPr>
        <w:tc>
          <w:tcPr>
            <w:tcW w:w="70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552"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567"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Enhed</w:t>
            </w:r>
          </w:p>
        </w:tc>
        <w:tc>
          <w:tcPr>
            <w:tcW w:w="425"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Reference</w:t>
            </w:r>
          </w:p>
        </w:tc>
        <w:tc>
          <w:tcPr>
            <w:tcW w:w="567"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Målsætning</w:t>
            </w:r>
          </w:p>
        </w:tc>
        <w:tc>
          <w:tcPr>
            <w:tcW w:w="426"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Q</w:t>
            </w:r>
          </w:p>
        </w:tc>
        <w:tc>
          <w:tcPr>
            <w:tcW w:w="567"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szCs w:val="18"/>
              </w:rPr>
              <w:t>År</w:t>
            </w:r>
          </w:p>
        </w:tc>
        <w:tc>
          <w:tcPr>
            <w:tcW w:w="6804"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lang w:val="en-IE"/>
              </w:rPr>
            </w:pP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406</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Adskillelse af finansieringen af socialsikringen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den lov, der angiver dens ikrafttræden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lov nr. 11/2020 af 30. december om det almindelige statsbudget for 2021 om adskillelse af finansieringskilderne til social sikring. Hvert år overfører staten et beløb, der svarer til de udgifter, der ikke er bidragspligtige, til socialsikringssystemet. Dette skal gøre det muligt at nedbringe underskuddet på de sociale sikringsordninger og overføre det til centraladministrationen, som har de nødvendige redskaber til at afhjælpe det. Den fjerner også tvivlen om solvensen i systemet, der forbedrer betingelserne for at tackle udfordringerne på mellemlang og lang sigt. Loven om statsbudgettet for 2021 indeholder et første og vigtigt skridt i denne retning.</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407</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Opretholdelse af pensionernes købekraft og tilpasning af den faktiske pensionsalder og den lovbestemte pensionsalder.</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lovgivningen, der angiver dens ikrafttræden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lovgivning i Den Europæiske Unions Tidende med henblik på: a) opretholdelse af pensioners købekraft: der vil blive udviklet en ny revalueringsmekanisme, der knytter pensioner til inflationen for at sikre pensionisternes købekraft på en permanent måde.  b) tilpasning af den faktiske pensionsalder og den lovbestemte pensionsalder: tilvejebringelse af incitamenter til at udskyde pensioneringen, herunder øgede økonomiske incitamenter og fremme af forening af arbejde og pension med henblik på at øge erhvervsfrekvensen ved en alder, der ligger tæt på den lovbestemte pensionsalder, og udskyde pensioneringen.</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408</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Tilpasning af beregningsperioden med henblik på beregning af alderspension </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lovgivningen, der angiver dens ikrafttræden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Ikrafttrædelsen af lovgivningen om tilpasning af beregningsperioden, hvorved beregningsperioden for beregningen af pensionen forlænges.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409</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Erstatning af bæredygtighedsfaktoren med en mekanisme for lige muligheder for alle generationer</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Bestemmelse i lovgivningen, der angiver dens ikrafttræden</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lovgivning om erstatning af den nuværende bæredygtighedsfaktor, der knytter pensioner til den forventede levetid, med en mekanisme, der sikrer lighed mellem generationerne og budgetmæssig bæredygtighed ved at tilpasse sig de demografiske ændringer.</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410</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Opdaterede fremskrivninger, der viser, hvordan de pensionsreformer, der blev gennemført i 2021 og 2022, sikrer finanspolitisk holdbarhed på lang sigt</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en rapport på webstedet for social sikring</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Offentliggørelse af ajourførte fremskrivninger, der viser, hvordan de pensionsreformer, der blev gennemført i 2021 og 2022, sikrer finanspolitisk holdbarhed på lang sigt, også under hensyntagen til virkningen af andre strukturreformer, såsom arbejdsmarkedsreformer.</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411</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Reform af ordningen for bidrag til social sikring for selvstændige erhvervsdrivende</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lovgivningen, der angiver dens ikrafttræden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lovgivningen om reform af ordningen for bidrag til social sikring for selvstændige erhvervsdrivende, hvorved bidragssystemet, der skal baseres på realindkomst, gradvist ændres.</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412</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C30.R4</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Strømlining af tillæggene til moderskab</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af RDL med angivelse af dens ikrafttræden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Q1</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2021</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kongeligt lovdekret nr. 3/2021 af 3. februar 2021 om forenkling af tillæggene til moderskab. For at overholde Domstolens dom af 12. december 2019 skal pensionstillæg strømlines og fokusere på at mindske den kønsbestemte forskel. Der indføres en fast godtgørelse for forældre, hvis arbejdsliv er blevet ændret umiddelbart efter forældreskabet.</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413</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C30.R5</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Revision af skattelettelser i forbindelse med det nuværende supplerende pensionssystem</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loven om ikrafttrædelse af afsluttende bestemmelse 11 og artikel 62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2020</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Ikrafttrædelsen af lov nr. 11/2020 af december 30 om det almindelige statsbudget for 2021 af gennemgangen af skattelettelser i forbindelse med det nuværende supplerende pensionssystem. Retten til skattelettelser overføres fra individuelle private pensionsordninger til arbejdsmarkedsrelaterede pensionsordninger på grundlag af kollektive overenskomster. De relevante bestemmelser i budgetloven for indførelsen af den nye ramme er den afsluttende bestemmelse 11 i LPGE og artikel 62.</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414</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C30.R5</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Revision af det nuværende supplerende pensionssystem</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lovgivningen, der angiver dens ikrafttræden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Ikrafttræden af lovgivning om revision af det nuværende supplerende pensionssystem for at fremme pensionsordninger gennem administrationens oprettelse af pensionsfonde, der er åbne for alle virksomheder og arbejdstagere.</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415</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C30.R6</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Justering af det maksimale bidragsgrundlag</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Bestemmelse i lovgivningen, der angiver dens ikrafttræden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szCs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szCs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szCs w:val="18"/>
              </w:rPr>
              <w:t>Ikrafttrædelse af lovgivning om tilpasning af det maksimale bidragsgrundlag: gradvist at øge systemets maksimale bidragsgrundlag og tilpasse maksimumspensionerne med henblik på at udvide bidragsgrundlaget og systemets progressivitet og øge de samlede indtægter.</w:t>
            </w:r>
          </w:p>
        </w:tc>
      </w:tr>
    </w:tbl>
    <w:p>
      <w:pPr>
        <w:pStyle w:val="Text1"/>
        <w:ind w:left="709"/>
        <w:rPr>
          <w:noProof/>
        </w:rPr>
        <w:sectPr>
          <w:headerReference w:type="even" r:id="rId373"/>
          <w:headerReference w:type="default" r:id="rId374"/>
          <w:footerReference w:type="even" r:id="rId375"/>
          <w:footerReference w:type="default" r:id="rId376"/>
          <w:headerReference w:type="first" r:id="rId377"/>
          <w:footerReference w:type="first" r:id="rId378"/>
          <w:pgSz w:w="16839" w:h="11907" w:orient="landscape"/>
          <w:pgMar w:top="1417" w:right="1134" w:bottom="1417" w:left="1134" w:header="709" w:footer="709" w:gutter="0"/>
          <w:cols w:space="720"/>
          <w:docGrid w:linePitch="360"/>
        </w:sectPr>
      </w:pPr>
    </w:p>
    <w:p>
      <w:pPr>
        <w:pStyle w:val="NumPar1"/>
        <w:rPr>
          <w:b/>
          <w:noProof/>
          <w:sz w:val="28"/>
          <w:szCs w:val="28"/>
        </w:rPr>
      </w:pPr>
      <w:r>
        <w:rPr>
          <w:b/>
          <w:noProof/>
          <w:sz w:val="28"/>
          <w:szCs w:val="28"/>
        </w:rPr>
        <w:t>Genopretnings- og resiliensplanens anslåede samlede omkostninger</w:t>
      </w:r>
    </w:p>
    <w:p>
      <w:pPr>
        <w:pStyle w:val="Text1"/>
        <w:rPr>
          <w:noProof/>
        </w:rPr>
      </w:pPr>
      <w:r>
        <w:rPr>
          <w:noProof/>
        </w:rPr>
        <w:t>De anslåede samlede omkostninger ved Spaniens genopretnings- og resiliensplan er på 69 528 050 000 EUR.</w:t>
      </w:r>
    </w:p>
    <w:p>
      <w:pPr>
        <w:pStyle w:val="Text1"/>
        <w:ind w:left="709"/>
        <w:rPr>
          <w:noProof/>
        </w:rPr>
      </w:pPr>
    </w:p>
    <w:p>
      <w:pPr>
        <w:rPr>
          <w:rFonts w:ascii="Times New Roman" w:hAnsi="Times New Roman" w:cs="Times New Roman"/>
          <w:b/>
          <w:bCs/>
          <w:noProof/>
          <w:sz w:val="24"/>
        </w:rPr>
      </w:pPr>
      <w:r>
        <w:rPr>
          <w:noProof/>
        </w:rPr>
        <w:br w:type="page"/>
      </w:r>
    </w:p>
    <w:p>
      <w:pPr>
        <w:spacing w:before="120" w:after="120" w:line="240" w:lineRule="auto"/>
        <w:jc w:val="both"/>
        <w:rPr>
          <w:rFonts w:ascii="Times New Roman" w:hAnsi="Times New Roman" w:cs="Times New Roman"/>
          <w:b/>
          <w:noProof/>
          <w:sz w:val="28"/>
          <w:szCs w:val="28"/>
        </w:rPr>
      </w:pPr>
      <w:r>
        <w:rPr>
          <w:rFonts w:ascii="Times New Roman" w:hAnsi="Times New Roman"/>
          <w:b/>
          <w:noProof/>
          <w:sz w:val="28"/>
          <w:szCs w:val="28"/>
        </w:rPr>
        <w:t>AFSNIT 2: FINANSIEL STØTTE</w:t>
      </w:r>
    </w:p>
    <w:p>
      <w:pPr>
        <w:pStyle w:val="NumPar1"/>
        <w:numPr>
          <w:ilvl w:val="0"/>
          <w:numId w:val="149"/>
        </w:numPr>
        <w:rPr>
          <w:b/>
          <w:noProof/>
          <w:sz w:val="28"/>
          <w:szCs w:val="28"/>
        </w:rPr>
      </w:pPr>
      <w:r>
        <w:rPr>
          <w:b/>
          <w:noProof/>
          <w:sz w:val="28"/>
          <w:szCs w:val="28"/>
        </w:rPr>
        <w:t xml:space="preserve">Finansielt bidrag </w:t>
      </w:r>
    </w:p>
    <w:p>
      <w:pPr>
        <w:spacing w:before="120" w:after="120" w:line="240" w:lineRule="auto"/>
        <w:ind w:left="850"/>
        <w:jc w:val="both"/>
        <w:rPr>
          <w:rFonts w:ascii="Times New Roman" w:hAnsi="Times New Roman" w:cs="Times New Roman"/>
          <w:noProof/>
          <w:sz w:val="24"/>
        </w:rPr>
      </w:pPr>
      <w:r>
        <w:rPr>
          <w:rFonts w:ascii="Times New Roman" w:hAnsi="Times New Roman"/>
          <w:noProof/>
          <w:sz w:val="24"/>
        </w:rPr>
        <w:t>De trancher, der er nævnt i artikel 2, stk. 2, tilrettelægges som følger:</w:t>
      </w:r>
    </w:p>
    <w:p>
      <w:pPr>
        <w:pStyle w:val="NumPar2"/>
        <w:rPr>
          <w:noProof/>
        </w:rPr>
      </w:pPr>
      <w:r>
        <w:rPr>
          <w:noProof/>
        </w:rPr>
        <w:t xml:space="preserve">Første tranche (ikketilbagebetalingspligtig støtte): </w:t>
      </w:r>
    </w:p>
    <w:tbl>
      <w:tblPr>
        <w:tblW w:w="9882" w:type="dxa"/>
        <w:tblInd w:w="113" w:type="dxa"/>
        <w:tblLook w:val="04A0" w:firstRow="1" w:lastRow="0" w:firstColumn="1" w:lastColumn="0" w:noHBand="0" w:noVBand="1"/>
      </w:tblPr>
      <w:tblGrid>
        <w:gridCol w:w="983"/>
        <w:gridCol w:w="1428"/>
        <w:gridCol w:w="1294"/>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Nummer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Relevant foranstaltning (reform eller investering)</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Milepæl/mål</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Betegnelse</w:t>
            </w:r>
          </w:p>
        </w:tc>
      </w:tr>
      <w:tr>
        <w:trPr>
          <w:trHeight w:val="253"/>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Bekendtgørelse TMA/178/2020 og kongeligt lovdekret 23/2020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Ikrafttrædelsen af den spanske dagsorden for byerne og den langsigtede renoveringsstrategi for energirehabilitering i byggesektoren i Spanien.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Ikrafttræden af kongeligt lovdekret 5/2020 om hasteforanstaltninger vedrørende landbrug og fødevarer og lov nr. 8/2020 om ændring af lov nr. 12/2013 om foranstaltninger til forbedring af fødevarekædens funktion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C4.R2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Vedtagelse af den nationale strategi for grøn infrastruktur, konnektivitet og økologisk genopretning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Strategi for bæredygtig, sikker og sammenbundet mobilitet (offentlig høring)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102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Ikrafttræden af kongeligt lovdekret nr. 23/2020 (energiforanstaltninger)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103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Ikrafttræden af kongeligt dekret 960/2020 (økonomisk ordning for vedvarende energi)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104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Ikrafttræden af kongeligt dekret 1183/2020 (tilslutning af vedvarende energikilder til elnettet)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 xml:space="preserve">Ikrafttræden af loven om klimaændringer og energiomstilling.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C8.R1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Godkendelse af den langsigtede dekarboniseringsstrategi ("ELP2050").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C8.R2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Ikrafttræden af planlægnings-, lovgivnings- og reguleringsreformer med henblik på at fremme udviklingen af energilagringsløsninger.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 xml:space="preserve">Køreplan for brint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 xml:space="preserve">Oprettelse af instituttet for Fonden for Retfærdig Omstilling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Ikrafttrædelse af en retsakt med henblik på at reducere antallet af midlertidigt ansatte i offentlige forvaltninger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Ikrafttræden af lov nr. 3/2020 om proceduremæssige og organisatoriske foranstaltninger på det retlige område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Ikrafttrædelse af kongeligt dekret nr. 937/2020 om regulering af Caja General de Depósitos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Ikrafttrædelse af kongeligt dekret om godkendelse af forskriften om gennemførelse af lov nr. 22/2015 af 20. juli om revision af regnskaber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Ikrafttræden af kongeligt lovdekret nr. 36/2020 om gennemførelse af planen for genopretning, omstilling og modstandsdygtighed</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Oprettelse af nye organer i centralregeringen til opfølgning af gennemførelsen, kontrollen og revisionen af planen.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Bekendtgørelse om fastlæggelse af procedurer og format for de oplysninger, der skal udveksles med henblik på overvågning af RRP'en og den regnskabsmæssige gennemførelse af udgifterne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Integreret informationssystem for genopretnings- og resiliensfaciliteten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Spansk strategi for den cirkulære økonomi (EEEC)</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Plan for at sætte skub i bilindustriens værdikæde hen imod bæredygtig og forbundet mobilitet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199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Digitaliseringsplan for SMV'er 2021-2025</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214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Plan for fremme af turistsektoren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215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C14.R1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szCs w:val="18"/>
              </w:rPr>
              <w:t>Lancering af webstedet "DATAESTUR", der indsamler data om turisme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230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2025-planen for det digitale Spanien og strategien for fremme af 5G-teknologi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Frigørelse af 700 MHz-frekvensbåndet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National strategi for kunstig intelligens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Offentliggørelse af den spanske strategi for videnskab, teknologi og innovation 2021-2027</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Ikrafttrædelsen af det kongelige dekret om reorganisering af offentlige forskningsinstitutioner.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C19.R1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Ministerrådets godkendelse af den nationale digitale kompetenceplan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295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Plan for modernisering af erhvervsuddannelserne og tilhørende kongelige lovtekster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Ikrafttrædelse af den organiske lov om uddannelse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C22.R5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Ikrafttræden af kongeligt lovdekret nr. 20/2020 af 29. maj om godkendelse af den nødvendige mindsteindkomst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Ikrafttrædelse af to kongelige lovdekreter, der regulerer fjernarbejde i den private sektor og i den offentlige forvaltning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330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C23.R2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Ikrafttrædelse af to vedtægter om lige løn til kvinder og mænd og om ligestillingsplaner og deres registrering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 xml:space="preserve">Handlingsplan for bekæmpelse af ungdomsarbejdsløshed træder i kraft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Plan "Spanien, det audiovisuelle knudepunkt i Europa"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Finanspolitiske foranstaltninger, der blev vedtaget i 2020 og 2021 for at afbøde virkningerne af covid-19-pandemien.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Finansministeren udnævner ekspertudvalget.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Skat på digitale tjenester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Afgift på finansielle transaktioner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Ændringer af personlig indkomstskat og formueskat i 2021</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Ændringer af selskabsskat i 2021</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C28.R9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Ændringer af indirekte skatter i 2021</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Oprettelse af et permanent team i finansministeriet til aktiv overvågning af gennemførelsen af resultaterne af udgiftsanalyserne og godkendelse af bekendtgørelsen om udarbejdelse af den årlige budgetlov</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Fase III af udgiftsanalysen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399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Oprettelse af en permanent enhed inden for AIReF med ansvar for at foretage de udgiftsanalyser, som regeringen har givet mandat til.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406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C30.R1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Adskillelse af finansieringen af socialsikringen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412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C30.R4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Strømlining af tillæggene til moderskab</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413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C30.R5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szCs w:val="18"/>
              </w:rPr>
              <w:t>Revision af skattelettelser i forbindelse med det nuværende supplerende pensionssystem</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sz w:val="18"/>
                <w:szCs w:val="18"/>
                <w:lang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sz w:val="18"/>
                <w:szCs w:val="18"/>
                <w:lang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Tranche (beløb)</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11 494 252 874 EUR </w:t>
            </w:r>
          </w:p>
        </w:tc>
      </w:tr>
    </w:tbl>
    <w:p>
      <w:pPr>
        <w:pStyle w:val="Text1"/>
        <w:rPr>
          <w:noProof/>
          <w:lang w:val="en-IE"/>
        </w:rPr>
      </w:pPr>
    </w:p>
    <w:p>
      <w:pPr>
        <w:pStyle w:val="NumPar2"/>
        <w:keepNext/>
        <w:rPr>
          <w:noProof/>
        </w:rPr>
      </w:pPr>
      <w:r>
        <w:rPr>
          <w:noProof/>
        </w:rPr>
        <w:t xml:space="preserve">Anden tranche (ikketilbagebetalingspligtig støtte): </w:t>
      </w:r>
    </w:p>
    <w:tbl>
      <w:tblPr>
        <w:tblW w:w="9882" w:type="dxa"/>
        <w:tblInd w:w="113" w:type="dxa"/>
        <w:tblLook w:val="04A0" w:firstRow="1" w:lastRow="0" w:firstColumn="1" w:lastColumn="0" w:noHBand="0" w:noVBand="1"/>
      </w:tblPr>
      <w:tblGrid>
        <w:gridCol w:w="983"/>
        <w:gridCol w:w="1428"/>
        <w:gridCol w:w="1294"/>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Nummer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Relevant foranstaltning (reform eller investering)</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Milepæl/mål</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Betegnelse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24</w:t>
            </w:r>
          </w:p>
        </w:tc>
        <w:tc>
          <w:tcPr>
            <w:tcW w:w="1239"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C2.R5</w:t>
            </w:r>
          </w:p>
        </w:tc>
        <w:tc>
          <w:tcPr>
            <w:tcW w:w="1230"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kongelig anordning om renoveringskontorer ("one-stop shops")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26</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det kongelige dekret om de lovgivningsmæssige rammer for gennemførelsen af fornyelsesprogrammet og kongeligt lovdekret om indkomstskatteincitamenter til støtte for programmet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C2.I2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Ikrafttræden af det kongelige dekret om fastlæggelse af de lovgivningsmæssige rammer for gennemførelsen af programmet for energieffektive sociale lejeboliger, der opfylder energieffektive kriterier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den anden ændring af lov nr. 12/2013 om foranstaltninger til forbedring af fødevarekædens funktion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den kontraktmæssige aftale mellem ministeriet for landbrug, fiskeri og fødevarer og SEIASA om forbedring og bæredygtighed af kunstvandede områder (fase 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Aftaler med offentlige forskningsorganer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 af ændringerne af forordningen om hydrologisk planlægning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Strategi for bæredygtig, sikker og sammenbundet mobilitet (godkendelse)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National strategi for egetforbrug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Køreplan for offshorevindenergi og anden havenergi.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Uddannelsesprogram for "retfærdig omstilling" og ydelse af støtte til økonomisk udvikling i områder med retfærdig omstilling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 af ministeriel afgørelse om oprettelse af det nationale evalueringskontor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lov om ændring af lov nr. 34/2006 om adgang til advokaterhvervet og de procesfuldmægtige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 af det kongelige dekret om gennemførelse af den statslige finansielle fond for turismekonkurrenceevne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Budgettildeling af planer til fremme af turismens bæredygtighed på destinationen.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Tildeling af 700 MHz-frekvensbåndet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retsakt om nedsættelse af 5G-frekvensafgifterne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Chartret om digitale rettigheder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Aftaler indgået af ministeriet for videnskab og innovation med de selvstyrende regioner om gennemførelse af "supplerende F &amp; D-planer".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C18.R1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Handlingsplan for primær sundhedspleje og pleje i nærmiljøet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Godkendelse af planen for investering i udstyr og fordeling af midler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C19.I2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Program til at udstyre offentlige og offentligt støttede skoler med digitale værktøjer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Ikrafttræden af de kongelige dekreter om universiteternes organisation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Ikrafttræden af kongeligt lovdekret om beskyttelse af arbejdstagere, der beskæftiger sig med distribution til tredjemand ved hjælp af teknologiske midler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Ændring af statutten for arbejdstagere for at støtte reduktionen af midlertidig beskæftigelse ved at strømline antallet af kontrakttyper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Kongeligt dekret om en ny spansk beskæftigelsesstrategi 2021-2024</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Ændring af statutten for arbejdstagere med henblik på at indføre en ordning for tilpasning til cykliske og strukturelle chok, herunder et system, der giver virksomhederne intern fleksibilitet og stabilitet for arbejdstagerne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Ændring af statutten for arbejdstagere for at forbedre retsreglerne for kollektive overenskomstforhandlinger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Ændring af statutten for arbejdstagere for at forbedre rettighederne for personer, der arbejder i underentreprenører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345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Godkendelse af den regionale tildeling af midler til territoriale projekter for sårbare grupper, iværksætteri og mikrovirksomheder.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Modernisering af skattevæsenet — Antal ansatte i skatteforvaltningen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Modernisering af skattevæsenet — Skatteundersøgelser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Levering af øget bistand til skatteydere — </w:t>
            </w:r>
            <w:r>
              <w:rPr>
                <w:rFonts w:ascii="Times New Roman" w:hAnsi="Times New Roman"/>
                <w:i/>
                <w:noProof/>
                <w:color w:val="000000"/>
                <w:sz w:val="18"/>
                <w:szCs w:val="18"/>
              </w:rPr>
              <w:t>Sociedades Web</w:t>
            </w:r>
            <w:r>
              <w:rPr>
                <w:rFonts w:ascii="Times New Roman" w:hAnsi="Times New Roman"/>
                <w:noProof/>
                <w:color w:val="000000"/>
                <w:sz w:val="18"/>
                <w:szCs w:val="18"/>
              </w:rPr>
              <w:t xml:space="preserve"> opgraderet og tilgængelig for mindst 1 666 123 skatteydere.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Levering af øget bistand til skatteydere — </w:t>
            </w:r>
            <w:r>
              <w:rPr>
                <w:rFonts w:ascii="Times New Roman" w:hAnsi="Times New Roman"/>
                <w:i/>
                <w:noProof/>
                <w:color w:val="000000"/>
                <w:sz w:val="18"/>
                <w:szCs w:val="18"/>
              </w:rPr>
              <w:t>Renta Web</w:t>
            </w:r>
            <w:r>
              <w:rPr>
                <w:rFonts w:ascii="Times New Roman" w:hAnsi="Times New Roman"/>
                <w:noProof/>
                <w:color w:val="000000"/>
                <w:sz w:val="18"/>
                <w:szCs w:val="18"/>
              </w:rPr>
              <w:t xml:space="preserve"> opgraderet og tilgængelig for mindst 1 779 505 skatteydere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International dimension — Registrerede udenlandske skatteydere identificeret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Samarbejdsmodel — Gennemsigtighedsrapporter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Afgifter på engangsplast og affald</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Ministerrådets godkendelse af den nye cyklus (2022-26) af udgiftsanalyser, der skal bestilles AIReF.</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Rapport om tilpasning af budgettet til målene for bæredygtig udvikling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Opretholdelse af pensionernes købekraft og tilpasning af den faktiske pensionsalder og den lovbestemte pensionsalder.</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Beløb tranche</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13 793 103 448 EUR </w:t>
            </w:r>
          </w:p>
        </w:tc>
      </w:tr>
    </w:tbl>
    <w:p>
      <w:pPr>
        <w:pStyle w:val="Text1"/>
        <w:rPr>
          <w:noProof/>
          <w:lang w:val="en-IE"/>
        </w:rPr>
      </w:pPr>
    </w:p>
    <w:p>
      <w:pPr>
        <w:pStyle w:val="NumPar2"/>
        <w:rPr>
          <w:noProof/>
        </w:rPr>
      </w:pPr>
      <w:r>
        <w:rPr>
          <w:noProof/>
        </w:rPr>
        <w:t xml:space="preserve">Tredje tranche (ikketilbagebetalingspligtig støtte): </w:t>
      </w:r>
    </w:p>
    <w:tbl>
      <w:tblPr>
        <w:tblW w:w="9882" w:type="dxa"/>
        <w:tblInd w:w="113" w:type="dxa"/>
        <w:tblLook w:val="04A0" w:firstRow="1" w:lastRow="0" w:firstColumn="1" w:lastColumn="0" w:noHBand="0" w:noVBand="1"/>
      </w:tblPr>
      <w:tblGrid>
        <w:gridCol w:w="983"/>
        <w:gridCol w:w="1428"/>
        <w:gridCol w:w="1294"/>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Nummer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Relevant foranstaltning (reform eller investering)</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Milepæl/mål</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Betegnelse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C1.R1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Ændringer af den tekniske bygningslov (TBC), forskriften om lavspændingselektronik (FLE) og godkendelse af et kongeligt dekret om regulering af offentlige opladningstjenester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45</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C3.R6</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kongelig anordning om forvaltning af nationale fangstpladser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Investeringsplan til fremme af landbrugets og husdyrs bæredygtighed og konkurrenceevne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Erhvervelse af akustiske sonder til forskning inden for fiskeri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C3.I11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Finansiering af investeringsprojekter i fiskerisektoren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Tildeling af kontrakter om specialfly til brandslukning og etablering af et system til overvågning og forvaltning af viden om biodiversitet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Pilotprojekt for energifællesskaber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Udbud om investeringsstøtte til innovativ eller værdiforøgende vedvarende kapacitet.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124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Iværksættelse af foranstaltninger til fremme af reguleringsmæssige sandkasser for at fremme forskning og innovation i elsektoren.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130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Ikrafttræden af forordningen om oprindelsesgarantier for gasser fra vedvarende energikilder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Ikrafttrædelsen af loven om reform af konkursloven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Ikrafttrædelsen af loven om telekommunikation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Ikrafttrædelsen af ændringen af lov nr. 14/2011 af 1. juni om videnskab, teknologi og innovation.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Støtte til F &amp; D &amp; I-projekter inden for bæredygtig bilindustri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C18.R2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Godkendelse af den spanske folkesundhedsstrategi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Ikrafttrædelsen af loven om det fælles integrerede erhvervsuddannelsessystem med det formål at modernisere systemet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kongeligt dekret om mindstekrav til undervisning i undervisningen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Det territoriale råds godkendelse af evalueringen af systemet for selvstændighed og pleje (SAAD).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 af lovgivningsreformen af modtagelsessystemet for migranter og ansøgere om international beskyttelse i Spanien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Forbedring af udnyttelsesgraden for mindsteindkomst og forøgelse af dens effektivitet gennem inklusionspolitikker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Digitalisering og fremme af vigtige kulturelle tjenesteydelser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den almindelige lov om audiovisuel kommunikation.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Projekter til fremme af ligestilling inden for sport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loven om bekæmpelse af skatteunddragelse og skattesvig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Analyse af registreringsafgiften og færdselsafgiften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reformen af afgiften på fluorholdige gasser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Offentliggørelse af en overvågningsrapport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Reform af ordningen for bidrag til social sikring for selvstændige erhvervsdrivende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Revision af det nuværende supplerende pensionssystem</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Tranche (beløb)</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6 896 551 724 EUR </w:t>
            </w:r>
          </w:p>
        </w:tc>
      </w:tr>
    </w:tbl>
    <w:p>
      <w:pPr>
        <w:pStyle w:val="Text1"/>
        <w:rPr>
          <w:noProof/>
          <w:lang w:val="en-IE"/>
        </w:rPr>
      </w:pPr>
    </w:p>
    <w:p>
      <w:pPr>
        <w:pStyle w:val="NumPar2"/>
        <w:rPr>
          <w:noProof/>
        </w:rPr>
      </w:pPr>
      <w:r>
        <w:rPr>
          <w:noProof/>
        </w:rPr>
        <w:t xml:space="preserve">Fjerde tranche (ikke-tilbagebetalingspligtig støtte) </w:t>
      </w:r>
    </w:p>
    <w:tbl>
      <w:tblPr>
        <w:tblW w:w="9882" w:type="dxa"/>
        <w:tblInd w:w="113" w:type="dxa"/>
        <w:tblLook w:val="04A0" w:firstRow="1" w:lastRow="0" w:firstColumn="1" w:lastColumn="0" w:noHBand="0" w:noVBand="1"/>
      </w:tblPr>
      <w:tblGrid>
        <w:gridCol w:w="983"/>
        <w:gridCol w:w="1428"/>
        <w:gridCol w:w="1294"/>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Nummer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Relevant foranstaltning (reform eller investering)</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Milepæl/mål</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Betegnelse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Budget brugt på indkøb eller tildelt af kommuner med henblik på at fremme bæredygtig mobilitet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Boliglovens ikrafttræden, herunder foranstaltninger til støtte for en forøgelse af boligudbuddet i overensstemmelse med næsten energineutrale bygninger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Ikrafttræden af lov om arkitekturens og bygningsmiljøets kvalitet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ændringerne af den horisontale ejendomslov for at lette finansieringen af rehabilitering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Handlingsplaner under den spanske dagsorden for byerne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de lovgivningsmæssige rammer for udvikling af et generelt register over bedste tilgængelige teknik på bedrifter til oplysning om forurenende stoffer og drivhusgasemissioner og reform af planlægningslovgivningen med kriterier for bedrifter på tværs af sektorer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Ikrafttrædelsen af det kongelige dekret om en forvaltningsmekanisme til forbedring af det spanske kunstvandingssystem.</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Offentliggørelse af den anden handlingsplan for digitaliseringsstrategien for landbrugsfødevaresektoren og landdistrikterne.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Gennemførelse af aftalen mellem ministeriet for landbrug, fiskeri og fødevarer og SEIASA om støtte til forbedring og bæredygtighed af kunstvandede områder (fase 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Indkøb af IKT-udstyr til havreserverne af interesse for fiskeri og kontrakter om erhvervelse af specialskibe til havreserverne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C3.I10</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Indkøb af lette patruljefartøjer og patruljefartøjer til åbent hav for at bekæmpe ulovligt, urapporteret og ureguleret fiskeri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Strategiplan for naturarv og biodiversitet og plan for netværket af beskyttede havområder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Godkendelse af den spanske skovstrategi og -støtteplan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Genopretning af flodbredders beskyttelse mod oversvømmelsesrisici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Genopretning af nedbrudte områder og økosystemer i mindst 50km kystlinje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Vejledende jernbanestrategi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TEN-T-hovednettet: tildeling af projekter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TEN-T-nettet — forskellige transportformer (jernbane og vej): delvis budgettildeling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Intermodal og logistisk infrastruktur: delvis budgettildeling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C6.I4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Støtte til programmet for bæredygtig og digital transport.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Støtte til miljømæssige, digitale og sociale infrastrukturprojekter.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Ikrafttrædelsen af ændringerne af lov nr. 40/2015 om styrkelse af det interterritoriale samarbejde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Lovens ikrafttræden med henblik på at styrke evalueringen af offentlige politikker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reformen af lov 7/1985 om lokale administrative ordninger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Ley de Función Pública de la Administración del Estado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loven om forbedring af de retslige procedurers effektivitet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National udbudsstrategi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Nye kommunikationsværktøjer og -aktiviteter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de retsakter, der indgår i politikpakken om cirkulær økonomi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loven om affald og forurenet jord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PERTE i området for elektriske køretøjer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PERTE-projekter i strategiske områder defineret i planen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Innovative projekter til omstilling af industrien med hensyn til energieffektivitet, bæredygtighed og digitalisering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loven om virksomhedsetablering og vækst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Loven om nystartede virksomheder træder i kraft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Budget afsat til programmet "Digital Toolkit"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Budget afsat til programmet for forandringsagenter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Budget afsat til støtteprogrammet for innovationsklynger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Budget afsat til DIHS-programmet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Budgettildeling af planer til fremme af turismens bæredygtighed på destinationen.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Tildeling af 26 GHz-båndet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loven om 5G-cybersikkerhed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245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Lancering af det nationale støtteprogram for cybersikkerhedsindustrien, programmet for innovation inden for global sikkerhed og relaterede tiltag.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Priser til projekter, der forbedrer nationale videnskabelige infrastrukturer og det spanske videnskabelige teknologi- og innovationssystems kapacitet, og bilaterale aftaler med internationale enheder om finansiering af europæiske og internationale infrastrukturprojekter.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Tildeling af nye private, tværfaglige, offentlige F &amp; D &amp; I-projekter, konceptprøver, internationale indkaldelser af konkurrerende forslag og avanceret F &amp; D, der er gearet til sociale udfordringer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C20.I3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Mindst 50 000 nye erhvervsuddannelsespladser sammenlignet med udgangen af 2020.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Offentliggørelse af "Plan for omstrukturering og forenkling af ordningen for ikke-bidragspligtige finansielle ydelser for statsforvaltningen"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ændringen af arbejdsmarkedsloven (kongeligt lovdekret nr. 3/2015)</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Ikrafttrædelsen af reformen af lov nr. 43/2006 for at forenkle og effektivisere ansættelsesincitamentsordningen under hensyntagen til henstillingerne fra AIReF</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C23.R10</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ændringen af kongeligt lovdekret nr. 8/2015 om reform af reguleringen af ikke-bidragspligtig arbejdsløshedsunderstøttelse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Ikrafttræden af kunstnerens vedtægter, sponsorering og skattebegunstigelsesordningen.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Ikrafttrædelsen af loven om sport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Foreløbig vurdering af virkningerne af loven om skatteunddragelse og skattesvig.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Rapport om tilpasning af miljøbudgetteringen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Tilpasning af beregningsperioden med henblik på beregning af alderspension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Erstatning af bæredygtighedsfaktoren med en mekanisme for lige muligheder for alle generationer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Opdaterede fremskrivninger, der viser, hvordan de pensionsreformer, der blev gennemført i 2021 og 2022, sikrer finanspolitisk holdbarhed på lang sigt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C30.R6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Justering af det maksimale bidragsgrundlag</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Tranche (beløb)</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11 494 252 874 EUR </w:t>
            </w:r>
          </w:p>
        </w:tc>
      </w:tr>
    </w:tbl>
    <w:p>
      <w:pPr>
        <w:pStyle w:val="Text1"/>
        <w:rPr>
          <w:noProof/>
          <w:lang w:val="en-IE"/>
        </w:rPr>
      </w:pPr>
    </w:p>
    <w:p>
      <w:pPr>
        <w:pStyle w:val="NumPar2"/>
        <w:rPr>
          <w:noProof/>
        </w:rPr>
      </w:pPr>
      <w:r>
        <w:rPr>
          <w:noProof/>
        </w:rPr>
        <w:t xml:space="preserve">Femte tranche (ikke-tilbagebetalingspligtig støtte) </w:t>
      </w:r>
    </w:p>
    <w:tbl>
      <w:tblPr>
        <w:tblW w:w="9882" w:type="dxa"/>
        <w:tblInd w:w="113" w:type="dxa"/>
        <w:tblLook w:val="04A0" w:firstRow="1" w:lastRow="0" w:firstColumn="1" w:lastColumn="0" w:noHBand="0" w:noVBand="1"/>
      </w:tblPr>
      <w:tblGrid>
        <w:gridCol w:w="983"/>
        <w:gridCol w:w="1428"/>
        <w:gridCol w:w="1294"/>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Nummer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Relevant foranstaltning (reform eller investering)</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Milepæl/mål</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Betegnelse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C1.I2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Tildeling af innovative projekter til fremme af elektromobilitet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21bis</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C2.R2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szCs w:val="18"/>
              </w:rPr>
              <w:t>Offentliggørelse af arbejdsgruppernes henstillinger om at gennemføre strategien for langsigtet renovering i Spanien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42</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C3.R3</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de normative rammer for bæredygtig ernæring i landbrugsjord.</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53</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C3.I5</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Underskrivelse af kontraktlige aftaler mellem ministeriet for landbrug, fiskeri og fødevarer og ENISA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Rehabilitering af tidligere mineområder (mindst 20 tidligere mineområder)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Foranstaltninger vedrørende bæredygtig skovforvaltning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Ikrafttrædelsen af ændringen af vandloven og den nye forordning, der erstatter kongeligt dekret 1620/2007</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Forbedret infrastruktur til vand- og spildevandsrensning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Afslutning af foranstaltninger under den nationale strategi for egetforbrug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Ikrafttrædelsen af de lovgivningsmæssige foranstaltninger, der er identificeret i kortet for offshorevindkraft og anden havenergi.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Finansiering af SMV'er for at styrke værdikæden for brint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138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 xml:space="preserve">Protokoller for retfærdig omstilling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C15.I5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Forbedring af grænseoverskridende digital infrastruktur: tildeling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267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C17.I6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Støtte til projekter til styrkelse af det nationale sundhedssystems strategiske kapacitet og internationalisering, projekter vedrørende strategien for præcisionsskræddersyet medicin og bidrag til et offentligt — privat investeringsinstrument i avancerede terapier.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Ikrafttræden af den organiske lov om universitetssystemet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loven om sociale tjenesteydelser og ministerielle bekendtgørelser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loven om familiemangfoldighed</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Projekter gennemført af ministeriet for sociale rettigheder og Agenda 2030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326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Projekter om forbedret tilgængelighed</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Revision og ændringer af skattefordele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388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Ikrafttrædelse af de reformer, der er afledt af udvalgets henstillinger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402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Fase III af udgiftsanalysen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val="en-IE"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val="en-IE"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Tranche (beløb)</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8 045 977 011 EUR </w:t>
            </w:r>
          </w:p>
        </w:tc>
      </w:tr>
    </w:tbl>
    <w:p>
      <w:pPr>
        <w:pStyle w:val="Text1"/>
        <w:rPr>
          <w:noProof/>
          <w:lang w:val="en-IE"/>
        </w:rPr>
      </w:pPr>
    </w:p>
    <w:p>
      <w:pPr>
        <w:pStyle w:val="NumPar2"/>
        <w:rPr>
          <w:noProof/>
        </w:rPr>
      </w:pPr>
      <w:r>
        <w:rPr>
          <w:noProof/>
        </w:rPr>
        <w:t xml:space="preserve">Sjette tranche (ikke-tilbagebetalingspligtig støtte) </w:t>
      </w:r>
    </w:p>
    <w:tbl>
      <w:tblPr>
        <w:tblW w:w="9882" w:type="dxa"/>
        <w:tblInd w:w="113" w:type="dxa"/>
        <w:tblLook w:val="04A0" w:firstRow="1" w:lastRow="0" w:firstColumn="1" w:lastColumn="0" w:noHBand="0" w:noVBand="1"/>
      </w:tblPr>
      <w:tblGrid>
        <w:gridCol w:w="983"/>
        <w:gridCol w:w="1428"/>
        <w:gridCol w:w="1294"/>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Nummer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Relevant foranstaltning (reform eller investering)</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Milepæl/mål</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Betegnelse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C1.R2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Vedtagelse af en lov om bæredygtig mobilitet og finansiering af transport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Budget brugt til indkøb eller tildelt af selvstyrende regioner på mindst 900 mio. EUR med henblik på at fremme bæredygtig mobilitet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Afsluttede projekter til fremme af bæredygtig mobilitet, herunder i byområder og storbyområder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Anvendte elektriske køretøjer og ladestandere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Korte strækninger (Cercanias) skinnestrækninger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Stationer forbedret med digitalisering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Forbedrede Cercanias-stationer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Færdiggørelse af renoveringsforanstaltninger for boliger med en gennemsnitlig reduktion af primærenergiefterspørgslen på mindst 30 % (231 000 aktioner i mindst 160 000 unikke boliger)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Tildeling af renoveringer for boliger og erhvervsbygninger med en gennemsnitlig reduktion af primærenergiefterspørgslen på mindst 30 %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Idriftsættelse af en dyrefacilitet, et laboratorium, der både har et biosikkerhedsniveau 3 og et nationalt plantesundhedslaboratorium</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Bedre rengørings- og desinfektionscentre og produktionscentre for planteformeringsmateriale med styrket uddannelse og biosikringssystemer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Små og mellemstore landbrugsfødevarevirksomheder, der modtager støtte til gennemførelse af innovative og digitale forretningsprojekter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Forsknings-, udviklings- og innovationsprojekter til støtte for fiskeri- og akvakultursektorens modstandsdygtighed og bæredygtighed</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Digital styrkelse af det spanske fiskeriinformationssystem (SIPE) og af fiskeriovervågningssystemet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Beskyttede havområder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C5.I2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Reduktion af vandmængden fra Aquifers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C5.I3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Ibrugtagning af værktøjer til forbedring af kendskabet til og anvendelsen af vandressourcer og til overvågning af regn og andre meteorologiske data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C5.I4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Genopretning af nedbrudte områder og økosystemer i mindst 100km kystlinje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Yderligere produktionskapacitet for vedvarende energi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Kumulativ yderligere kapacitet for vedvarende energi installeret i Spanien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Færdiggørelse af energirelaterede pilotprojekter i lokalsamfundene.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Fuldførelse af de foranstaltninger, der er fastlagt i køreplanen for biogas.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Nye projekter, teknologier eller anlæg i infrastruktur for vedvarende havenergi.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Kontoret for ren energi og intelligente projekter for øer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Ikrafttræden af lovgivningsmæssige foranstaltninger til integration af fleksibilitet og efterspørgselsreaktion.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Tildelte innovative oplagringsprojekter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Innovative digitaliseringsprojekter til eldistribution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Projekter til fremme af nye forretningsmodeller for energiomstillingen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Teknologisk udvikling i værdikæden for vedvarende brint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Vedvarende brintklynger (eller dale)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Brintpionerprojekter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Prøvningsfaciliteter eller nye produktionslinjer.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Hjælp til jobsøgning og omskoling af arbejdsløse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Investeringsprojekter med henblik på tilpasning af industrianlæg til grøn brint og energilagring.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Vedtægter for det nye offentlige evalueringsorgan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Sammenkobling af nationale platforme for offentlige indkøb</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Tildeling af projekter til støtte for den digitale omstilling af den centrale offentlige forvaltning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Interoperable platforme til udveksling af socialsikrings- og sundhedsdata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Retslig procedure, der skal gennemføres elektronisk</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Tildeling af projekter til støtte for den centrale offentlige forvaltnings projekter som drivkraft for digitalisering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Digitalisering af regionale og lokale enheder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Industrilovens ikrafttræden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projekter til støtte for gennemførelsen af affaldslovgivningen og fremme af den cirkulære økonomi i virksomheden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Iværksættere eller SMV'er, der drager fordel af foranstaltninger til fremme af iværksætterøkosystemet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Brugere, der drager fordel af foranstaltninger til fremme af iværksætterøkosystemet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Formidling, kommunikation og finansiering af andre aktioner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CERSA-garanti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SMV'er støttet af programmet "Skills for SME Growth"</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Iværksættere og SMV'er, der støttes af støtteprogrammet for industriel iværksætterkultur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SMV'er støttet af programmet Digital Toolkit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Budgetgennemførelse for personer, der deltager i ændringsprogrammet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Budgetgennemførelse af støtteprogrammet for virksomhedsklynger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Budgetgennemførelse af DIHS-programmet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SMV'er og erhvervssammenslutninger, der har modtaget støtte fra Teknologifonden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Budgettildeling af planer til fremme af turismens bæredygtighed på destinationen.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Udrulning af ultrahurtigt bredbånd: tildeling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Forbedring af konnektiviteten i centrale centre og sektorer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Konnektivitetskuponer til SMV'er og sårbare grupper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Tilpasning af telekommunikationsinfrastruktur i bygninger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Udbredelse af 5G-teknologi: tildeling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Styrkelse og forbedring af cybersikkerhedskapaciteten: Ressourcer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Styrkelse og forbedring af cybersikkerhedskapaciteten: Hjælpelinje for cybersikkerhed</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Støtte til projekter om kunstig intelligens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Midtvejsevalueringen af den spanske strategi for videnskab, teknologi og innovation 2021-2027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Innovative og teknologibaserede virksomheder har modtaget kapital under programmet Innvierte for at styrke deres forskningsaktiviteter på et tidligt tidspunkt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Energilagring F &amp; D-center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bCs/>
                <w:noProof/>
                <w:color w:val="000000"/>
                <w:sz w:val="18"/>
                <w:szCs w:val="18"/>
              </w:rPr>
            </w:pPr>
            <w:r>
              <w:rPr>
                <w:rFonts w:ascii="Times New Roman" w:hAnsi="Times New Roman"/>
                <w:noProof/>
                <w:color w:val="000000"/>
                <w:sz w:val="18"/>
                <w:szCs w:val="18"/>
              </w:rPr>
              <w:t>271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noProof/>
                <w:color w:val="000000"/>
                <w:sz w:val="18"/>
                <w:szCs w:val="18"/>
              </w:rPr>
              <w:t>C17.I9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noProof/>
                <w:color w:val="000000"/>
                <w:sz w:val="18"/>
                <w:szCs w:val="18"/>
              </w:rPr>
              <w:t xml:space="preserve">Støtte til F &amp; D &amp; innovationsprojekter på luft- og rumfartsområdet med fokus på lave emissioner og nulemissioner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Lov om lighed, universalitet og samhørighed i det nationale sundhedssystem</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Lov om rammelov for personale i sundhedsvæsenet.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Lov om garantier og rationel anvendelse af lægemidler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Installation/udskiftning/udvidelse af udstyr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Kampagner og aktioner på folkesundhedsområdet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Informationssystem for netværket for overvågning af folkesundheden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Sundhedspersoner, der er uddannet inden for rammerne af planer for efter- og videreuddannelse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VALTERMED-systemet og platformen for vurdering af sundhedsteknologier og fordele ved det nationale sundhedssystem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C18.I6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Sundhedsdatasøen er operationel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Uddannelse af borgerne i digitale færdigheder.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Budgetpris til fremme af første cyklus af førskoleundervisning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Legater og stipendier til postdoktorale studerende, assisterende professorer og forskere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Stigning i det digitale indeks for universiteter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Ikrafttrædelse af lovgivning om reorganisering og forenkling af ordningen for ikke-bidragspligtige økonomiske ydelser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Hjemmeplejetjenester i systemet for autonomi og pleje for afhængighed (SAAD)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Institutions-, institutions- og dagplejesteder.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Indførelse af specifikke teknologiske værktøjer til forbedring af informations- og forvaltningssystemerne for sociale tjenesteydelser.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Afslutning af projekter vedrørende teknologisk omstilling af sociale tjenester og modernisering af infrastruktur og tjenester i forbindelse med beskyttelse af boliger og plejefamilier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Centre for ofre for seksuel vold.</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C23.R11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Attester for færdiggørelse af tjenesteydelserne i henhold til kontrakterne om modernisering af den offentlige arbejdsformidling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Der er gennemført territoriale projekter for sårbare grupper, iværksætteri og mikrovirksomheder med deltagelse af mindst 39 000 arbejdstagere og 64 000 virksomheder.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Offentlige centre for vejledning, iværksætteri, støtte og innovation til nye job er fuldt operationelle.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Uddannelsesaktioner for de offentlige arbejdsformidlingers personale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Socialøkonomiske projekter afsluttet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Ikrafttræden af love og administrative bestemmelser til styrkelse af ophavsret og beslægtede rettigheder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Styrkelse af kulturindustriernes konkurrenceevne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Modernisering og bæredygtig forvaltning af infrastruktur til scenekunst og musik</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Bevarelse, restaurering og styrkelse af den spanske kulturarv</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E-bogslicenser til biblioteker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Bogkøb til biblioteker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Fremme af kulturelle og kreative initiativer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Afslutning af digitalisering og fremme af vigtige kulturelle tjenesteydelser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Afslutning af digitaliseringen af den bibliografiske arv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 Loven om film træder i kraft.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Støtte til SMV'er i den audiovisuelle sektor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Ikrafttrædelsen af loven om regulering af visse sportserhverv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National strategi til fremme af sport mod stillesiddende livsstil og fysisk inaktivitet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Digitalisering af sportssektoren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Sportsmedicinske centre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IT-projekter i højtydende centre og i antidopingadministrationen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foranstaltninger under den sociale idrætsplan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Levering af fire digitale støtteplatforme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405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C29.R3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Rapport om tilpasning af miljøbudgetteringen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Tranche (beløb)</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9 195 402 299 EUR </w:t>
            </w:r>
          </w:p>
        </w:tc>
      </w:tr>
    </w:tbl>
    <w:p>
      <w:pPr>
        <w:pStyle w:val="Text1"/>
        <w:rPr>
          <w:noProof/>
          <w:lang w:val="fr-BE"/>
        </w:rPr>
      </w:pPr>
    </w:p>
    <w:p>
      <w:pPr>
        <w:pStyle w:val="NumPar2"/>
        <w:rPr>
          <w:noProof/>
        </w:rPr>
      </w:pPr>
      <w:r>
        <w:rPr>
          <w:noProof/>
        </w:rPr>
        <w:t xml:space="preserve">Syvende tranche (ikke-tilbagebetalingspligtig støtte) </w:t>
      </w:r>
    </w:p>
    <w:tbl>
      <w:tblPr>
        <w:tblW w:w="9882" w:type="dxa"/>
        <w:tblInd w:w="113" w:type="dxa"/>
        <w:tblLook w:val="04A0" w:firstRow="1" w:lastRow="0" w:firstColumn="1" w:lastColumn="0" w:noHBand="0" w:noVBand="1"/>
      </w:tblPr>
      <w:tblGrid>
        <w:gridCol w:w="983"/>
        <w:gridCol w:w="1428"/>
        <w:gridCol w:w="1294"/>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Nummer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Relevant foranstaltning (reform eller investering)</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Milepæl/mål</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Betegnelse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Budget brugt på indkøb eller tildelt af kommuner med henblik på at fremme bæredygtig mobilitet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Støtte til projekter til forbedring af nye former for mobilitet på offentlige veje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Kumuleret budget for investeringer i jernbanelinjer over korte afstande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Afslutning af renoveringer af offentlige bygninger med en gennemsnitlig reduktion af primærenergiefterspørgslen på mindst 30 % (290 000 m 2 )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Foranstaltninger til genopretning af økosystemer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TEN-T-hovednettet: arbejdets forløb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TEN-T-net , der ikke er hovednettet: fremskridt inden for jernbanearbejde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Det fælles europæiske luftrum: tildelt projekt og fremskridt med hensyn til færdiggørelse af projekter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Digitalisering af Ministeriet for Transport, Mobilitet og dagsorden for byerne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Budgetgennemførelse for intermodal og logistisk infrastruktur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Bæredygtig og digital transport: påbegyndelse af bygningsarbejder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projekter til støtte for energiomstillingen på øer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Stabilisering af beskæftigelsen i den offentlige sektor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Renovering af køretøjer i den offentlige forvaltning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-Energirenovering af offentlige bygninger (140 000 m</w:t>
            </w:r>
            <w:r>
              <w:rPr>
                <w:rFonts w:ascii="Times New Roman" w:hAnsi="Times New Roman"/>
                <w:bCs/>
                <w:noProof/>
                <w:color w:val="000000"/>
                <w:sz w:val="18"/>
                <w:szCs w:val="18"/>
              </w:rPr>
              <w:t>2</w:t>
            </w:r>
            <w:r>
              <w:rPr>
                <w:rFonts w:ascii="Times New Roman" w:hAnsi="Times New Roman"/>
                <w:noProof/>
                <w:color w:val="000000"/>
                <w:sz w:val="18"/>
                <w:szCs w:val="18"/>
              </w:rPr>
              <w: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Budgetgennemførelse for PERTE og innovative projekter til omstilling af industrien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Færdiggørelse af programmet "Digital Toolkit"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Moderniseringsforanstaltninger på kommunale markeder eller i kommercielle områder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Modernisering af markedsinfrastrukturen i små kommuner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Virksomheder, der deltager i projekter til støtte for deres internationalisering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Færdiggørelse af planer til fremme af turismens bæredygtighed på bestemmelsesstedet.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Projekter rettet mod kommercielle områder i lokalområder med stor turisttilstrømning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Godkendelse af F &amp; I-projekter, hvor mindst 35 % er knyttet til den grønne og den digitale omstilling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Støtte til forskerkarrierer gennem stipendier og legater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Støtte til unge teknologibaserede virksomheder til at gennemføre deres forretningsplan.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aktioner til forbedring af den digitale kapacitet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aktioner vedrørende den digitale omstilling af uddannelse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Stipendieprogrammer for digitale talenter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Nye kompetenceenheder i det nationale katalog over erhvervsmæssige kvalifikationer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Modulopbygget uddannelse med henblik på opkvalificering og omskoling af beskæftigede og arbejdsløse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Centre for ekspertise og innovation inden for erhvervsuddannelse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Tosprogede erhvervsuddannelsesforløb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C20.I3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Nye erhvervsuddannelsespladser sammenlignet med udgangen af 2020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Materiale til at vejlede og støtte lærere i gennemførelsen af det nye pensum og uddannelse af fagfolk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Nye pladser i den første cyklus af førskoleundervisning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Støtte til skoler under PROA ± programmet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Ledsage- og vejledningsenheder for sårbare studerende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C22.I5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Kapaciteten i modtagelsessystemet for migranter og ansøgere om international beskyttelse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Evaluering med henblik på at vurdere mindsteindkomstordningers dækning, effektivitet og succes</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Tranche (beløb)</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3 995 348 232 EUR </w:t>
            </w:r>
          </w:p>
        </w:tc>
      </w:tr>
    </w:tbl>
    <w:p>
      <w:pPr>
        <w:pStyle w:val="Text1"/>
        <w:rPr>
          <w:noProof/>
          <w:lang w:val="en-IE"/>
        </w:rPr>
      </w:pPr>
    </w:p>
    <w:p>
      <w:pPr>
        <w:pStyle w:val="NumPar2"/>
        <w:keepNext/>
        <w:rPr>
          <w:noProof/>
        </w:rPr>
      </w:pPr>
      <w:r>
        <w:rPr>
          <w:noProof/>
        </w:rPr>
        <w:t xml:space="preserve">Ottende tranche (ikke-tilbagebetalingspligtig støtte) </w:t>
      </w:r>
    </w:p>
    <w:tbl>
      <w:tblPr>
        <w:tblW w:w="9882" w:type="dxa"/>
        <w:tblInd w:w="113" w:type="dxa"/>
        <w:tblLook w:val="04A0" w:firstRow="1" w:lastRow="0" w:firstColumn="1" w:lastColumn="0" w:noHBand="0" w:noVBand="1"/>
      </w:tblPr>
      <w:tblGrid>
        <w:gridCol w:w="983"/>
        <w:gridCol w:w="1428"/>
        <w:gridCol w:w="1294"/>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Nummer</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Relevant foranstaltning (reform eller investering)</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Milepæl/mål</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bCs/>
                <w:noProof/>
                <w:sz w:val="20"/>
                <w:szCs w:val="20"/>
              </w:rPr>
              <w:t>Betegnelse</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c>
          <w:tcPr>
            <w:tcW w:w="6485" w:type="dxa"/>
            <w:vMerge/>
            <w:tcBorders>
              <w:top w:val="single" w:sz="4" w:space="0" w:color="auto"/>
              <w:left w:val="nil"/>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lang w:val="en-IE" w:eastAsia="en-GB"/>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w:t>
            </w:r>
          </w:p>
        </w:tc>
        <w:tc>
          <w:tcPr>
            <w:tcW w:w="1239"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Afsluttede projekter til fremme af bæredygtig mobilitet, herunder i byområder og storbyområder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Statsveje i byområder forbedret for at fremme nye former for mobilitet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innovative projekter til fremme af elektromobilitet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Korte strækninger (</w:t>
            </w:r>
            <w:r>
              <w:rPr>
                <w:rFonts w:ascii="Times New Roman" w:hAnsi="Times New Roman"/>
                <w:bCs/>
                <w:i/>
                <w:noProof/>
                <w:color w:val="000000"/>
                <w:sz w:val="18"/>
                <w:szCs w:val="18"/>
              </w:rPr>
              <w:t>Cercanias</w:t>
            </w:r>
            <w:r>
              <w:rPr>
                <w:rFonts w:ascii="Times New Roman" w:hAnsi="Times New Roman"/>
                <w:bCs/>
                <w:noProof/>
                <w:color w:val="000000"/>
                <w:sz w:val="18"/>
                <w:szCs w:val="18"/>
              </w:rPr>
              <w:t xml:space="preserve">), der er opgraderet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Stationer forbedret med digitalisering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Forbedrede </w:t>
            </w:r>
            <w:r>
              <w:rPr>
                <w:rFonts w:ascii="Times New Roman" w:hAnsi="Times New Roman"/>
                <w:bCs/>
                <w:i/>
                <w:noProof/>
                <w:color w:val="000000"/>
                <w:sz w:val="18"/>
                <w:szCs w:val="18"/>
              </w:rPr>
              <w:t>Cercanias</w:t>
            </w:r>
            <w:r>
              <w:rPr>
                <w:rFonts w:ascii="Times New Roman" w:hAnsi="Times New Roman"/>
                <w:bCs/>
                <w:noProof/>
                <w:color w:val="000000"/>
                <w:sz w:val="18"/>
                <w:szCs w:val="18"/>
              </w:rPr>
              <w:t xml:space="preserve">-stationer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Hektar jord i områder eller kvarterer, der skal fornyes, med en gennemsnitlig reduktion af primærenergiefterspørgslen på mindst 30 %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Færdiggørelse af renoveringsforanstaltninger for boliger med en gennemsnitlig reduktion af primærenergiefterspørgslen på mindst 30 % (510 000 aktioner i mindst 355 000 unikke boliger)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Nye boliger, der er bygget til social leje eller til overkommelige priser i overensstemmelse med energieffektive kriterier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Færdiggørelse af renoveringer af boliger og erhvervsbygninger med en gennemsnitlig reduktion af primærenergiefterspørgslen på mindst 30 %.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Renovering af boliger i kommuner med mindre end 5 000 indbyggere afsluttet med en gennemsnitlig reduktion af primærenergiefterspørgslen på mindst 30 %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Projekter vedrørende ren energi i kommuner med under 5 000 indbyggere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Afslutning af renoveringer af offentlige bygninger med en gennemsnitlig reduktion af primærenergiefterspørgslen på mindst 30 % (1 230 000 m 2)</w:t>
            </w:r>
            <w:r>
              <w:rPr>
                <w:rFonts w:ascii="Times New Roman" w:hAnsi="Times New Roman"/>
                <w:bCs/>
                <w:noProof/>
                <w:color w:val="000000"/>
                <w:sz w:val="18"/>
                <w:szCs w:val="18"/>
              </w:rPr>
              <w:t xml:space="preserv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Modernisering af kunstvandingssystemer, der moderniseres med hensyn til vandbesparelser og energieffektivitet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Afsluttede projekter vedrørende præcisionslandbrug, energieffektivitet, cirkulær økonomi og anvendelse af vedvarende energi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Færdiggørelse af opdateringer og opgraderinger af brandslukningsfly og ibrugtagning af systemet til overvågning og forvaltning af viden om biodiversitet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Beskyttede havområder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Foranstaltninger til bevarelse af biodiversitet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rehabilitering af tidligere mineområder (mindst 30 tidligere mineområder)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TEN-T-hovednettet: færdiggørelse af bygge- og anlægsarbejder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Nyt eller opgraderet TEN-T-net, andet arbejde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Det fælles europæiske luftrum: færdiggørelse af projektet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Statsvejsnet tilpasset efter den nuværende lovgivning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Intermodal og logistisk infrastruktur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Afslutning af projekter vedrørende jernbanetilgængelighed og projekter vedrørende bæredygtighed i havne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C6.I4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Bæredygtig og digital transport: færdiggørelse af bygge- og anlægsarbejder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Yderligere produktionskapacitet for innovativ eller værdiforøget vedvarende energi.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Yderligere produktionskapacitet for vedvarende energi på øerne.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126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Innovative oplagringsprojekter er operationelle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Tilladt elektrolyserkapacitet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Rehabiliterede landområder i lukkede kulminer eller områder, der støder op til kraftværker.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projekter til støtte for den digitale omstilling af den centrale offentlige forvaltning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projekter til støtte for den centrale offentlige forvaltnings projekter som drivkraft for digitalisering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Tildeling af projekter til støtte for den digitale omstilling i de regionale og lokale offentlige forvaltninger og ministeriet for territorial politik og offentlig forvaltning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alle projekter til støtte for den digitale omstilling i de regionale og lokale offentlige forvaltninger og ministeriet for territorial politik og offentlig forvaltning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-Energirenovering i offentlige bygninger (1 000 000 m</w:t>
            </w:r>
            <w:r>
              <w:rPr>
                <w:rFonts w:ascii="Times New Roman" w:hAnsi="Times New Roman"/>
                <w:bCs/>
                <w:noProof/>
                <w:color w:val="000000"/>
                <w:sz w:val="18"/>
                <w:szCs w:val="18"/>
              </w:rPr>
              <w:t>2</w:t>
            </w:r>
            <w:r>
              <w:rPr>
                <w:rFonts w:ascii="Times New Roman" w:hAnsi="Times New Roman"/>
                <w:noProof/>
                <w:color w:val="000000"/>
                <w:sz w:val="18"/>
                <w:szCs w:val="18"/>
              </w:rPr>
              <w: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Personale fra den offentlige forvaltning uddannet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Sektorspecifikke og interoperable dataområder af høj værdi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Færdiggørelse af PERTEr og innovative projekter til omstilling af industrien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188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Forøgelse af særskilt indsamlet kommunalt affald</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SMV'er, der har afsluttet foranstaltninger med henblik på at øge deres anvendelse af digitale teknologier (undtagen digital værktøjskasse)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Afslutning af projekter til fremme af bæredygtigheden af turistdestinationer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Lancering af turismesektorens platform for intelligente destinationer.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Støttemodtagere til innovative teknologibaserede projekter vedrørende kunstig intelligens og andre støtteteknologier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Støttemodtagere i de ekstrainsulære regioner, der har afsluttet projekter for at forbedre deres konkurrenceevne og evne til at tilpasse sig ændringer på de internationale markeder.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Turismeprodukter, der leveres i overensstemmelse med turismestrategien.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Turistvirksomheder, der reducerer deres årlige affalds- eller energiforbrug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Projekter til retablering af historiske kulturarvssteder med nuværende eller fremtidig anvendelse af turisme.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Udrulning af ultrahurtigt bredbånd: Færdiggørelse af projektet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Forbedring af grænseoverskridende digital infrastruktur: færdiggørelse af projektet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Udbredelse af 5G-teknologi: Færdiggørelse af projektet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projekterne i det nationale støtteprogram for cybersikkerhedsindustrien, det globale innovationsprogram for sikkerhed og tilknyttede aktioner.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Adresserede landemissioner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253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Afslutning af projekter om kunstig intelligens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Afslutning af alle projekter til forbedring af den videnskabelige infrastruktur og kapaciteten i det spanske videnskabelige teknologi- og innovationssystem, herunder projekter vedrørende europæisk og international infrastruktur.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Supplering af stipendier og legater til støtte for den spanske forskeres karriere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Afslutning af alle projekter til styrkelse af forskning og innovation i sundhedssektoren.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C17.I9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Afslutning af F &amp; D &amp; innovationsprojekter på luft- og rumfartsområdet med fokus på lave emissioner og nulemissioner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Uddannelse af borgerne i digitale færdigheder.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Levering af opkoblede digitale enheder i offentlige og offentligt støttede skoler for at slå bro over den "digitale kløft" og udstyre mindst 240 000 klasseværelser</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Digital uddannelse med henblik på beskæftigelse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294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C19.I4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Uddannelse af IT-fagfolk</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 xml:space="preserve">Personer, der har afsluttet ungdomsprogrammerne.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Personer, der har afsluttet programmet "Plan Empleo Mujer, land- og byområder" og programmet for ofre for kønsbaseret vold og menneskehandel</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344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C23.I3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bCs/>
                <w:noProof/>
                <w:color w:val="000000"/>
                <w:sz w:val="18"/>
                <w:szCs w:val="18"/>
              </w:rPr>
              <w:t>Personer, der har afsluttet uddannelsesprogrammer med henblik på at erhverve færdigheder til digital, økologisk og produktiv omstilling</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bCs/>
                <w:noProof/>
                <w:color w:val="000000"/>
                <w:sz w:val="18"/>
                <w:szCs w:val="18"/>
              </w:rPr>
            </w:pPr>
            <w:r>
              <w:rPr>
                <w:rFonts w:ascii="Times New Roman" w:hAnsi="Times New Roman"/>
                <w:bCs/>
                <w:noProof/>
                <w:color w:val="000000"/>
                <w:sz w:val="18"/>
                <w:szCs w:val="18"/>
              </w:rPr>
              <w:t>373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bCs/>
                <w:noProof/>
                <w:color w:val="000000"/>
                <w:sz w:val="18"/>
                <w:szCs w:val="18"/>
              </w:rPr>
              <w:t>C26.I2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szCs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bCs/>
                <w:noProof/>
                <w:color w:val="000000"/>
                <w:sz w:val="18"/>
                <w:szCs w:val="18"/>
              </w:rPr>
              <w:t xml:space="preserve">Renovering og forbedring af tekniske centre for sports- og sportsfaciliteter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lang w:eastAsia="en-GB"/>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eastAsia="en-GB"/>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Tranche (beløb)</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szCs w:val="20"/>
              </w:rPr>
              <w:t xml:space="preserve">4 597 701 149 EUR </w:t>
            </w:r>
          </w:p>
        </w:tc>
      </w:tr>
    </w:tbl>
    <w:p>
      <w:pPr>
        <w:spacing w:before="120" w:after="120" w:line="240" w:lineRule="auto"/>
        <w:jc w:val="both"/>
        <w:rPr>
          <w:rFonts w:ascii="Times New Roman" w:hAnsi="Times New Roman" w:cs="Times New Roman"/>
          <w:noProof/>
          <w:sz w:val="24"/>
          <w:lang w:val="en-IE"/>
        </w:rPr>
      </w:pPr>
    </w:p>
    <w:p>
      <w:pPr>
        <w:rPr>
          <w:rFonts w:ascii="Times New Roman" w:hAnsi="Times New Roman" w:cs="Times New Roman"/>
          <w:b/>
          <w:bCs/>
          <w:noProof/>
          <w:sz w:val="28"/>
          <w:szCs w:val="28"/>
        </w:rPr>
      </w:pPr>
      <w:r>
        <w:rPr>
          <w:noProof/>
        </w:rPr>
        <w:br w:type="page"/>
      </w:r>
    </w:p>
    <w:p>
      <w:pPr>
        <w:spacing w:before="60" w:after="60" w:line="240" w:lineRule="auto"/>
        <w:rPr>
          <w:rFonts w:ascii="Times New Roman" w:hAnsi="Times New Roman" w:cs="Times New Roman"/>
          <w:b/>
          <w:noProof/>
          <w:sz w:val="28"/>
          <w:szCs w:val="28"/>
        </w:rPr>
      </w:pPr>
      <w:r>
        <w:rPr>
          <w:rFonts w:ascii="Times New Roman" w:hAnsi="Times New Roman"/>
          <w:b/>
          <w:noProof/>
          <w:sz w:val="28"/>
          <w:szCs w:val="28"/>
        </w:rPr>
        <w:t xml:space="preserve">AFSNIT 3: YDERLIGERE ORDNINGER </w:t>
      </w:r>
    </w:p>
    <w:p>
      <w:pPr>
        <w:pStyle w:val="NumPar1"/>
        <w:numPr>
          <w:ilvl w:val="0"/>
          <w:numId w:val="150"/>
        </w:numPr>
        <w:spacing w:before="60" w:after="60"/>
        <w:rPr>
          <w:b/>
          <w:noProof/>
        </w:rPr>
      </w:pPr>
      <w:r>
        <w:rPr>
          <w:b/>
          <w:noProof/>
          <w:sz w:val="28"/>
          <w:szCs w:val="28"/>
        </w:rPr>
        <w:t>Ordninger for overvågning og gennemførelse af genopretnings- og resiliensplanen</w:t>
      </w:r>
    </w:p>
    <w:p>
      <w:pPr>
        <w:spacing w:before="60" w:after="60" w:line="240" w:lineRule="auto"/>
        <w:jc w:val="both"/>
        <w:rPr>
          <w:rFonts w:ascii="Times New Roman" w:hAnsi="Times New Roman" w:cs="Times New Roman"/>
          <w:noProof/>
          <w:sz w:val="24"/>
        </w:rPr>
      </w:pPr>
      <w:r>
        <w:rPr>
          <w:rFonts w:ascii="Times New Roman" w:hAnsi="Times New Roman"/>
          <w:noProof/>
          <w:sz w:val="24"/>
        </w:rPr>
        <w:t>Overvågningen og gennemførelsen af Spaniens genopretnings- og resiliensplan er fastlagt i kongeligt lovdekret 36/2020 af 30. december om godkendelse af hasteforanstaltninger til modernisering af den offentlige forvaltning og gennemførelse af genopretningsplanen ("RDL 36/2020").</w:t>
      </w:r>
      <w:r>
        <w:rPr>
          <w:rFonts w:ascii="Times New Roman" w:hAnsi="Times New Roman"/>
          <w:noProof/>
          <w:sz w:val="24"/>
          <w:szCs w:val="24"/>
        </w:rPr>
        <w:t xml:space="preserve"> </w:t>
      </w:r>
      <w:r>
        <w:rPr>
          <w:rFonts w:ascii="Times New Roman" w:hAnsi="Times New Roman"/>
          <w:noProof/>
          <w:sz w:val="24"/>
        </w:rPr>
        <w:t>De skal finde sted i overensstemmelse med følgende bestemmelser:</w:t>
      </w:r>
    </w:p>
    <w:p>
      <w:pPr>
        <w:pStyle w:val="ListParagraph"/>
        <w:numPr>
          <w:ilvl w:val="0"/>
          <w:numId w:val="180"/>
        </w:numPr>
        <w:spacing w:before="60" w:after="60" w:line="240" w:lineRule="auto"/>
        <w:contextualSpacing w:val="0"/>
        <w:jc w:val="both"/>
        <w:rPr>
          <w:rFonts w:ascii="Times New Roman" w:hAnsi="Times New Roman" w:cs="Times New Roman"/>
          <w:iCs/>
          <w:noProof/>
          <w:sz w:val="24"/>
          <w:szCs w:val="24"/>
        </w:rPr>
      </w:pPr>
      <w:r>
        <w:rPr>
          <w:rFonts w:ascii="Times New Roman" w:hAnsi="Times New Roman"/>
          <w:noProof/>
          <w:sz w:val="24"/>
          <w:szCs w:val="24"/>
        </w:rPr>
        <w:t>Der er nedsat en kommission for genopretning, omstilling og modstandsdygtighed, som samler alle ministre med ansvar for planen, og som vil blive ledet af regeringspræsidenten. Kommissionen har fastlagt de generelle politiske retningslinjer for udarbejdelsen og gennemførelsen af genopretningsplanen og overvåger dens gennemførelse. Dets arbejde vil blive bistået af et teknisk udvalg bestående af 20 medlemmer af den offentlige forvaltning under forsæde af Generalsekretariatet for de europæiske fonde.</w:t>
      </w:r>
    </w:p>
    <w:p>
      <w:pPr>
        <w:pStyle w:val="ListParagraph"/>
        <w:numPr>
          <w:ilvl w:val="0"/>
          <w:numId w:val="180"/>
        </w:numPr>
        <w:spacing w:before="60" w:after="60" w:line="240" w:lineRule="auto"/>
        <w:contextualSpacing w:val="0"/>
        <w:jc w:val="both"/>
        <w:rPr>
          <w:rFonts w:ascii="Times New Roman" w:hAnsi="Times New Roman" w:cs="Times New Roman"/>
          <w:iCs/>
          <w:noProof/>
          <w:sz w:val="24"/>
          <w:szCs w:val="24"/>
        </w:rPr>
      </w:pPr>
      <w:r>
        <w:rPr>
          <w:rFonts w:ascii="Times New Roman" w:hAnsi="Times New Roman"/>
          <w:noProof/>
          <w:sz w:val="24"/>
          <w:szCs w:val="24"/>
        </w:rPr>
        <w:t>Et nyoprettet generalsekretariat for europæiske fonde under finansministeriet vil være den ansvarlige myndighed for planen over for Europa-Kommissionen. Denne myndighed vil være afgørende for overvågningen af indgivelsen af betalingsanmodninger, som vil være baseret på opfyldelsen af delmål og mål.</w:t>
      </w:r>
    </w:p>
    <w:p>
      <w:pPr>
        <w:pStyle w:val="ListParagraph"/>
        <w:numPr>
          <w:ilvl w:val="0"/>
          <w:numId w:val="180"/>
        </w:numPr>
        <w:spacing w:before="60" w:after="60" w:line="240" w:lineRule="auto"/>
        <w:contextualSpacing w:val="0"/>
        <w:jc w:val="both"/>
        <w:rPr>
          <w:rFonts w:ascii="Times New Roman" w:hAnsi="Times New Roman" w:cs="Times New Roman"/>
          <w:iCs/>
          <w:noProof/>
          <w:sz w:val="24"/>
          <w:szCs w:val="24"/>
        </w:rPr>
      </w:pPr>
      <w:r>
        <w:rPr>
          <w:rFonts w:ascii="Times New Roman" w:hAnsi="Times New Roman"/>
          <w:bCs/>
          <w:iCs/>
          <w:noProof/>
          <w:sz w:val="24"/>
          <w:szCs w:val="24"/>
        </w:rPr>
        <w:t>Planen omfatter 416 milepæle og mål, hvoraf de fleste vedrører perioden 2021-2023. De foreslåede delmål og mål er klare og realistiske, og de foreslåede indikatorer er relevante, acceptable og robuste.</w:t>
      </w:r>
    </w:p>
    <w:p>
      <w:pPr>
        <w:pStyle w:val="ListParagraph"/>
        <w:numPr>
          <w:ilvl w:val="0"/>
          <w:numId w:val="180"/>
        </w:numPr>
        <w:spacing w:before="60" w:after="6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Det ministerium, der er ansvarligt for hver foranstaltning, vil være ansvarligt for at træffe foranstaltninger med henblik på at nå de tilhørende milepæle og mål i overensstemmelse med de budgetterede ressourcer, men Generalsekretariatet for de europæiske fonde vil være det organ, der udarbejder betalingsanmodninger til Europa-Kommissionen. Hver betalingsanmodning ledsages af en forvaltningserklæring baseret på rapporter fra de organer, der er ansvarlige for komponenterne. Desuden vil den kontrolansvarlige for statsforvaltningen </w:t>
      </w:r>
      <w:r>
        <w:rPr>
          <w:rFonts w:ascii="Times New Roman" w:hAnsi="Times New Roman"/>
          <w:i/>
          <w:noProof/>
          <w:sz w:val="24"/>
          <w:szCs w:val="24"/>
        </w:rPr>
        <w:t>(Intervención General de la Administración del Estado</w:t>
      </w:r>
      <w:r>
        <w:rPr>
          <w:rFonts w:ascii="Times New Roman" w:hAnsi="Times New Roman"/>
          <w:noProof/>
          <w:sz w:val="24"/>
          <w:szCs w:val="24"/>
        </w:rPr>
        <w:t xml:space="preserve"> — IGAE) foretage kontrol for at attestere opfyldelsen af delmål og mål samt de opnåede resultater. De midler, der afsættes til gennemførelsen af planen, vil blive medtaget i centralregeringens budget.</w:t>
      </w:r>
    </w:p>
    <w:p>
      <w:pPr>
        <w:pStyle w:val="ListParagraph"/>
        <w:numPr>
          <w:ilvl w:val="0"/>
          <w:numId w:val="180"/>
        </w:numPr>
        <w:spacing w:before="60" w:after="6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Der er indført ordninger med henblik på at inddrage centrale aktører i gennemførelsen af planen. Der oprettes en ny sektorkonference for planen med det formål at kanalisere samarbejdet mellem regioner, lokale enheder og centrale myndigheder for at gennemføre planen. Med hensyn til parlamentarisk kontrol fastsætter artikel 22 i kongeligt lovdekret nr. 36/2020, at regeringen hvert kvartal skal aflægge rapport om fremskridtene med genopretnings-, omdannelses- og resiliensplanen til Det Blandede Parlamentariske Udvalg for Den Europæiske Union.</w:t>
      </w:r>
    </w:p>
    <w:p>
      <w:pPr>
        <w:pStyle w:val="NumPar1"/>
        <w:numPr>
          <w:ilvl w:val="0"/>
          <w:numId w:val="147"/>
        </w:numPr>
        <w:spacing w:before="60" w:after="60"/>
        <w:rPr>
          <w:b/>
          <w:noProof/>
          <w:sz w:val="28"/>
          <w:szCs w:val="28"/>
        </w:rPr>
      </w:pPr>
      <w:r>
        <w:rPr>
          <w:b/>
          <w:noProof/>
          <w:sz w:val="28"/>
          <w:szCs w:val="28"/>
        </w:rPr>
        <w:t>Ordninger for Kommissionens fulde adgang til de underliggende data</w:t>
      </w:r>
    </w:p>
    <w:p>
      <w:pPr>
        <w:spacing w:before="60" w:after="60" w:line="240" w:lineRule="auto"/>
        <w:jc w:val="both"/>
        <w:rPr>
          <w:noProof/>
          <w:sz w:val="24"/>
          <w:szCs w:val="24"/>
        </w:rPr>
      </w:pPr>
      <w:r>
        <w:rPr>
          <w:rFonts w:ascii="Times New Roman" w:hAnsi="Times New Roman"/>
          <w:noProof/>
          <w:sz w:val="24"/>
          <w:szCs w:val="24"/>
        </w:rPr>
        <w:t>Generalsekretariatet for de europæiske fonde (finansministeriet) er som koordinator for Spaniens genopretnings- og resiliensplan ansvarlig for den overordnede gennemførelse af genopretnings- og resiliensplanerne, for at sikre koordinering med andre relevante myndigheder i landet (herunder sikring af sammenhæng i anvendelsen af andre EU-midler), for overvågning af fremskridt med hensyn til delmål og mål, for tilsyn med og sikring af gennemførelsen af kontrol- og revisionsforanstaltninger og for tilvejebringelse af al nødvendig rapportering og betalingsanmodninger og den ledsagende forvaltningserklæring. Generalsekretariatet for EU-fonde forventes at bygge på et IT-system, der gør det muligt for ministerierne og andre gennemførelses-, kontrol- og revisionsorganer at indkode alle relevante oplysninger, herunder rapportering af milepæle og mål og overvågningsindikatorer, kontrol- og revisionsrapporter og forvaltningsrapporter fra gennemførelsesorganerne, som forventes at danne grundlag for de forvaltningserklæringer, der skal ledsage betalingsanmodningerne. Systemet giver også mulighed for at registrere kvalitative finansielle oplysninger og andre data, f.eks. om endelige modtagere, kontrahenter, underkontrahenter og reelle ejere.</w:t>
      </w:r>
    </w:p>
    <w:p>
      <w:pPr>
        <w:spacing w:before="60" w:after="60" w:line="240" w:lineRule="auto"/>
        <w:jc w:val="both"/>
        <w:rPr>
          <w:rFonts w:ascii="Times New Roman" w:hAnsi="Times New Roman" w:cs="Times New Roman"/>
          <w:noProof/>
          <w:sz w:val="24"/>
          <w:szCs w:val="24"/>
        </w:rPr>
      </w:pPr>
      <w:r>
        <w:rPr>
          <w:rFonts w:ascii="Times New Roman" w:hAnsi="Times New Roman"/>
          <w:noProof/>
          <w:sz w:val="24"/>
          <w:szCs w:val="24"/>
        </w:rPr>
        <w:t xml:space="preserve">I overensstemmelse med artikel 24, stk. 2, i forordning (EU) 2021/241 forelægger Spanien efter afslutningen af de relevante aftalte delmål og mål i afsnit 2.1 i dette bilag Kommissionen en behørigt begrundet anmodning om betaling af det finansielle bidrag. Spanien sikrer, at Kommissionen efter anmodning har fuld adgang til de underliggende relevante data, der understøtter den behørige begrundelse for betalingsanmodningen, både til vurdering af betalingsanmodningen i overensstemmelse med artikel 24, stk. 3, i forordning (EU) 2021/241 og til revisions- og kontrolformål. </w:t>
      </w:r>
    </w:p>
    <w:p>
      <w:pPr>
        <w:spacing w:before="60" w:after="60" w:line="240" w:lineRule="auto"/>
        <w:jc w:val="both"/>
        <w:rPr>
          <w:rFonts w:ascii="Times New Roman" w:hAnsi="Times New Roman" w:cs="Times New Roman"/>
          <w:noProof/>
          <w:sz w:val="24"/>
          <w:szCs w:val="24"/>
        </w:rPr>
      </w:pPr>
    </w:p>
    <w:p>
      <w:pPr>
        <w:spacing w:after="360"/>
        <w:jc w:val="both"/>
        <w:rPr>
          <w:rFonts w:ascii="Times New Roman" w:hAnsi="Times New Roman" w:cs="Times New Roman"/>
          <w:noProof/>
          <w:sz w:val="24"/>
          <w:szCs w:val="24"/>
        </w:rPr>
      </w:pPr>
    </w:p>
    <w:sectPr>
      <w:headerReference w:type="even" r:id="rId379"/>
      <w:headerReference w:type="default" r:id="rId380"/>
      <w:footerReference w:type="even" r:id="rId381"/>
      <w:footerReference w:type="default" r:id="rId382"/>
      <w:headerReference w:type="first" r:id="rId383"/>
      <w:footerReference w:type="first" r:id="rId38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p/>
  </w:endnote>
  <w:endnote w:type="continuationSeparator" w:id="0">
    <w:p>
      <w:pPr>
        <w:spacing w:after="0" w:line="240" w:lineRule="auto"/>
      </w:pPr>
      <w:r>
        <w:continuationSeparator/>
      </w:r>
    </w:p>
    <w:p/>
  </w:endnote>
  <w:endnote w:type="continuationNotice" w:id="1">
    <w:p>
      <w:pPr>
        <w:spacing w:after="0" w:line="240" w:lineRule="auto"/>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136471"/>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165</w:t>
        </w:r>
        <w:r>
          <w:rPr>
            <w:sz w:val="20"/>
            <w:szCs w:val="20"/>
          </w:rPr>
          <w:fldChar w:fldCharType="end"/>
        </w:r>
      </w:p>
    </w:sdtContent>
  </w:sdt>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171</w:t>
    </w:r>
    <w:r>
      <w:rPr>
        <w:sz w:val="20"/>
        <w:szCs w:val="20"/>
      </w:rPr>
      <w:fldChar w:fldCharType="end"/>
    </w:r>
    <w:r>
      <w:rPr>
        <w:sz w:val="20"/>
        <w:szCs w:val="20"/>
      </w:rPr>
      <w:tab/>
    </w:r>
    <w:r>
      <w:rPr>
        <w:sz w:val="20"/>
        <w:szCs w:val="20"/>
      </w:rPr>
      <w:tab/>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747792"/>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177</w:t>
        </w:r>
        <w:r>
          <w:rPr>
            <w:sz w:val="20"/>
            <w:szCs w:val="20"/>
          </w:rPr>
          <w:fldChar w:fldCharType="end"/>
        </w:r>
      </w:p>
    </w:sdtContent>
  </w:sdt>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360681"/>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13</w:t>
        </w:r>
        <w:r>
          <w:rPr>
            <w:sz w:val="20"/>
            <w:szCs w:val="20"/>
          </w:rPr>
          <w:fldChar w:fldCharType="end"/>
        </w:r>
      </w:p>
    </w:sdtContent>
  </w:sdt>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180</w:t>
    </w:r>
    <w:r>
      <w:rPr>
        <w:sz w:val="20"/>
        <w:szCs w:val="20"/>
      </w:rPr>
      <w:fldChar w:fldCharType="end"/>
    </w:r>
    <w:r>
      <w:rPr>
        <w:sz w:val="20"/>
        <w:szCs w:val="20"/>
      </w:rPr>
      <w:tab/>
    </w:r>
    <w:r>
      <w:rPr>
        <w:sz w:val="20"/>
        <w:szCs w:val="20"/>
      </w:rPr>
      <w:tab/>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508906"/>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183</w:t>
        </w:r>
        <w:r>
          <w:rPr>
            <w:sz w:val="20"/>
            <w:szCs w:val="20"/>
          </w:rPr>
          <w:fldChar w:fldCharType="end"/>
        </w:r>
      </w:p>
    </w:sdtContent>
  </w:sdt>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185</w:t>
    </w:r>
    <w:r>
      <w:rPr>
        <w:sz w:val="20"/>
        <w:szCs w:val="20"/>
      </w:rPr>
      <w:fldChar w:fldCharType="end"/>
    </w:r>
    <w:r>
      <w:rPr>
        <w:sz w:val="20"/>
        <w:szCs w:val="20"/>
      </w:rPr>
      <w:tab/>
    </w:r>
    <w:r>
      <w:rPr>
        <w:sz w:val="20"/>
        <w:szCs w:val="20"/>
      </w:rPr>
      <w:tab/>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29217"/>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189</w:t>
        </w:r>
        <w:r>
          <w:rPr>
            <w:sz w:val="20"/>
            <w:szCs w:val="20"/>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rPr>
        <w:rFonts w:ascii="Arial" w:hAnsi="Arial"/>
        <w:b/>
        <w:sz w:val="48"/>
      </w:rPr>
      <w:tab/>
    </w:r>
    <w:r>
      <w:fldChar w:fldCharType="begin"/>
    </w:r>
    <w:r>
      <w:instrText xml:space="preserve"> PAGE  \* MERGEFORMAT </w:instrText>
    </w:r>
    <w:r>
      <w:fldChar w:fldCharType="separate"/>
    </w:r>
    <w:r>
      <w:rPr>
        <w:noProof/>
      </w:rPr>
      <w:t>191</w:t>
    </w:r>
    <w:r>
      <w:fldChar w:fldCharType="end"/>
    </w:r>
    <w:r>
      <w:tab/>
    </w:r>
    <w:r>
      <w:tab/>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05917"/>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196</w:t>
        </w:r>
        <w:r>
          <w:rPr>
            <w:sz w:val="20"/>
            <w:szCs w:val="20"/>
          </w:rPr>
          <w:fldChar w:fldCharType="end"/>
        </w:r>
      </w:p>
    </w:sdtContent>
  </w:sdt>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199</w:t>
    </w:r>
    <w:r>
      <w:rPr>
        <w:sz w:val="20"/>
        <w:szCs w:val="20"/>
      </w:rPr>
      <w:fldChar w:fldCharType="end"/>
    </w:r>
    <w:r>
      <w:rPr>
        <w:sz w:val="20"/>
        <w:szCs w:val="20"/>
      </w:rPr>
      <w:tab/>
    </w:r>
    <w:r>
      <w:rPr>
        <w:sz w:val="20"/>
        <w:szCs w:val="20"/>
      </w:rPr>
      <w:tab/>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64382"/>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202</w:t>
        </w:r>
        <w:r>
          <w:rPr>
            <w:sz w:val="20"/>
            <w:szCs w:val="20"/>
          </w:rPr>
          <w:fldChar w:fldCharType="end"/>
        </w:r>
      </w:p>
    </w:sdtContent>
  </w:sdt>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207</w:t>
    </w:r>
    <w:r>
      <w:rPr>
        <w:sz w:val="20"/>
        <w:szCs w:val="20"/>
      </w:rPr>
      <w:fldChar w:fldCharType="end"/>
    </w:r>
    <w:r>
      <w:rPr>
        <w:sz w:val="20"/>
        <w:szCs w:val="20"/>
      </w:rPr>
      <w:tab/>
    </w:r>
    <w:r>
      <w:rPr>
        <w:sz w:val="20"/>
        <w:szCs w:val="20"/>
      </w:rPr>
      <w:tab/>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839761"/>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216</w:t>
        </w:r>
        <w:r>
          <w:rPr>
            <w:sz w:val="20"/>
            <w:szCs w:val="20"/>
          </w:rPr>
          <w:fldChar w:fldCharType="end"/>
        </w:r>
      </w:p>
    </w:sdtContent>
  </w:sdt>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21</w:t>
    </w:r>
    <w:r>
      <w:rPr>
        <w:sz w:val="20"/>
        <w:szCs w:val="20"/>
      </w:rPr>
      <w:fldChar w:fldCharType="end"/>
    </w:r>
    <w:r>
      <w:rPr>
        <w:sz w:val="20"/>
        <w:szCs w:val="20"/>
      </w:rPr>
      <w:tab/>
    </w:r>
    <w:r>
      <w:rPr>
        <w:sz w:val="20"/>
        <w:szCs w:val="20"/>
      </w:rPr>
      <w:tab/>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222</w:t>
    </w:r>
    <w:r>
      <w:rPr>
        <w:sz w:val="20"/>
        <w:szCs w:val="20"/>
      </w:rPr>
      <w:fldChar w:fldCharType="end"/>
    </w:r>
    <w:r>
      <w:rPr>
        <w:sz w:val="20"/>
        <w:szCs w:val="20"/>
      </w:rPr>
      <w:tab/>
    </w:r>
    <w:r>
      <w:rPr>
        <w:sz w:val="20"/>
        <w:szCs w:val="20"/>
      </w:rPr>
      <w:tab/>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614336"/>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228</w:t>
        </w:r>
        <w:r>
          <w:rPr>
            <w:sz w:val="20"/>
            <w:szCs w:val="20"/>
          </w:rPr>
          <w:fldChar w:fldCharType="end"/>
        </w:r>
      </w:p>
    </w:sdtContent>
  </w:sdt>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6456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230</w:t>
        </w:r>
        <w:r>
          <w:fldChar w:fldCharType="end"/>
        </w:r>
      </w:p>
    </w:sdtContent>
  </w:sdt>
  <w:p>
    <w:pPr>
      <w:pStyle w:val="FooterLandscape"/>
      <w:rPr>
        <w:rFonts w:ascii="Arial" w:hAnsi="Arial" w:cs="Arial"/>
        <w:b/>
        <w:szCs w:val="24"/>
      </w:rPr>
    </w:pP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530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233</w:t>
        </w:r>
        <w:r>
          <w:fldChar w:fldCharType="end"/>
        </w:r>
      </w:p>
    </w:sdtContent>
  </w:sdt>
  <w:p>
    <w:pPr>
      <w:pStyle w:val="FooterLandscape"/>
      <w:rPr>
        <w:rFonts w:ascii="Arial" w:hAnsi="Arial" w:cs="Arial"/>
        <w:b/>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5515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234</w:t>
        </w:r>
        <w:r>
          <w:fldChar w:fldCharType="end"/>
        </w:r>
      </w:p>
    </w:sdtContent>
  </w:sdt>
  <w:p>
    <w:pPr>
      <w:pStyle w:val="FooterLandscape"/>
      <w:rPr>
        <w:rFonts w:ascii="Arial" w:hAnsi="Arial" w:cs="Arial"/>
        <w:b/>
        <w:szCs w:val="24"/>
      </w:rPr>
    </w:pP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97447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237</w:t>
        </w:r>
        <w:r>
          <w:fldChar w:fldCharType="end"/>
        </w:r>
      </w:p>
    </w:sdtContent>
  </w:sdt>
  <w:p>
    <w:pPr>
      <w:pStyle w:val="FooterLandscape"/>
      <w:rPr>
        <w:rFonts w:ascii="Arial" w:hAnsi="Arial" w:cs="Arial"/>
        <w:b/>
        <w:szCs w:val="24"/>
      </w:rPr>
    </w:pP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78308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240</w:t>
        </w:r>
        <w:r>
          <w:fldChar w:fldCharType="end"/>
        </w:r>
      </w:p>
    </w:sdtContent>
  </w:sdt>
  <w:p>
    <w:pPr>
      <w:pStyle w:val="Footer"/>
      <w:rPr>
        <w:rFonts w:ascii="Arial" w:hAnsi="Arial" w:cs="Arial"/>
        <w:b/>
        <w:szCs w:val="24"/>
      </w:rPr>
    </w:pP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8762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242</w:t>
        </w:r>
        <w:r>
          <w:fldChar w:fldCharType="end"/>
        </w:r>
      </w:p>
    </w:sdtContent>
  </w:sdt>
  <w:p>
    <w:pPr>
      <w:pStyle w:val="Footer"/>
      <w:rPr>
        <w:rFonts w:ascii="Arial" w:hAnsi="Arial" w:cs="Arial"/>
        <w:b/>
        <w:szCs w:val="24"/>
      </w:rPr>
    </w:pP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4546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244</w:t>
        </w:r>
        <w:r>
          <w:fldChar w:fldCharType="end"/>
        </w:r>
      </w:p>
    </w:sdtContent>
  </w:sdt>
  <w:p>
    <w:pPr>
      <w:pStyle w:val="Footer"/>
      <w:rPr>
        <w:rFonts w:ascii="Arial" w:hAnsi="Arial" w:cs="Arial"/>
        <w:b/>
        <w:szCs w:val="24"/>
      </w:rPr>
    </w:pP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27174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248</w:t>
        </w:r>
        <w:r>
          <w:fldChar w:fldCharType="end"/>
        </w:r>
      </w:p>
    </w:sdtContent>
  </w:sdt>
  <w:p>
    <w:pPr>
      <w:pStyle w:val="Footer"/>
      <w:rPr>
        <w:rFonts w:ascii="Arial" w:hAnsi="Arial" w:cs="Arial"/>
        <w:b/>
        <w:szCs w:val="24"/>
      </w:rPr>
    </w:pP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033638"/>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34</w:t>
        </w:r>
        <w:r>
          <w:rPr>
            <w:sz w:val="20"/>
            <w:szCs w:val="20"/>
          </w:rPr>
          <w:fldChar w:fldCharType="end"/>
        </w:r>
      </w:p>
    </w:sdtContent>
  </w:sdt>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01875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252</w:t>
        </w:r>
        <w:r>
          <w:fldChar w:fldCharType="end"/>
        </w:r>
      </w:p>
    </w:sdtContent>
  </w:sdt>
  <w:p>
    <w:pPr>
      <w:pStyle w:val="Footer"/>
      <w:rPr>
        <w:rFonts w:ascii="Arial" w:hAnsi="Arial" w:cs="Arial"/>
        <w:b/>
        <w:bCs/>
        <w:sz w:val="2"/>
        <w:szCs w:val="2"/>
      </w:rPr>
    </w:pP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10972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254</w:t>
        </w:r>
        <w:r>
          <w:fldChar w:fldCharType="end"/>
        </w:r>
      </w:p>
    </w:sdtContent>
  </w:sdt>
  <w:p>
    <w:pPr>
      <w:pStyle w:val="Footer"/>
      <w:rPr>
        <w:rFonts w:ascii="Arial" w:hAnsi="Arial" w:cs="Arial"/>
        <w:b/>
        <w:bCs/>
        <w:szCs w:val="24"/>
      </w:rPr>
    </w:pP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59429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257</w:t>
        </w:r>
        <w:r>
          <w:fldChar w:fldCharType="end"/>
        </w:r>
      </w:p>
    </w:sdtContent>
  </w:sdt>
  <w:p>
    <w:pPr>
      <w:pStyle w:val="Footer"/>
      <w:rPr>
        <w:rFonts w:ascii="Arial" w:hAnsi="Arial" w:cs="Arial"/>
        <w:b/>
        <w:szCs w:val="24"/>
      </w:rPr>
    </w:pP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65057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258</w:t>
        </w:r>
        <w:r>
          <w:fldChar w:fldCharType="end"/>
        </w:r>
      </w:p>
    </w:sdtContent>
  </w:sdt>
  <w:p>
    <w:pPr>
      <w:pStyle w:val="Footer"/>
      <w:rPr>
        <w:rFonts w:ascii="Arial" w:hAnsi="Arial" w:cs="Arial"/>
        <w:b/>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264</w:t>
    </w:r>
    <w:r>
      <w:rPr>
        <w:sz w:val="20"/>
        <w:szCs w:val="20"/>
      </w:rPr>
      <w:fldChar w:fldCharType="end"/>
    </w:r>
  </w:p>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282</w:t>
    </w:r>
    <w:r>
      <w:rPr>
        <w:sz w:val="20"/>
        <w:szCs w:val="20"/>
      </w:rPr>
      <w:fldChar w:fldCharType="end"/>
    </w:r>
  </w:p>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347752"/>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40</w:t>
        </w:r>
        <w:r>
          <w:rPr>
            <w:sz w:val="20"/>
            <w:szCs w:val="20"/>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02353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45</w:t>
        </w:r>
        <w: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6893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48</w:t>
        </w:r>
        <w: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49261"/>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52</w:t>
        </w:r>
        <w:r>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55</w:t>
    </w:r>
    <w:r>
      <w:rPr>
        <w:sz w:val="20"/>
        <w:szCs w:val="20"/>
      </w:rPr>
      <w:fldChar w:fldCharType="end"/>
    </w:r>
    <w:r>
      <w:rPr>
        <w:sz w:val="20"/>
        <w:szCs w:val="20"/>
      </w:rPr>
      <w:tab/>
    </w:r>
    <w:r>
      <w:rPr>
        <w:sz w:val="20"/>
        <w:szCs w:val="20"/>
      </w:rP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125478"/>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60</w:t>
        </w:r>
        <w:r>
          <w:rPr>
            <w:sz w:val="20"/>
            <w:szCs w:val="20"/>
          </w:rPr>
          <w:fldChar w:fldCharType="end"/>
        </w:r>
      </w:p>
    </w:sdtContent>
  </w:sdt>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68</w:t>
    </w:r>
    <w:r>
      <w:rPr>
        <w:sz w:val="20"/>
        <w:szCs w:val="20"/>
      </w:rPr>
      <w:fldChar w:fldCharType="end"/>
    </w:r>
    <w:r>
      <w:rPr>
        <w:sz w:val="20"/>
        <w:szCs w:val="20"/>
      </w:rPr>
      <w:tab/>
    </w:r>
    <w:r>
      <w:rPr>
        <w:sz w:val="20"/>
        <w:szCs w:val="20"/>
      </w:rP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00005"/>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72</w:t>
        </w:r>
        <w:r>
          <w:rPr>
            <w:sz w:val="20"/>
            <w:szCs w:val="20"/>
          </w:rPr>
          <w:fldChar w:fldCharType="end"/>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ind w:left="0"/>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75</w:t>
    </w:r>
    <w:r>
      <w:rPr>
        <w:sz w:val="20"/>
        <w:szCs w:val="20"/>
      </w:rPr>
      <w:fldChar w:fldCharType="end"/>
    </w:r>
    <w:r>
      <w:rPr>
        <w:sz w:val="20"/>
        <w:szCs w:val="20"/>
      </w:rPr>
      <w:tab/>
    </w:r>
    <w:r>
      <w:rPr>
        <w:sz w:val="20"/>
        <w:szCs w:val="20"/>
      </w:rPr>
      <w:tab/>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06000"/>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79</w:t>
        </w:r>
        <w:r>
          <w:rPr>
            <w:sz w:val="20"/>
            <w:szCs w:val="20"/>
          </w:rPr>
          <w:fldChar w:fldCharType="end"/>
        </w:r>
      </w:p>
    </w:sdtContent>
  </w:sdt>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096451"/>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p>
    </w:sdtContent>
  </w:sdt>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81</w:t>
    </w:r>
    <w:r>
      <w:rPr>
        <w:sz w:val="20"/>
        <w:szCs w:val="20"/>
      </w:rPr>
      <w:fldChar w:fldCharType="end"/>
    </w:r>
    <w:r>
      <w:rPr>
        <w:sz w:val="20"/>
        <w:szCs w:val="20"/>
      </w:rPr>
      <w:tab/>
    </w:r>
    <w:r>
      <w:rPr>
        <w:sz w:val="20"/>
        <w:szCs w:val="20"/>
      </w:rPr>
      <w:tab/>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4972"/>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83</w:t>
        </w:r>
        <w:r>
          <w:rPr>
            <w:sz w:val="20"/>
            <w:szCs w:val="20"/>
          </w:rPr>
          <w:fldChar w:fldCharType="end"/>
        </w:r>
      </w:p>
    </w:sdtContent>
  </w:sdt>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85</w:t>
    </w:r>
    <w:r>
      <w:rPr>
        <w:sz w:val="20"/>
        <w:szCs w:val="20"/>
      </w:rPr>
      <w:fldChar w:fldCharType="end"/>
    </w:r>
    <w:r>
      <w:rPr>
        <w:sz w:val="20"/>
        <w:szCs w:val="20"/>
      </w:rPr>
      <w:tab/>
    </w:r>
    <w:r>
      <w:rPr>
        <w:sz w:val="20"/>
        <w:szCs w:val="20"/>
      </w:rPr>
      <w:tab/>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627477"/>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88</w:t>
        </w:r>
        <w:r>
          <w:rPr>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rPr>
        <w:rFonts w:ascii="Arial" w:hAnsi="Arial"/>
        <w:b/>
        <w:sz w:val="48"/>
      </w:rPr>
      <w:tab/>
    </w:r>
    <w:r>
      <w:fldChar w:fldCharType="begin"/>
    </w:r>
    <w:r>
      <w:instrText xml:space="preserve"> PAGE  \* MERGEFORMAT </w:instrText>
    </w:r>
    <w:r>
      <w:fldChar w:fldCharType="separate"/>
    </w:r>
    <w:r>
      <w:rPr>
        <w:noProof/>
      </w:rPr>
      <w:t>90</w:t>
    </w:r>
    <w:r>
      <w:fldChar w:fldCharType="end"/>
    </w:r>
    <w:r>
      <w:tab/>
    </w:r>
    <w:r>
      <w:tab/>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337460"/>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92</w:t>
        </w:r>
        <w:r>
          <w:rPr>
            <w:sz w:val="20"/>
            <w:szCs w:val="20"/>
          </w:rPr>
          <w:fldChar w:fldCharType="end"/>
        </w:r>
      </w:p>
    </w:sdtContent>
  </w:sdt>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102</w:t>
    </w:r>
    <w:r>
      <w:rPr>
        <w:sz w:val="20"/>
        <w:szCs w:val="20"/>
      </w:rPr>
      <w:fldChar w:fldCharType="end"/>
    </w:r>
    <w:r>
      <w:rPr>
        <w:sz w:val="20"/>
        <w:szCs w:val="20"/>
      </w:rPr>
      <w:tab/>
    </w:r>
    <w:r>
      <w:rPr>
        <w:sz w:val="20"/>
        <w:szCs w:val="20"/>
      </w:rPr>
      <w:tab/>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63779"/>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107</w:t>
        </w:r>
        <w:r>
          <w:rPr>
            <w:sz w:val="20"/>
            <w:szCs w:val="20"/>
          </w:rPr>
          <w:fldChar w:fldCharType="end"/>
        </w:r>
      </w:p>
    </w:sdtContent>
  </w:sdt>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rPr>
        <w:rFonts w:ascii="Arial" w:hAnsi="Arial"/>
        <w:b/>
        <w:sz w:val="48"/>
      </w:rPr>
      <w:tab/>
    </w:r>
    <w:r>
      <w:fldChar w:fldCharType="begin"/>
    </w:r>
    <w:r>
      <w:instrText xml:space="preserve"> PAGE  \* MERGEFORMAT </w:instrText>
    </w:r>
    <w:r>
      <w:fldChar w:fldCharType="separate"/>
    </w:r>
    <w:r>
      <w:rPr>
        <w:noProof/>
      </w:rPr>
      <w:t>111</w:t>
    </w:r>
    <w:r>
      <w:fldChar w:fldCharType="end"/>
    </w:r>
    <w:r>
      <w:tab/>
    </w:r>
    <w:r>
      <w:tab/>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9719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123</w:t>
        </w:r>
        <w:r>
          <w:fldChar w:fldCharType="end"/>
        </w:r>
      </w:p>
    </w:sdtContent>
  </w:sdt>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29136"/>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12</w:t>
        </w:r>
        <w:r>
          <w:rPr>
            <w:sz w:val="20"/>
            <w:szCs w:val="20"/>
          </w:rPr>
          <w:fldChar w:fldCharType="end"/>
        </w:r>
      </w:p>
    </w:sdtContent>
  </w:sdt>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rPr>
        <w:rFonts w:ascii="Arial" w:hAnsi="Arial"/>
        <w:b/>
        <w:sz w:val="48"/>
      </w:rPr>
      <w:tab/>
    </w:r>
    <w:r>
      <w:fldChar w:fldCharType="begin"/>
    </w:r>
    <w:r>
      <w:instrText xml:space="preserve"> PAGE  \* MERGEFORMAT </w:instrText>
    </w:r>
    <w:r>
      <w:fldChar w:fldCharType="separate"/>
    </w:r>
    <w:r>
      <w:rPr>
        <w:noProof/>
      </w:rPr>
      <w:t>131</w:t>
    </w:r>
    <w:r>
      <w:fldChar w:fldCharType="end"/>
    </w:r>
    <w:r>
      <w:tab/>
    </w:r>
    <w:r>
      <w:tab/>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200683"/>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137</w:t>
        </w:r>
        <w:r>
          <w:rPr>
            <w:sz w:val="20"/>
            <w:szCs w:val="20"/>
          </w:rPr>
          <w:fldChar w:fldCharType="end"/>
        </w:r>
      </w:p>
    </w:sdtContent>
  </w:sdt>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141</w:t>
    </w:r>
    <w:r>
      <w:rPr>
        <w:sz w:val="20"/>
        <w:szCs w:val="20"/>
      </w:rPr>
      <w:fldChar w:fldCharType="end"/>
    </w:r>
    <w:r>
      <w:rPr>
        <w:sz w:val="20"/>
        <w:szCs w:val="20"/>
      </w:rPr>
      <w:tab/>
    </w:r>
    <w:r>
      <w:rPr>
        <w:sz w:val="20"/>
        <w:szCs w:val="20"/>
      </w:rPr>
      <w:tab/>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444570"/>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146</w:t>
        </w:r>
        <w:r>
          <w:rPr>
            <w:sz w:val="20"/>
            <w:szCs w:val="2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150</w:t>
    </w:r>
    <w:r>
      <w:rPr>
        <w:sz w:val="20"/>
        <w:szCs w:val="20"/>
      </w:rPr>
      <w:fldChar w:fldCharType="end"/>
    </w:r>
    <w:r>
      <w:rPr>
        <w:sz w:val="20"/>
        <w:szCs w:val="20"/>
      </w:rPr>
      <w:tab/>
    </w:r>
    <w:r>
      <w:rPr>
        <w:sz w:val="20"/>
        <w:szCs w:val="20"/>
      </w:rPr>
      <w:tab/>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103259"/>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153</w:t>
        </w:r>
        <w:r>
          <w:rPr>
            <w:sz w:val="20"/>
            <w:szCs w:val="20"/>
          </w:rPr>
          <w:fldChar w:fldCharType="end"/>
        </w:r>
      </w:p>
    </w:sdtContent>
  </w:sdt>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rPr>
        <w:rFonts w:ascii="Arial" w:hAnsi="Arial"/>
        <w:b/>
        <w:sz w:val="48"/>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154</w:t>
    </w:r>
    <w:r>
      <w:rPr>
        <w:sz w:val="20"/>
        <w:szCs w:val="20"/>
      </w:rPr>
      <w:fldChar w:fldCharType="end"/>
    </w:r>
    <w:r>
      <w:rPr>
        <w:sz w:val="20"/>
        <w:szCs w:val="20"/>
      </w:rPr>
      <w:tab/>
    </w:r>
    <w:r>
      <w:rPr>
        <w:sz w:val="20"/>
        <w:szCs w:val="20"/>
      </w:rPr>
      <w:tab/>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pPr>
        <w:spacing w:after="0" w:line="240" w:lineRule="auto"/>
      </w:pPr>
      <w:r>
        <w:continuationSeparator/>
      </w:r>
    </w:p>
    <w:p/>
  </w:footnote>
  <w:footnote w:type="continuationNotice" w:id="1">
    <w:p>
      <w:pPr>
        <w:spacing w:after="0" w:line="240" w:lineRule="auto"/>
      </w:pPr>
    </w:p>
    <w:p/>
  </w:footnote>
  <w:footnote w:id="2">
    <w:p>
      <w:pPr>
        <w:pStyle w:val="FootnoteText"/>
      </w:pPr>
      <w:r>
        <w:rPr>
          <w:rStyle w:val="FootnoteReference"/>
        </w:rPr>
        <w:footnoteRef/>
      </w:r>
      <w:r>
        <w:t>Som defineret i artikel 3, stk. 11, i forordning (EF) nr. 2019/1242: et køretøj uden forbrændingsmotor eller med en forbrændingsmotor, der udleder mindre end 1 g CO2/km.</w:t>
      </w:r>
    </w:p>
  </w:footnote>
  <w:footnote w:id="3">
    <w:p>
      <w:pPr>
        <w:pStyle w:val="FootnoteText"/>
      </w:pPr>
      <w:r>
        <w:rPr>
          <w:rStyle w:val="FootnoteReference"/>
        </w:rPr>
        <w:footnoteRef/>
      </w:r>
      <w:r>
        <w:t>Som defineret i artikel 3, stk. 12, i forordning (EU) 2019/1242: med CO2-emissioner på mindre end halvdelen af CO2-referenceemissionerne fra alle køretøjer i undergruppen af køretøjer referenceværdierne varierer afhængigt af typen af lastbil.</w:t>
      </w:r>
    </w:p>
  </w:footnote>
  <w:footnote w:id="4">
    <w:p>
      <w:pPr>
        <w:pStyle w:val="FootnoteText"/>
      </w:pPr>
      <w:r>
        <w:rPr>
          <w:rStyle w:val="FootnoteReference"/>
        </w:rPr>
        <w:footnoteRef/>
      </w:r>
      <w:r>
        <w:t>Biobrændstoffer, flydende biobrændsler og biomassebrændsler opfylder bæredygtigheds- og drivhusgasemissionsbesparelseskriterierne i artikel 29-31 og reglerne om fødevare- og foderbaserede biobrændstoffer, der er fastsat i artikel 26 i direktiv (EU) 2018/2001 om vedvarende energi (REDII), og dertil knyttede gennemførelsesretsakter og delegerede retsakter og udelukkende biobrændstoffer, flydende biobrændsler og biomassebrændsler, der er i overensstemmelse med REDII, anvendes af de køretøjer, der støttes under genopretnings- og resiliensfaciliteten; og niveauet/andelen af biobrændstoffer, flydende biobrændsler og biomassebrændsler i det nationale miks øges over tid.</w:t>
      </w:r>
    </w:p>
  </w:footnote>
  <w:footnote w:id="5">
    <w:p>
      <w:pPr>
        <w:pStyle w:val="FootnoteText"/>
      </w:pPr>
      <w:r>
        <w:rPr>
          <w:rStyle w:val="FootnoteReference"/>
        </w:rPr>
        <w:footnoteRef/>
      </w:r>
      <w:r>
        <w:t>Biobrændstoffer, flydende biobrændsler og biomassebrændsler opfylder bæredygtigheds- og drivhusgasemissionsbesparelseskriterierne i artikel 29-31 og reglerne om fødevare- og foderbaserede biobrændstoffer, der er fastsat i artikel 26 i direktiv (EU) 2018/2001 om vedvarende energi (REDII), og dertil knyttede gennemførelsesretsakter og delegerede retsakter og udelukkende biobrændstoffer, flydende biobrændsler og biomassebrændsler, der er i overensstemmelse med REDII, anvendes af de køretøjer, der støttes under genopretnings- og resiliensfaciliteten; og niveauet/andelen af biobrændstoffer, flydende biobrændsler og biomassebrændsler i det nationale miks øges over tid.</w:t>
      </w:r>
    </w:p>
  </w:footnote>
  <w:footnote w:id="6">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 (2021/C58/01).</w:t>
      </w:r>
    </w:p>
  </w:footnote>
  <w:footnote w:id="7">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8">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9">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10">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 (2021/C58/01).</w:t>
      </w:r>
    </w:p>
  </w:footnote>
  <w:footnote w:id="11">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12">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13">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14">
    <w:p>
      <w:pPr>
        <w:pStyle w:val="FootnoteText"/>
      </w:pPr>
      <w:r>
        <w:rPr>
          <w:rStyle w:val="FootnoteReference"/>
        </w:rPr>
        <w:footnoteRef/>
      </w:r>
      <w:r>
        <w:t>Under 50 gCO2/km i overensstemmelse med kategorien "renere køretøjer" i det reviderede direktiv 2009/33/EF om renere køretøjer.</w:t>
      </w:r>
    </w:p>
  </w:footnote>
  <w:footnote w:id="15">
    <w:p>
      <w:pPr>
        <w:pStyle w:val="FootnoteText"/>
      </w:pPr>
      <w:r>
        <w:rPr>
          <w:rStyle w:val="FootnoteReference"/>
        </w:rPr>
        <w:footnoteRef/>
      </w:r>
      <w:r>
        <w:t>Under 50 gCO2/km i overensstemmelse med kategorien "renere køretøjer" i det reviderede direktiv 2009/33/EF om renere køretøjer.</w:t>
      </w:r>
    </w:p>
  </w:footnote>
  <w:footnote w:id="16">
    <w:p>
      <w:pPr>
        <w:pStyle w:val="FootnoteText"/>
        <w:rPr>
          <w:lang w:val="en-US"/>
        </w:rPr>
      </w:pPr>
      <w:r>
        <w:rPr>
          <w:lang w:val="en-US"/>
        </w:rPr>
        <w:t>[</w:t>
      </w:r>
      <w:r>
        <w:rPr>
          <w:rStyle w:val="FootnoteReference"/>
        </w:rPr>
        <w:footnoteRef/>
      </w:r>
      <w:r>
        <w:rPr>
          <w:lang w:val="en-US"/>
        </w:rPr>
        <w:t>]</w:t>
      </w:r>
      <w:r>
        <w:rPr>
          <w:lang w:val="en-US"/>
        </w:rPr>
        <w:tab/>
        <w:t>EUT L 169 af 25.6.2019, s. 1.</w:t>
      </w:r>
    </w:p>
  </w:footnote>
  <w:footnote w:id="17">
    <w:p>
      <w:pPr>
        <w:pStyle w:val="FootnoteText"/>
        <w:rPr>
          <w:lang w:val="en-US"/>
        </w:rPr>
      </w:pPr>
      <w:r>
        <w:rPr>
          <w:rStyle w:val="FootnoteReference"/>
        </w:rPr>
        <w:footnoteRef/>
      </w:r>
      <w:r>
        <w:rPr>
          <w:lang w:val="en-US"/>
        </w:rPr>
        <w:tab/>
        <w:t>COM/2020/66 final.</w:t>
      </w:r>
    </w:p>
  </w:footnote>
  <w:footnote w:id="18">
    <w:p>
      <w:pPr>
        <w:pStyle w:val="FootnoteText"/>
      </w:pPr>
      <w:r>
        <w:rPr>
          <w:rStyle w:val="FootnoteReference"/>
        </w:rPr>
        <w:footnoteRef/>
      </w:r>
      <w:r>
        <w:tab/>
        <w:t>Se forslag til Europa-Parlamentets og Rådets forordning om europæisk dataforvaltning, 25.11.2020, COM/2020/767 final.</w:t>
      </w:r>
    </w:p>
  </w:footnote>
  <w:footnote w:id="19">
    <w:p>
      <w:pPr>
        <w:pStyle w:val="FootnoteText"/>
      </w:pPr>
      <w:r>
        <w:rPr>
          <w:rStyle w:val="FootnoteReference"/>
        </w:rPr>
        <w:footnoteRef/>
      </w:r>
      <w:r>
        <w:tab/>
        <w:t>https://digital-strategy.ec.europa.eu/en/activities/digital-programme.</w:t>
      </w:r>
    </w:p>
  </w:footnote>
  <w:footnote w:id="20">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21">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22">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23">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24">
    <w:p>
      <w:pPr>
        <w:pStyle w:val="FootnoteText"/>
      </w:pPr>
      <w:r>
        <w:t>[</w:t>
      </w:r>
      <w:r>
        <w:rPr>
          <w:rStyle w:val="FootnoteReference"/>
        </w:rPr>
        <w:footnoteRef/>
      </w:r>
      <w:r>
        <w:t>] EUT L 57 af 18.2.2021, s. 17.</w:t>
      </w:r>
    </w:p>
  </w:footnote>
  <w:footnote w:id="25">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26">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27">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28">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29">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30">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31">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32">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33">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34">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35">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36">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37">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38">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39">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40">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41">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42">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43">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44">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45">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46">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47">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48">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49">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50">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51">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52">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53">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54">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55">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56">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57">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58">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59">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60">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61">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62">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63">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64">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65">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66">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67">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68">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69">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70">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71">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72">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73">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74">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75">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76">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77">
    <w:p>
      <w:pPr>
        <w:pStyle w:val="FootnoteText"/>
        <w:rPr>
          <w:sz w:val="18"/>
          <w:szCs w:val="18"/>
        </w:rPr>
      </w:pPr>
      <w:r>
        <w:rPr>
          <w:rStyle w:val="FootnoteReference"/>
          <w:sz w:val="18"/>
          <w:szCs w:val="18"/>
        </w:rPr>
        <w:footnoteRef/>
      </w:r>
      <w:r>
        <w:rPr>
          <w:sz w:val="18"/>
          <w:szCs w:val="18"/>
        </w:rPr>
        <w:t xml:space="preserve"> </w:t>
      </w:r>
      <w:r>
        <w:t>Hvis den aktivitet, der støttes, medfører forventede drivhusgasemissioner, som ikke er væsentligt lavere end de relevante benchmarks, bør der gives en forklaring på årsagerne til, at dette ikke er muligt. Benchmarks for gratistildeling for aktiviteter og anlæg, der er omfattet af emissionshandelsordningen, jf. Kommissionens gennemførelsesforordning (EU) 2021/447.</w:t>
      </w:r>
    </w:p>
  </w:footnote>
  <w:footnote w:id="78">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79">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80">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81">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82">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83">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84">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85">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86">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87">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88">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89">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90">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91">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92">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93">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94">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95">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96">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97">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98">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99">
    <w:p>
      <w:pPr>
        <w:pStyle w:val="FootnoteText"/>
      </w:pPr>
      <w:r>
        <w:rPr>
          <w:rStyle w:val="FootnoteReference"/>
        </w:rPr>
        <w:footnoteRef/>
      </w:r>
      <w:r>
        <w:t>Undtagen projekter under denne foranstaltning inden for elproduktion og/eller varmeproduktion samt tilhørende transmissions- og distributionsinfrastruktur, der anvender naturgas, som opfylder betingelserne i bilag III til den tekniske vejledning om DNSH-princippet(2021/C58/01).</w:t>
      </w:r>
    </w:p>
  </w:footnote>
  <w:footnote w:id="100">
    <w:p>
      <w:pPr>
        <w:pStyle w:val="FootnoteText"/>
      </w:pPr>
      <w:r>
        <w:rPr>
          <w:rStyle w:val="FootnoteReference"/>
        </w:rPr>
        <w:footnoteRef/>
      </w:r>
      <w:r>
        <w:t>Hvis den aktivitet, der støttes, medfører forventede drivhusgasemissioner, som ikke er væsentligt lavere end de relevante benchmarks, bør der gives en forklaring på årsagerne til, at dette ikke er muligt. Benchmarks, der er fastsat for gratistildeling for aktiviteter, der er omfattet af emissionshandelsordningen, jf. Kommissionens gennemførelsesforordning (EU) 2021/447.</w:t>
      </w:r>
    </w:p>
  </w:footnote>
  <w:footnote w:id="101">
    <w:p>
      <w:pPr>
        <w:pStyle w:val="FootnoteText"/>
      </w:pPr>
      <w:r>
        <w:rPr>
          <w:rStyle w:val="FootnoteReference"/>
        </w:rPr>
        <w:footnoteRef/>
      </w:r>
      <w:r>
        <w:t>Denne undtagelse gælder ikke for aktioner under denne foranstaltning i anlæg, der udelukkende beskæftiger sig med behandling af ikke-genanvendeligt farligt affald, og for eksisterende anlæg, hvor foranstaltningerne under denne foranstaltning har til formål at øge energieffektiviteten , opsamle udstødningsgasser til oplagring eller anvendelse eller nyttiggøre materialer fra forbrændingsaske, forudsat at sådanne foranstaltninger under denne foranstaltning ikke medfører en forøgelse af anlæggets kapacitet til behandling af affald eller en forlængelse af anlæggenes levetid. for hvilke der fremlægges dokumentation på anlægsniveau.</w:t>
      </w:r>
    </w:p>
  </w:footnote>
  <w:footnote w:id="102">
    <w:p>
      <w:pPr>
        <w:pStyle w:val="FootnoteText"/>
      </w:pPr>
      <w:r>
        <w:rPr>
          <w:rStyle w:val="FootnoteReference"/>
        </w:rPr>
        <w:footnoteRef/>
      </w:r>
      <w:r>
        <w:t>Denne udelukkelse gælder ikke for foranstaltninger under denne foranstaltning i eksisterende anlæg til mekanisk-biologisk behandling, hvor foranstaltningerne under denne foranstaltning har til formål at øge ressourceeffektiviteten eller modernisere genanvendelsesoperationerne for særskilt affald med henblik på kompostering af bioaffald og anaerob nedbrydning af bioaffald, forudsat at sådanne foranstaltninger under denne foranstaltning ikke medfører en forøgelse af anlæggets affaldsbehandlingskapacitet eller en forlængelse af anlæggenes levetid. for hvilke der fremlægges dokumentation på anlægsniveau.</w:t>
      </w:r>
    </w:p>
  </w:footnote>
  <w:footnote w:id="103">
    <w:p>
      <w:pPr>
        <w:pStyle w:val="FootnoteText"/>
      </w:pPr>
      <w:r>
        <w:rPr>
          <w:rStyle w:val="FootnoteReference"/>
        </w:rPr>
        <w:footnoteRef/>
      </w:r>
      <w:r>
        <w:t xml:space="preserve"> </w:t>
      </w:r>
      <w:r>
        <w:tab/>
        <w:t>EUT L 153 AF 18.6.2010.</w:t>
      </w:r>
    </w:p>
  </w:footnote>
  <w:footnote w:id="104">
    <w:p>
      <w:pPr>
        <w:pStyle w:val="FootnoteText"/>
      </w:pPr>
      <w:r>
        <w:rPr>
          <w:rStyle w:val="FootnoteReference"/>
        </w:rPr>
        <w:footnoteRef/>
      </w:r>
      <w:r>
        <w:t xml:space="preserve">Henstillingerne i Toledopagten blev offentliggjort i Den Europæiske Unions Tidende den 10. november 2020: </w:t>
      </w:r>
      <w:hyperlink r:id="rId1" w:history="1">
        <w:r>
          <w:rPr>
            <w:rStyle w:val="Hyperlink"/>
          </w:rPr>
          <w:t>https://www.congreso.es/public_oficiales/L14/CONG/BOCG/D/BOCG-14-D-175.PDF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p>
    <w:pPr>
      <w:pStyle w:val="HeaderSensitivityRight"/>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4">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417A79"/>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1E15330"/>
    <w:multiLevelType w:val="hybridMultilevel"/>
    <w:tmpl w:val="85F45C0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23E2662"/>
    <w:multiLevelType w:val="hybridMultilevel"/>
    <w:tmpl w:val="8A30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32A12F1"/>
    <w:multiLevelType w:val="hybridMultilevel"/>
    <w:tmpl w:val="6C52FE32"/>
    <w:lvl w:ilvl="0" w:tplc="0816001B">
      <w:start w:val="1"/>
      <w:numFmt w:val="lowerRoman"/>
      <w:lvlText w:val="%1."/>
      <w:lvlJc w:val="right"/>
      <w:pPr>
        <w:ind w:left="785" w:hanging="360"/>
      </w:pPr>
    </w:lvl>
    <w:lvl w:ilvl="1" w:tplc="08160019" w:tentative="1">
      <w:start w:val="1"/>
      <w:numFmt w:val="lowerLetter"/>
      <w:lvlText w:val="%2."/>
      <w:lvlJc w:val="left"/>
      <w:pPr>
        <w:ind w:left="1505" w:hanging="360"/>
      </w:pPr>
    </w:lvl>
    <w:lvl w:ilvl="2" w:tplc="0816001B" w:tentative="1">
      <w:start w:val="1"/>
      <w:numFmt w:val="lowerRoman"/>
      <w:lvlText w:val="%3."/>
      <w:lvlJc w:val="right"/>
      <w:pPr>
        <w:ind w:left="2225" w:hanging="180"/>
      </w:pPr>
    </w:lvl>
    <w:lvl w:ilvl="3" w:tplc="0816000F" w:tentative="1">
      <w:start w:val="1"/>
      <w:numFmt w:val="decimal"/>
      <w:lvlText w:val="%4."/>
      <w:lvlJc w:val="left"/>
      <w:pPr>
        <w:ind w:left="2945" w:hanging="360"/>
      </w:pPr>
    </w:lvl>
    <w:lvl w:ilvl="4" w:tplc="08160019" w:tentative="1">
      <w:start w:val="1"/>
      <w:numFmt w:val="lowerLetter"/>
      <w:lvlText w:val="%5."/>
      <w:lvlJc w:val="left"/>
      <w:pPr>
        <w:ind w:left="3665" w:hanging="360"/>
      </w:pPr>
    </w:lvl>
    <w:lvl w:ilvl="5" w:tplc="0816001B" w:tentative="1">
      <w:start w:val="1"/>
      <w:numFmt w:val="lowerRoman"/>
      <w:lvlText w:val="%6."/>
      <w:lvlJc w:val="right"/>
      <w:pPr>
        <w:ind w:left="4385" w:hanging="180"/>
      </w:pPr>
    </w:lvl>
    <w:lvl w:ilvl="6" w:tplc="0816000F" w:tentative="1">
      <w:start w:val="1"/>
      <w:numFmt w:val="decimal"/>
      <w:lvlText w:val="%7."/>
      <w:lvlJc w:val="left"/>
      <w:pPr>
        <w:ind w:left="5105" w:hanging="360"/>
      </w:pPr>
    </w:lvl>
    <w:lvl w:ilvl="7" w:tplc="08160019" w:tentative="1">
      <w:start w:val="1"/>
      <w:numFmt w:val="lowerLetter"/>
      <w:lvlText w:val="%8."/>
      <w:lvlJc w:val="left"/>
      <w:pPr>
        <w:ind w:left="5825" w:hanging="360"/>
      </w:pPr>
    </w:lvl>
    <w:lvl w:ilvl="8" w:tplc="0816001B" w:tentative="1">
      <w:start w:val="1"/>
      <w:numFmt w:val="lowerRoman"/>
      <w:lvlText w:val="%9."/>
      <w:lvlJc w:val="right"/>
      <w:pPr>
        <w:ind w:left="6545" w:hanging="180"/>
      </w:pPr>
    </w:lvl>
  </w:abstractNum>
  <w:abstractNum w:abstractNumId="9">
    <w:nsid w:val="03406DD5"/>
    <w:multiLevelType w:val="hybridMultilevel"/>
    <w:tmpl w:val="89087F68"/>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04463084"/>
    <w:multiLevelType w:val="multilevel"/>
    <w:tmpl w:val="EC587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C64932"/>
    <w:multiLevelType w:val="hybridMultilevel"/>
    <w:tmpl w:val="85F45C0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50E1257"/>
    <w:multiLevelType w:val="hybridMultilevel"/>
    <w:tmpl w:val="C87E44E6"/>
    <w:lvl w:ilvl="0" w:tplc="08090017">
      <w:start w:val="1"/>
      <w:numFmt w:val="lowerLetter"/>
      <w:lvlText w:val="%1)"/>
      <w:lvlJc w:val="left"/>
      <w:pPr>
        <w:ind w:left="1080" w:hanging="360"/>
      </w:pPr>
    </w:lvl>
    <w:lvl w:ilvl="1" w:tplc="7C4602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05826CD4"/>
    <w:multiLevelType w:val="hybridMultilevel"/>
    <w:tmpl w:val="A2A079AE"/>
    <w:lvl w:ilvl="0" w:tplc="224AE4E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4">
    <w:nsid w:val="05BC1A19"/>
    <w:multiLevelType w:val="hybridMultilevel"/>
    <w:tmpl w:val="AF3AB1D0"/>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07FB552C"/>
    <w:multiLevelType w:val="hybridMultilevel"/>
    <w:tmpl w:val="653062C2"/>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08915652"/>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09F123B6"/>
    <w:multiLevelType w:val="hybridMultilevel"/>
    <w:tmpl w:val="4A8E832E"/>
    <w:lvl w:ilvl="0" w:tplc="D8C0D6E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0A7E4021"/>
    <w:multiLevelType w:val="hybridMultilevel"/>
    <w:tmpl w:val="EA1CB52C"/>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0B533329"/>
    <w:multiLevelType w:val="hybridMultilevel"/>
    <w:tmpl w:val="C34275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0BF72E00"/>
    <w:multiLevelType w:val="hybridMultilevel"/>
    <w:tmpl w:val="DD2CA33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DE41DAE"/>
    <w:multiLevelType w:val="hybridMultilevel"/>
    <w:tmpl w:val="C97C3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0E3B2876"/>
    <w:multiLevelType w:val="hybridMultilevel"/>
    <w:tmpl w:val="ED267130"/>
    <w:lvl w:ilvl="0" w:tplc="08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0E67283E"/>
    <w:multiLevelType w:val="hybridMultilevel"/>
    <w:tmpl w:val="37AAE84C"/>
    <w:lvl w:ilvl="0" w:tplc="F2F660E2">
      <w:numFmt w:val="bullet"/>
      <w:lvlText w:val="•"/>
      <w:lvlJc w:val="left"/>
      <w:pPr>
        <w:ind w:left="360" w:hanging="360"/>
      </w:pPr>
      <w:rPr>
        <w:rFonts w:ascii="Times New Roman" w:eastAsiaTheme="minorHAnsi"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4">
    <w:nsid w:val="0FC4125E"/>
    <w:multiLevelType w:val="hybridMultilevel"/>
    <w:tmpl w:val="954E79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CD64C0"/>
    <w:multiLevelType w:val="hybridMultilevel"/>
    <w:tmpl w:val="115409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0DD1C07"/>
    <w:multiLevelType w:val="hybridMultilevel"/>
    <w:tmpl w:val="C852AC98"/>
    <w:lvl w:ilvl="0" w:tplc="08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11743401"/>
    <w:multiLevelType w:val="hybridMultilevel"/>
    <w:tmpl w:val="CDDADF36"/>
    <w:lvl w:ilvl="0" w:tplc="04100017">
      <w:start w:val="1"/>
      <w:numFmt w:val="lowerLetter"/>
      <w:lvlText w:val="%1)"/>
      <w:lvlJc w:val="left"/>
      <w:pPr>
        <w:ind w:left="1444" w:hanging="735"/>
      </w:pPr>
      <w:rPr>
        <w:rFonts w:hint="default"/>
      </w:rPr>
    </w:lvl>
    <w:lvl w:ilvl="1" w:tplc="9820750A">
      <w:numFmt w:val="bullet"/>
      <w:lvlText w:val="•"/>
      <w:lvlJc w:val="left"/>
      <w:pPr>
        <w:ind w:left="1815" w:hanging="735"/>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32D68F1"/>
    <w:multiLevelType w:val="hybridMultilevel"/>
    <w:tmpl w:val="72546D4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9">
    <w:nsid w:val="143D2CF2"/>
    <w:multiLevelType w:val="hybridMultilevel"/>
    <w:tmpl w:val="E5E082A8"/>
    <w:lvl w:ilvl="0" w:tplc="08090017">
      <w:start w:val="1"/>
      <w:numFmt w:val="lowerLetter"/>
      <w:lvlText w:val="%1)"/>
      <w:lvlJc w:val="left"/>
      <w:pPr>
        <w:ind w:left="360" w:hanging="360"/>
      </w:pPr>
    </w:lvl>
    <w:lvl w:ilvl="1" w:tplc="0410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156B6A43"/>
    <w:multiLevelType w:val="hybridMultilevel"/>
    <w:tmpl w:val="C820240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1697510B"/>
    <w:multiLevelType w:val="hybridMultilevel"/>
    <w:tmpl w:val="FD88D5BA"/>
    <w:lvl w:ilvl="0" w:tplc="08090017">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175C52A5"/>
    <w:multiLevelType w:val="multilevel"/>
    <w:tmpl w:val="7F880D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192607B3"/>
    <w:multiLevelType w:val="hybridMultilevel"/>
    <w:tmpl w:val="812E4DBA"/>
    <w:lvl w:ilvl="0" w:tplc="0B90F79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5">
    <w:nsid w:val="1D0F04A0"/>
    <w:multiLevelType w:val="hybridMultilevel"/>
    <w:tmpl w:val="89BC98DE"/>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1EAA26B3"/>
    <w:multiLevelType w:val="hybridMultilevel"/>
    <w:tmpl w:val="AFC2569C"/>
    <w:lvl w:ilvl="0" w:tplc="0C0A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nsid w:val="1F867D0D"/>
    <w:multiLevelType w:val="hybridMultilevel"/>
    <w:tmpl w:val="AF5A99A4"/>
    <w:lvl w:ilvl="0" w:tplc="892E0A2C">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1FC57EB4"/>
    <w:multiLevelType w:val="hybridMultilevel"/>
    <w:tmpl w:val="82DCD27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20661B2B"/>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20CA250E"/>
    <w:multiLevelType w:val="hybridMultilevel"/>
    <w:tmpl w:val="89BC98DE"/>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nsid w:val="22E44180"/>
    <w:multiLevelType w:val="multilevel"/>
    <w:tmpl w:val="4B16EF00"/>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3ED68BB"/>
    <w:multiLevelType w:val="hybridMultilevel"/>
    <w:tmpl w:val="46C2EA6C"/>
    <w:lvl w:ilvl="0" w:tplc="F29E19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25404E49"/>
    <w:multiLevelType w:val="hybridMultilevel"/>
    <w:tmpl w:val="19064A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nsid w:val="27A17326"/>
    <w:multiLevelType w:val="multilevel"/>
    <w:tmpl w:val="974855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2872466F"/>
    <w:multiLevelType w:val="hybridMultilevel"/>
    <w:tmpl w:val="9A66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8AD3912"/>
    <w:multiLevelType w:val="hybridMultilevel"/>
    <w:tmpl w:val="AFC2569C"/>
    <w:lvl w:ilvl="0" w:tplc="0C0A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nsid w:val="28FB5300"/>
    <w:multiLevelType w:val="hybridMultilevel"/>
    <w:tmpl w:val="ED683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AA1EDE"/>
    <w:multiLevelType w:val="hybridMultilevel"/>
    <w:tmpl w:val="B1C8EDC6"/>
    <w:lvl w:ilvl="0" w:tplc="0809001B">
      <w:start w:val="1"/>
      <w:numFmt w:val="lowerRoman"/>
      <w:lvlText w:val="%1."/>
      <w:lvlJc w:val="righ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nsid w:val="2A9A0C23"/>
    <w:multiLevelType w:val="hybridMultilevel"/>
    <w:tmpl w:val="87DA39CC"/>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2AC454D0"/>
    <w:multiLevelType w:val="hybridMultilevel"/>
    <w:tmpl w:val="D1F2D384"/>
    <w:lvl w:ilvl="0" w:tplc="08090019">
      <w:start w:val="1"/>
      <w:numFmt w:val="lowerLetter"/>
      <w:lvlText w:val="%1."/>
      <w:lvlJc w:val="left"/>
      <w:pPr>
        <w:ind w:left="1429" w:hanging="360"/>
      </w:pPr>
    </w:lvl>
    <w:lvl w:ilvl="1" w:tplc="0809001B">
      <w:start w:val="1"/>
      <w:numFmt w:val="lowerRoman"/>
      <w:lvlText w:val="%2."/>
      <w:lvlJc w:val="righ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nsid w:val="2B021AF9"/>
    <w:multiLevelType w:val="hybridMultilevel"/>
    <w:tmpl w:val="E93E7FE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2B9E0268"/>
    <w:multiLevelType w:val="hybridMultilevel"/>
    <w:tmpl w:val="007AB2AA"/>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55">
    <w:nsid w:val="2D7B7DD8"/>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nsid w:val="2D972AD3"/>
    <w:multiLevelType w:val="hybridMultilevel"/>
    <w:tmpl w:val="5CC689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2E360B7E"/>
    <w:multiLevelType w:val="hybridMultilevel"/>
    <w:tmpl w:val="2356F73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8B074D"/>
    <w:multiLevelType w:val="hybridMultilevel"/>
    <w:tmpl w:val="7DF0D0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4E692C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322A42BD"/>
    <w:multiLevelType w:val="hybridMultilevel"/>
    <w:tmpl w:val="23D63790"/>
    <w:lvl w:ilvl="0" w:tplc="08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nsid w:val="32CA2E3B"/>
    <w:multiLevelType w:val="hybridMultilevel"/>
    <w:tmpl w:val="8D208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33E63B41"/>
    <w:multiLevelType w:val="hybridMultilevel"/>
    <w:tmpl w:val="D05616C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4B83759"/>
    <w:multiLevelType w:val="hybridMultilevel"/>
    <w:tmpl w:val="582E43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nsid w:val="35345A99"/>
    <w:multiLevelType w:val="hybridMultilevel"/>
    <w:tmpl w:val="CCAC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553699C"/>
    <w:multiLevelType w:val="hybridMultilevel"/>
    <w:tmpl w:val="B24C8E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nsid w:val="35B64F34"/>
    <w:multiLevelType w:val="hybridMultilevel"/>
    <w:tmpl w:val="681E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37557CCC"/>
    <w:multiLevelType w:val="hybridMultilevel"/>
    <w:tmpl w:val="F43AF2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382D639E"/>
    <w:multiLevelType w:val="hybridMultilevel"/>
    <w:tmpl w:val="FC70E278"/>
    <w:lvl w:ilvl="0" w:tplc="08090017">
      <w:start w:val="1"/>
      <w:numFmt w:val="lowerLetter"/>
      <w:lvlText w:val="%1)"/>
      <w:lvlJc w:val="left"/>
      <w:pPr>
        <w:ind w:left="720" w:hanging="360"/>
      </w:pPr>
    </w:lvl>
    <w:lvl w:ilvl="1" w:tplc="040A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39A82B28"/>
    <w:multiLevelType w:val="hybridMultilevel"/>
    <w:tmpl w:val="8CF89BE6"/>
    <w:lvl w:ilvl="0" w:tplc="08090017">
      <w:start w:val="1"/>
      <w:numFmt w:val="lowerLetter"/>
      <w:lvlText w:val="%1)"/>
      <w:lvlJc w:val="left"/>
      <w:pPr>
        <w:ind w:left="2704" w:hanging="360"/>
      </w:pPr>
    </w:lvl>
    <w:lvl w:ilvl="1" w:tplc="04090019" w:tentative="1">
      <w:start w:val="1"/>
      <w:numFmt w:val="lowerLetter"/>
      <w:lvlText w:val="%2."/>
      <w:lvlJc w:val="left"/>
      <w:pPr>
        <w:ind w:left="3424" w:hanging="360"/>
      </w:pPr>
    </w:lvl>
    <w:lvl w:ilvl="2" w:tplc="0409001B" w:tentative="1">
      <w:start w:val="1"/>
      <w:numFmt w:val="lowerRoman"/>
      <w:lvlText w:val="%3."/>
      <w:lvlJc w:val="right"/>
      <w:pPr>
        <w:ind w:left="4144" w:hanging="180"/>
      </w:pPr>
    </w:lvl>
    <w:lvl w:ilvl="3" w:tplc="0409000F" w:tentative="1">
      <w:start w:val="1"/>
      <w:numFmt w:val="decimal"/>
      <w:lvlText w:val="%4."/>
      <w:lvlJc w:val="left"/>
      <w:pPr>
        <w:ind w:left="4864" w:hanging="360"/>
      </w:pPr>
    </w:lvl>
    <w:lvl w:ilvl="4" w:tplc="04090019" w:tentative="1">
      <w:start w:val="1"/>
      <w:numFmt w:val="lowerLetter"/>
      <w:lvlText w:val="%5."/>
      <w:lvlJc w:val="left"/>
      <w:pPr>
        <w:ind w:left="5584" w:hanging="360"/>
      </w:pPr>
    </w:lvl>
    <w:lvl w:ilvl="5" w:tplc="0409001B" w:tentative="1">
      <w:start w:val="1"/>
      <w:numFmt w:val="lowerRoman"/>
      <w:lvlText w:val="%6."/>
      <w:lvlJc w:val="right"/>
      <w:pPr>
        <w:ind w:left="6304" w:hanging="180"/>
      </w:pPr>
    </w:lvl>
    <w:lvl w:ilvl="6" w:tplc="0409000F" w:tentative="1">
      <w:start w:val="1"/>
      <w:numFmt w:val="decimal"/>
      <w:lvlText w:val="%7."/>
      <w:lvlJc w:val="left"/>
      <w:pPr>
        <w:ind w:left="7024" w:hanging="360"/>
      </w:pPr>
    </w:lvl>
    <w:lvl w:ilvl="7" w:tplc="04090019" w:tentative="1">
      <w:start w:val="1"/>
      <w:numFmt w:val="lowerLetter"/>
      <w:lvlText w:val="%8."/>
      <w:lvlJc w:val="left"/>
      <w:pPr>
        <w:ind w:left="7744" w:hanging="360"/>
      </w:pPr>
    </w:lvl>
    <w:lvl w:ilvl="8" w:tplc="0409001B" w:tentative="1">
      <w:start w:val="1"/>
      <w:numFmt w:val="lowerRoman"/>
      <w:lvlText w:val="%9."/>
      <w:lvlJc w:val="right"/>
      <w:pPr>
        <w:ind w:left="8464" w:hanging="180"/>
      </w:pPr>
    </w:lvl>
  </w:abstractNum>
  <w:abstractNum w:abstractNumId="69">
    <w:nsid w:val="3AB60FF4"/>
    <w:multiLevelType w:val="hybridMultilevel"/>
    <w:tmpl w:val="81EE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B3B0D0E"/>
    <w:multiLevelType w:val="hybridMultilevel"/>
    <w:tmpl w:val="0B4EEFA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1">
    <w:nsid w:val="3D3C77D2"/>
    <w:multiLevelType w:val="hybridMultilevel"/>
    <w:tmpl w:val="F8D25CF6"/>
    <w:lvl w:ilvl="0" w:tplc="08090019">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2">
    <w:nsid w:val="3E267AD6"/>
    <w:multiLevelType w:val="hybridMultilevel"/>
    <w:tmpl w:val="923A1DD2"/>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3">
    <w:nsid w:val="40280D20"/>
    <w:multiLevelType w:val="hybridMultilevel"/>
    <w:tmpl w:val="8AE4D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76">
    <w:nsid w:val="43F42D98"/>
    <w:multiLevelType w:val="hybridMultilevel"/>
    <w:tmpl w:val="89BC98DE"/>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nsid w:val="442C7C07"/>
    <w:multiLevelType w:val="hybridMultilevel"/>
    <w:tmpl w:val="CBDC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46F0980"/>
    <w:multiLevelType w:val="hybridMultilevel"/>
    <w:tmpl w:val="E91E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44746AF7"/>
    <w:multiLevelType w:val="hybridMultilevel"/>
    <w:tmpl w:val="8BA606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nsid w:val="447A3124"/>
    <w:multiLevelType w:val="hybridMultilevel"/>
    <w:tmpl w:val="8BF00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F10CD8"/>
    <w:multiLevelType w:val="hybridMultilevel"/>
    <w:tmpl w:val="85F45C0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54654C8"/>
    <w:multiLevelType w:val="hybridMultilevel"/>
    <w:tmpl w:val="8F7E77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4">
    <w:nsid w:val="45615454"/>
    <w:multiLevelType w:val="hybridMultilevel"/>
    <w:tmpl w:val="D714C7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45BC00BD"/>
    <w:multiLevelType w:val="hybridMultilevel"/>
    <w:tmpl w:val="2DC2D88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nsid w:val="471D56DD"/>
    <w:multiLevelType w:val="hybridMultilevel"/>
    <w:tmpl w:val="26D88BD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78F718B"/>
    <w:multiLevelType w:val="hybridMultilevel"/>
    <w:tmpl w:val="59AE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48C90469"/>
    <w:multiLevelType w:val="hybridMultilevel"/>
    <w:tmpl w:val="A83C9A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9">
    <w:nsid w:val="495C0E24"/>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0">
    <w:nsid w:val="4DA4525B"/>
    <w:multiLevelType w:val="hybridMultilevel"/>
    <w:tmpl w:val="8DEC0CF8"/>
    <w:lvl w:ilvl="0" w:tplc="94AC1BB0">
      <w:start w:val="1"/>
      <w:numFmt w:val="lowerRoman"/>
      <w:lvlText w:val="%1."/>
      <w:lvlJc w:val="right"/>
      <w:pPr>
        <w:ind w:left="1080" w:hanging="360"/>
      </w:pPr>
      <w:rPr>
        <w:rFonts w:ascii="Times New Roman" w:hAnsi="Times New Roman" w:cs="Times New Roman" w:hint="default"/>
        <w:sz w:val="24"/>
        <w:szCs w:val="24"/>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1">
    <w:nsid w:val="4F5E055F"/>
    <w:multiLevelType w:val="hybridMultilevel"/>
    <w:tmpl w:val="F2FEC466"/>
    <w:lvl w:ilvl="0" w:tplc="EB329A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4F913A25"/>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3">
    <w:nsid w:val="506330B7"/>
    <w:multiLevelType w:val="hybridMultilevel"/>
    <w:tmpl w:val="43AC80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50A33AB2"/>
    <w:multiLevelType w:val="hybridMultilevel"/>
    <w:tmpl w:val="F2CC1CD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nsid w:val="514A3B46"/>
    <w:multiLevelType w:val="hybridMultilevel"/>
    <w:tmpl w:val="4560C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nsid w:val="51667B89"/>
    <w:multiLevelType w:val="hybridMultilevel"/>
    <w:tmpl w:val="2B222B1C"/>
    <w:lvl w:ilvl="0" w:tplc="0C0A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5173633C"/>
    <w:multiLevelType w:val="hybridMultilevel"/>
    <w:tmpl w:val="ED580A56"/>
    <w:lvl w:ilvl="0" w:tplc="312A5F28">
      <w:start w:val="1"/>
      <w:numFmt w:val="bullet"/>
      <w:lvlText w:val="-"/>
      <w:lvlJc w:val="left"/>
      <w:pPr>
        <w:ind w:left="644" w:hanging="360"/>
      </w:pPr>
      <w:rPr>
        <w:rFonts w:ascii="Calibri" w:eastAsiaTheme="minorHAnsi" w:hAnsi="Calibri" w:cs="Calibri" w:hint="default"/>
        <w:color w:val="7030A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1840DD6"/>
    <w:multiLevelType w:val="hybridMultilevel"/>
    <w:tmpl w:val="FB7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518D46EC"/>
    <w:multiLevelType w:val="hybridMultilevel"/>
    <w:tmpl w:val="09AA04B4"/>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nsid w:val="52A67588"/>
    <w:multiLevelType w:val="hybridMultilevel"/>
    <w:tmpl w:val="339EC5E2"/>
    <w:lvl w:ilvl="0" w:tplc="ED7E88AA">
      <w:start w:val="1"/>
      <w:numFmt w:val="decimal"/>
      <w:lvlText w:val="%1."/>
      <w:lvlJc w:val="lef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nsid w:val="536649EB"/>
    <w:multiLevelType w:val="hybridMultilevel"/>
    <w:tmpl w:val="96666F38"/>
    <w:lvl w:ilvl="0" w:tplc="EEEA2380">
      <w:start w:val="1"/>
      <w:numFmt w:val="bullet"/>
      <w:lvlText w:val=""/>
      <w:lvlJc w:val="left"/>
      <w:pPr>
        <w:ind w:left="720" w:hanging="360"/>
      </w:pPr>
      <w:rPr>
        <w:rFonts w:ascii="Symbol" w:hAnsi="Symbol" w:hint="default"/>
      </w:rPr>
    </w:lvl>
    <w:lvl w:ilvl="1" w:tplc="D13A51C6">
      <w:numFmt w:val="bullet"/>
      <w:pStyle w:val="bullet2"/>
      <w:lvlText w:val="-"/>
      <w:lvlJc w:val="left"/>
      <w:pPr>
        <w:ind w:left="1440" w:hanging="360"/>
      </w:pPr>
      <w:rPr>
        <w:rFonts w:ascii="Calibri" w:eastAsiaTheme="minorHAnsi" w:hAnsi="Calibri" w:cs="Calibri" w:hint="default"/>
      </w:rPr>
    </w:lvl>
    <w:lvl w:ilvl="2" w:tplc="CE645904">
      <w:start w:val="1"/>
      <w:numFmt w:val="lowerLetter"/>
      <w:lvlText w:val="%3)"/>
      <w:lvlJc w:val="left"/>
      <w:pPr>
        <w:ind w:left="2160" w:hanging="360"/>
      </w:pPr>
      <w:rPr>
        <w:rFonts w:asciiTheme="minorHAnsi" w:eastAsia="Arial" w:hAnsiTheme="minorHAnsi" w:cstheme="minorHAnsi"/>
      </w:rPr>
    </w:lvl>
    <w:lvl w:ilvl="3" w:tplc="9E2A1D18">
      <w:start w:val="1"/>
      <w:numFmt w:val="bullet"/>
      <w:lvlText w:val=""/>
      <w:lvlJc w:val="left"/>
      <w:pPr>
        <w:ind w:left="2880" w:hanging="360"/>
      </w:pPr>
      <w:rPr>
        <w:rFonts w:ascii="Symbol" w:hAnsi="Symbol" w:hint="default"/>
      </w:rPr>
    </w:lvl>
    <w:lvl w:ilvl="4" w:tplc="93E06754">
      <w:start w:val="1"/>
      <w:numFmt w:val="bullet"/>
      <w:lvlText w:val="o"/>
      <w:lvlJc w:val="left"/>
      <w:pPr>
        <w:ind w:left="3600" w:hanging="360"/>
      </w:pPr>
      <w:rPr>
        <w:rFonts w:ascii="Courier New" w:hAnsi="Courier New" w:hint="default"/>
      </w:rPr>
    </w:lvl>
    <w:lvl w:ilvl="5" w:tplc="66403156">
      <w:start w:val="1"/>
      <w:numFmt w:val="bullet"/>
      <w:lvlText w:val=""/>
      <w:lvlJc w:val="left"/>
      <w:pPr>
        <w:ind w:left="4320" w:hanging="360"/>
      </w:pPr>
      <w:rPr>
        <w:rFonts w:ascii="Wingdings" w:hAnsi="Wingdings" w:hint="default"/>
      </w:rPr>
    </w:lvl>
    <w:lvl w:ilvl="6" w:tplc="302ED93E">
      <w:start w:val="1"/>
      <w:numFmt w:val="bullet"/>
      <w:lvlText w:val=""/>
      <w:lvlJc w:val="left"/>
      <w:pPr>
        <w:ind w:left="5040" w:hanging="360"/>
      </w:pPr>
      <w:rPr>
        <w:rFonts w:ascii="Symbol" w:hAnsi="Symbol" w:hint="default"/>
      </w:rPr>
    </w:lvl>
    <w:lvl w:ilvl="7" w:tplc="9FCA7C0C">
      <w:start w:val="1"/>
      <w:numFmt w:val="bullet"/>
      <w:lvlText w:val="o"/>
      <w:lvlJc w:val="left"/>
      <w:pPr>
        <w:ind w:left="5760" w:hanging="360"/>
      </w:pPr>
      <w:rPr>
        <w:rFonts w:ascii="Courier New" w:hAnsi="Courier New" w:hint="default"/>
      </w:rPr>
    </w:lvl>
    <w:lvl w:ilvl="8" w:tplc="3CDAD1D2">
      <w:start w:val="1"/>
      <w:numFmt w:val="bullet"/>
      <w:lvlText w:val=""/>
      <w:lvlJc w:val="left"/>
      <w:pPr>
        <w:ind w:left="6480" w:hanging="360"/>
      </w:pPr>
      <w:rPr>
        <w:rFonts w:ascii="Wingdings" w:hAnsi="Wingdings" w:hint="default"/>
      </w:rPr>
    </w:lvl>
  </w:abstractNum>
  <w:abstractNum w:abstractNumId="102">
    <w:nsid w:val="55666125"/>
    <w:multiLevelType w:val="hybridMultilevel"/>
    <w:tmpl w:val="34BC7C10"/>
    <w:lvl w:ilvl="0" w:tplc="3F2A7D3A">
      <w:start w:val="1"/>
      <w:numFmt w:val="lowerLetter"/>
      <w:lvlText w:val="%1)"/>
      <w:lvlJc w:val="left"/>
      <w:pPr>
        <w:ind w:left="1444" w:hanging="7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04">
    <w:nsid w:val="557C33CE"/>
    <w:multiLevelType w:val="hybridMultilevel"/>
    <w:tmpl w:val="4372D5B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60C4BE4"/>
    <w:multiLevelType w:val="hybridMultilevel"/>
    <w:tmpl w:val="AE5A2B4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nsid w:val="57F812D0"/>
    <w:multiLevelType w:val="hybridMultilevel"/>
    <w:tmpl w:val="B34E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8E57F62"/>
    <w:multiLevelType w:val="hybridMultilevel"/>
    <w:tmpl w:val="6B367C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nsid w:val="59067F31"/>
    <w:multiLevelType w:val="hybridMultilevel"/>
    <w:tmpl w:val="A800B374"/>
    <w:lvl w:ilvl="0" w:tplc="040A0001">
      <w:start w:val="1"/>
      <w:numFmt w:val="bullet"/>
      <w:lvlText w:val=""/>
      <w:lvlJc w:val="left"/>
      <w:pPr>
        <w:ind w:left="1690" w:hanging="360"/>
      </w:pPr>
      <w:rPr>
        <w:rFonts w:ascii="Symbol" w:hAnsi="Symbol" w:hint="default"/>
      </w:rPr>
    </w:lvl>
    <w:lvl w:ilvl="1" w:tplc="040A0003" w:tentative="1">
      <w:start w:val="1"/>
      <w:numFmt w:val="bullet"/>
      <w:lvlText w:val="o"/>
      <w:lvlJc w:val="left"/>
      <w:pPr>
        <w:ind w:left="2410" w:hanging="360"/>
      </w:pPr>
      <w:rPr>
        <w:rFonts w:ascii="Courier New" w:hAnsi="Courier New" w:cs="Courier New" w:hint="default"/>
      </w:rPr>
    </w:lvl>
    <w:lvl w:ilvl="2" w:tplc="040A0005" w:tentative="1">
      <w:start w:val="1"/>
      <w:numFmt w:val="bullet"/>
      <w:lvlText w:val=""/>
      <w:lvlJc w:val="left"/>
      <w:pPr>
        <w:ind w:left="3130" w:hanging="360"/>
      </w:pPr>
      <w:rPr>
        <w:rFonts w:ascii="Wingdings" w:hAnsi="Wingdings" w:hint="default"/>
      </w:rPr>
    </w:lvl>
    <w:lvl w:ilvl="3" w:tplc="040A0001" w:tentative="1">
      <w:start w:val="1"/>
      <w:numFmt w:val="bullet"/>
      <w:lvlText w:val=""/>
      <w:lvlJc w:val="left"/>
      <w:pPr>
        <w:ind w:left="3850" w:hanging="360"/>
      </w:pPr>
      <w:rPr>
        <w:rFonts w:ascii="Symbol" w:hAnsi="Symbol" w:hint="default"/>
      </w:rPr>
    </w:lvl>
    <w:lvl w:ilvl="4" w:tplc="040A0003" w:tentative="1">
      <w:start w:val="1"/>
      <w:numFmt w:val="bullet"/>
      <w:lvlText w:val="o"/>
      <w:lvlJc w:val="left"/>
      <w:pPr>
        <w:ind w:left="4570" w:hanging="360"/>
      </w:pPr>
      <w:rPr>
        <w:rFonts w:ascii="Courier New" w:hAnsi="Courier New" w:cs="Courier New" w:hint="default"/>
      </w:rPr>
    </w:lvl>
    <w:lvl w:ilvl="5" w:tplc="040A0005" w:tentative="1">
      <w:start w:val="1"/>
      <w:numFmt w:val="bullet"/>
      <w:lvlText w:val=""/>
      <w:lvlJc w:val="left"/>
      <w:pPr>
        <w:ind w:left="5290" w:hanging="360"/>
      </w:pPr>
      <w:rPr>
        <w:rFonts w:ascii="Wingdings" w:hAnsi="Wingdings" w:hint="default"/>
      </w:rPr>
    </w:lvl>
    <w:lvl w:ilvl="6" w:tplc="040A0001" w:tentative="1">
      <w:start w:val="1"/>
      <w:numFmt w:val="bullet"/>
      <w:lvlText w:val=""/>
      <w:lvlJc w:val="left"/>
      <w:pPr>
        <w:ind w:left="6010" w:hanging="360"/>
      </w:pPr>
      <w:rPr>
        <w:rFonts w:ascii="Symbol" w:hAnsi="Symbol" w:hint="default"/>
      </w:rPr>
    </w:lvl>
    <w:lvl w:ilvl="7" w:tplc="040A0003" w:tentative="1">
      <w:start w:val="1"/>
      <w:numFmt w:val="bullet"/>
      <w:lvlText w:val="o"/>
      <w:lvlJc w:val="left"/>
      <w:pPr>
        <w:ind w:left="6730" w:hanging="360"/>
      </w:pPr>
      <w:rPr>
        <w:rFonts w:ascii="Courier New" w:hAnsi="Courier New" w:cs="Courier New" w:hint="default"/>
      </w:rPr>
    </w:lvl>
    <w:lvl w:ilvl="8" w:tplc="040A0005" w:tentative="1">
      <w:start w:val="1"/>
      <w:numFmt w:val="bullet"/>
      <w:lvlText w:val=""/>
      <w:lvlJc w:val="left"/>
      <w:pPr>
        <w:ind w:left="7450" w:hanging="360"/>
      </w:pPr>
      <w:rPr>
        <w:rFonts w:ascii="Wingdings" w:hAnsi="Wingdings" w:hint="default"/>
      </w:rPr>
    </w:lvl>
  </w:abstractNum>
  <w:abstractNum w:abstractNumId="109">
    <w:nsid w:val="59F96ABB"/>
    <w:multiLevelType w:val="hybridMultilevel"/>
    <w:tmpl w:val="85F45C06"/>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0">
    <w:nsid w:val="5A165091"/>
    <w:multiLevelType w:val="hybridMultilevel"/>
    <w:tmpl w:val="A9803D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5A984617"/>
    <w:multiLevelType w:val="hybridMultilevel"/>
    <w:tmpl w:val="1D0E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B0F1134"/>
    <w:multiLevelType w:val="hybridMultilevel"/>
    <w:tmpl w:val="38F0B88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4">
    <w:nsid w:val="5C056EE5"/>
    <w:multiLevelType w:val="singleLevel"/>
    <w:tmpl w:val="3378D27C"/>
    <w:name w:val="Bullet 2"/>
    <w:lvl w:ilvl="0">
      <w:start w:val="1"/>
      <w:numFmt w:val="bullet"/>
      <w:lvlRestart w:val="0"/>
      <w:pStyle w:val="Bullet20"/>
      <w:lvlText w:val=""/>
      <w:lvlJc w:val="left"/>
      <w:pPr>
        <w:tabs>
          <w:tab w:val="num" w:pos="1984"/>
        </w:tabs>
        <w:ind w:left="1984" w:hanging="567"/>
      </w:pPr>
      <w:rPr>
        <w:rFonts w:ascii="Symbol" w:hAnsi="Symbol" w:hint="default"/>
      </w:rPr>
    </w:lvl>
  </w:abstractNum>
  <w:abstractNum w:abstractNumId="11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6">
    <w:nsid w:val="5CA57E7E"/>
    <w:multiLevelType w:val="hybridMultilevel"/>
    <w:tmpl w:val="DEA84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D060240"/>
    <w:multiLevelType w:val="hybridMultilevel"/>
    <w:tmpl w:val="1006120C"/>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8">
    <w:nsid w:val="5ECC7FFE"/>
    <w:multiLevelType w:val="hybridMultilevel"/>
    <w:tmpl w:val="AFC2569C"/>
    <w:lvl w:ilvl="0" w:tplc="0C0A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9">
    <w:nsid w:val="60B41314"/>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nsid w:val="621768EE"/>
    <w:multiLevelType w:val="hybridMultilevel"/>
    <w:tmpl w:val="5E20883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64A12FA4"/>
    <w:multiLevelType w:val="multilevel"/>
    <w:tmpl w:val="BC1C158C"/>
    <w:name w:val="Heading"/>
    <w:lvl w:ilvl="0">
      <w:start w:val="1"/>
      <w:numFmt w:val="decimal"/>
      <w:lvlRestart w:val="0"/>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nsid w:val="652A3F9F"/>
    <w:multiLevelType w:val="hybridMultilevel"/>
    <w:tmpl w:val="E91E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5344370"/>
    <w:multiLevelType w:val="hybridMultilevel"/>
    <w:tmpl w:val="DD8287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nsid w:val="656B771A"/>
    <w:multiLevelType w:val="hybridMultilevel"/>
    <w:tmpl w:val="0B4EEFA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5">
    <w:nsid w:val="669B0B48"/>
    <w:multiLevelType w:val="hybridMultilevel"/>
    <w:tmpl w:val="F5741058"/>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6">
    <w:nsid w:val="669F3250"/>
    <w:multiLevelType w:val="hybridMultilevel"/>
    <w:tmpl w:val="BD0AC6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28">
    <w:nsid w:val="67CA10CF"/>
    <w:multiLevelType w:val="hybridMultilevel"/>
    <w:tmpl w:val="1F24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8735CA3"/>
    <w:multiLevelType w:val="hybridMultilevel"/>
    <w:tmpl w:val="FF96D2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6A0172F0"/>
    <w:multiLevelType w:val="hybridMultilevel"/>
    <w:tmpl w:val="888CFB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6A563A2D"/>
    <w:multiLevelType w:val="hybridMultilevel"/>
    <w:tmpl w:val="FC5A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6B8345B1"/>
    <w:multiLevelType w:val="hybridMultilevel"/>
    <w:tmpl w:val="A26E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BB9719F"/>
    <w:multiLevelType w:val="hybridMultilevel"/>
    <w:tmpl w:val="66F09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nsid w:val="6C7D3549"/>
    <w:multiLevelType w:val="hybridMultilevel"/>
    <w:tmpl w:val="FDD6BEBC"/>
    <w:lvl w:ilvl="0" w:tplc="6272088A">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5">
    <w:nsid w:val="6EF03967"/>
    <w:multiLevelType w:val="hybridMultilevel"/>
    <w:tmpl w:val="8F7E77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6F9C0D1B"/>
    <w:multiLevelType w:val="hybridMultilevel"/>
    <w:tmpl w:val="E91E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739B483A"/>
    <w:multiLevelType w:val="hybridMultilevel"/>
    <w:tmpl w:val="1FF204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74F64C9D"/>
    <w:multiLevelType w:val="hybridMultilevel"/>
    <w:tmpl w:val="B7C6D54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53C5BA9"/>
    <w:multiLevelType w:val="hybridMultilevel"/>
    <w:tmpl w:val="99C0C08E"/>
    <w:lvl w:ilvl="0" w:tplc="0409000F">
      <w:start w:val="1"/>
      <w:numFmt w:val="decimal"/>
      <w:lvlText w:val="%1."/>
      <w:lvlJc w:val="left"/>
      <w:pPr>
        <w:ind w:left="-3872" w:hanging="360"/>
      </w:pPr>
    </w:lvl>
    <w:lvl w:ilvl="1" w:tplc="04090019" w:tentative="1">
      <w:start w:val="1"/>
      <w:numFmt w:val="lowerLetter"/>
      <w:lvlText w:val="%2."/>
      <w:lvlJc w:val="left"/>
      <w:pPr>
        <w:ind w:left="-315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1712" w:hanging="360"/>
      </w:pPr>
    </w:lvl>
    <w:lvl w:ilvl="4" w:tplc="04090019" w:tentative="1">
      <w:start w:val="1"/>
      <w:numFmt w:val="lowerLetter"/>
      <w:lvlText w:val="%5."/>
      <w:lvlJc w:val="left"/>
      <w:pPr>
        <w:ind w:left="-992" w:hanging="360"/>
      </w:pPr>
    </w:lvl>
    <w:lvl w:ilvl="5" w:tplc="0409001B" w:tentative="1">
      <w:start w:val="1"/>
      <w:numFmt w:val="lowerRoman"/>
      <w:lvlText w:val="%6."/>
      <w:lvlJc w:val="right"/>
      <w:pPr>
        <w:ind w:left="-272" w:hanging="180"/>
      </w:pPr>
    </w:lvl>
    <w:lvl w:ilvl="6" w:tplc="0409000F" w:tentative="1">
      <w:start w:val="1"/>
      <w:numFmt w:val="decimal"/>
      <w:lvlText w:val="%7."/>
      <w:lvlJc w:val="left"/>
      <w:pPr>
        <w:ind w:left="448" w:hanging="360"/>
      </w:pPr>
    </w:lvl>
    <w:lvl w:ilvl="7" w:tplc="04090019" w:tentative="1">
      <w:start w:val="1"/>
      <w:numFmt w:val="lowerLetter"/>
      <w:lvlText w:val="%8."/>
      <w:lvlJc w:val="left"/>
      <w:pPr>
        <w:ind w:left="1168" w:hanging="360"/>
      </w:pPr>
    </w:lvl>
    <w:lvl w:ilvl="8" w:tplc="0409001B" w:tentative="1">
      <w:start w:val="1"/>
      <w:numFmt w:val="lowerRoman"/>
      <w:lvlText w:val="%9."/>
      <w:lvlJc w:val="right"/>
      <w:pPr>
        <w:ind w:left="1888" w:hanging="180"/>
      </w:pPr>
    </w:lvl>
  </w:abstractNum>
  <w:abstractNum w:abstractNumId="140">
    <w:nsid w:val="753D6644"/>
    <w:multiLevelType w:val="hybridMultilevel"/>
    <w:tmpl w:val="0F8E2B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nsid w:val="75644865"/>
    <w:multiLevelType w:val="hybridMultilevel"/>
    <w:tmpl w:val="2698E8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nsid w:val="75A46586"/>
    <w:multiLevelType w:val="hybridMultilevel"/>
    <w:tmpl w:val="3EC8F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69F7C97"/>
    <w:multiLevelType w:val="hybridMultilevel"/>
    <w:tmpl w:val="E7E0111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7D4553C"/>
    <w:multiLevelType w:val="hybridMultilevel"/>
    <w:tmpl w:val="6BF8647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5">
    <w:nsid w:val="783F5EBD"/>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6">
    <w:nsid w:val="78A407C3"/>
    <w:multiLevelType w:val="hybridMultilevel"/>
    <w:tmpl w:val="E52A0778"/>
    <w:lvl w:ilvl="0" w:tplc="CC82451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7B314C45"/>
    <w:multiLevelType w:val="hybridMultilevel"/>
    <w:tmpl w:val="60C62A9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C4709B9"/>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50">
    <w:nsid w:val="7E9A2E6F"/>
    <w:multiLevelType w:val="hybridMultilevel"/>
    <w:tmpl w:val="8AD48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ECA4CEB"/>
    <w:multiLevelType w:val="hybridMultilevel"/>
    <w:tmpl w:val="E706756C"/>
    <w:lvl w:ilvl="0" w:tplc="224AE4EC">
      <w:start w:val="1"/>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15"/>
  </w:num>
  <w:num w:numId="2">
    <w:abstractNumId w:val="74"/>
  </w:num>
  <w:num w:numId="3">
    <w:abstractNumId w:val="127"/>
  </w:num>
  <w:num w:numId="4">
    <w:abstractNumId w:val="54"/>
  </w:num>
  <w:num w:numId="5">
    <w:abstractNumId w:val="75"/>
  </w:num>
  <w:num w:numId="6">
    <w:abstractNumId w:val="41"/>
  </w:num>
  <w:num w:numId="7">
    <w:abstractNumId w:val="121"/>
  </w:num>
  <w:num w:numId="8">
    <w:abstractNumId w:val="34"/>
  </w:num>
  <w:num w:numId="9">
    <w:abstractNumId w:val="83"/>
  </w:num>
  <w:num w:numId="10">
    <w:abstractNumId w:val="113"/>
  </w:num>
  <w:num w:numId="11">
    <w:abstractNumId w:val="114"/>
  </w:num>
  <w:num w:numId="12">
    <w:abstractNumId w:val="53"/>
  </w:num>
  <w:num w:numId="13">
    <w:abstractNumId w:val="103"/>
  </w:num>
  <w:num w:numId="14">
    <w:abstractNumId w:val="149"/>
  </w:num>
  <w:num w:numId="15">
    <w:abstractNumId w:val="4"/>
  </w:num>
  <w:num w:numId="16">
    <w:abstractNumId w:val="2"/>
  </w:num>
  <w:num w:numId="17">
    <w:abstractNumId w:val="1"/>
  </w:num>
  <w:num w:numId="18">
    <w:abstractNumId w:val="0"/>
  </w:num>
  <w:num w:numId="19">
    <w:abstractNumId w:val="126"/>
  </w:num>
  <w:num w:numId="20">
    <w:abstractNumId w:val="97"/>
  </w:num>
  <w:num w:numId="21">
    <w:abstractNumId w:val="98"/>
  </w:num>
  <w:num w:numId="22">
    <w:abstractNumId w:val="101"/>
  </w:num>
  <w:num w:numId="23">
    <w:abstractNumId w:val="7"/>
  </w:num>
  <w:num w:numId="24">
    <w:abstractNumId w:val="40"/>
  </w:num>
  <w:num w:numId="25">
    <w:abstractNumId w:val="35"/>
  </w:num>
  <w:num w:numId="26">
    <w:abstractNumId w:val="76"/>
  </w:num>
  <w:num w:numId="27">
    <w:abstractNumId w:val="19"/>
  </w:num>
  <w:num w:numId="28">
    <w:abstractNumId w:val="66"/>
  </w:num>
  <w:num w:numId="29">
    <w:abstractNumId w:val="68"/>
  </w:num>
  <w:num w:numId="30">
    <w:abstractNumId w:val="9"/>
  </w:num>
  <w:num w:numId="31">
    <w:abstractNumId w:val="49"/>
  </w:num>
  <w:num w:numId="32">
    <w:abstractNumId w:val="14"/>
  </w:num>
  <w:num w:numId="33">
    <w:abstractNumId w:val="125"/>
  </w:num>
  <w:num w:numId="34">
    <w:abstractNumId w:val="117"/>
  </w:num>
  <w:num w:numId="35">
    <w:abstractNumId w:val="99"/>
  </w:num>
  <w:num w:numId="36">
    <w:abstractNumId w:val="15"/>
  </w:num>
  <w:num w:numId="37">
    <w:abstractNumId w:val="109"/>
  </w:num>
  <w:num w:numId="38">
    <w:abstractNumId w:val="18"/>
  </w:num>
  <w:num w:numId="39">
    <w:abstractNumId w:val="11"/>
  </w:num>
  <w:num w:numId="40">
    <w:abstractNumId w:val="6"/>
  </w:num>
  <w:num w:numId="41">
    <w:abstractNumId w:val="81"/>
  </w:num>
  <w:num w:numId="42">
    <w:abstractNumId w:val="100"/>
  </w:num>
  <w:num w:numId="43">
    <w:abstractNumId w:val="92"/>
  </w:num>
  <w:num w:numId="44">
    <w:abstractNumId w:val="79"/>
  </w:num>
  <w:num w:numId="45">
    <w:abstractNumId w:val="43"/>
  </w:num>
  <w:num w:numId="46">
    <w:abstractNumId w:val="130"/>
  </w:num>
  <w:num w:numId="47">
    <w:abstractNumId w:val="118"/>
  </w:num>
  <w:num w:numId="48">
    <w:abstractNumId w:val="36"/>
  </w:num>
  <w:num w:numId="49">
    <w:abstractNumId w:val="46"/>
  </w:num>
  <w:num w:numId="50">
    <w:abstractNumId w:val="27"/>
  </w:num>
  <w:num w:numId="51">
    <w:abstractNumId w:val="12"/>
  </w:num>
  <w:num w:numId="52">
    <w:abstractNumId w:val="70"/>
  </w:num>
  <w:num w:numId="53">
    <w:abstractNumId w:val="124"/>
  </w:num>
  <w:num w:numId="54">
    <w:abstractNumId w:val="102"/>
  </w:num>
  <w:num w:numId="55">
    <w:abstractNumId w:val="105"/>
  </w:num>
  <w:num w:numId="56">
    <w:abstractNumId w:val="129"/>
  </w:num>
  <w:num w:numId="57">
    <w:abstractNumId w:val="104"/>
  </w:num>
  <w:num w:numId="58">
    <w:abstractNumId w:val="143"/>
  </w:num>
  <w:num w:numId="59">
    <w:abstractNumId w:val="17"/>
  </w:num>
  <w:num w:numId="60">
    <w:abstractNumId w:val="52"/>
  </w:num>
  <w:num w:numId="61">
    <w:abstractNumId w:val="62"/>
  </w:num>
  <w:num w:numId="62">
    <w:abstractNumId w:val="38"/>
  </w:num>
  <w:num w:numId="63">
    <w:abstractNumId w:val="85"/>
  </w:num>
  <w:num w:numId="64">
    <w:abstractNumId w:val="144"/>
  </w:num>
  <w:num w:numId="65">
    <w:abstractNumId w:val="134"/>
  </w:num>
  <w:num w:numId="66">
    <w:abstractNumId w:val="64"/>
  </w:num>
  <w:num w:numId="67">
    <w:abstractNumId w:val="29"/>
  </w:num>
  <w:num w:numId="68">
    <w:abstractNumId w:val="84"/>
  </w:num>
  <w:num w:numId="69">
    <w:abstractNumId w:val="60"/>
  </w:num>
  <w:num w:numId="70">
    <w:abstractNumId w:val="72"/>
  </w:num>
  <w:num w:numId="71">
    <w:abstractNumId w:val="95"/>
  </w:num>
  <w:num w:numId="72">
    <w:abstractNumId w:val="71"/>
  </w:num>
  <w:num w:numId="73">
    <w:abstractNumId w:val="50"/>
  </w:num>
  <w:num w:numId="74">
    <w:abstractNumId w:val="73"/>
  </w:num>
  <w:num w:numId="75">
    <w:abstractNumId w:val="133"/>
  </w:num>
  <w:num w:numId="76">
    <w:abstractNumId w:val="151"/>
  </w:num>
  <w:num w:numId="77">
    <w:abstractNumId w:val="13"/>
  </w:num>
  <w:num w:numId="78">
    <w:abstractNumId w:val="146"/>
  </w:num>
  <w:num w:numId="79">
    <w:abstractNumId w:val="26"/>
  </w:num>
  <w:num w:numId="80">
    <w:abstractNumId w:val="31"/>
  </w:num>
  <w:num w:numId="81">
    <w:abstractNumId w:val="59"/>
  </w:num>
  <w:num w:numId="82">
    <w:abstractNumId w:val="22"/>
  </w:num>
  <w:num w:numId="83">
    <w:abstractNumId w:val="86"/>
  </w:num>
  <w:num w:numId="84">
    <w:abstractNumId w:val="88"/>
  </w:num>
  <w:num w:numId="85">
    <w:abstractNumId w:val="150"/>
  </w:num>
  <w:num w:numId="86">
    <w:abstractNumId w:val="139"/>
  </w:num>
  <w:num w:numId="87">
    <w:abstractNumId w:val="116"/>
  </w:num>
  <w:num w:numId="88">
    <w:abstractNumId w:val="47"/>
  </w:num>
  <w:num w:numId="89">
    <w:abstractNumId w:val="63"/>
  </w:num>
  <w:num w:numId="90">
    <w:abstractNumId w:val="111"/>
  </w:num>
  <w:num w:numId="91">
    <w:abstractNumId w:val="21"/>
  </w:num>
  <w:num w:numId="92">
    <w:abstractNumId w:val="93"/>
  </w:num>
  <w:num w:numId="93">
    <w:abstractNumId w:val="82"/>
  </w:num>
  <w:num w:numId="94">
    <w:abstractNumId w:val="137"/>
  </w:num>
  <w:num w:numId="95">
    <w:abstractNumId w:val="56"/>
  </w:num>
  <w:num w:numId="96">
    <w:abstractNumId w:val="140"/>
  </w:num>
  <w:num w:numId="97">
    <w:abstractNumId w:val="51"/>
  </w:num>
  <w:num w:numId="98">
    <w:abstractNumId w:val="20"/>
  </w:num>
  <w:num w:numId="99">
    <w:abstractNumId w:val="87"/>
  </w:num>
  <w:num w:numId="100">
    <w:abstractNumId w:val="128"/>
  </w:num>
  <w:num w:numId="101">
    <w:abstractNumId w:val="58"/>
  </w:num>
  <w:num w:numId="102">
    <w:abstractNumId w:val="67"/>
  </w:num>
  <w:num w:numId="103">
    <w:abstractNumId w:val="131"/>
  </w:num>
  <w:num w:numId="104">
    <w:abstractNumId w:val="141"/>
  </w:num>
  <w:num w:numId="105">
    <w:abstractNumId w:val="45"/>
  </w:num>
  <w:num w:numId="106">
    <w:abstractNumId w:val="122"/>
  </w:num>
  <w:num w:numId="107">
    <w:abstractNumId w:val="78"/>
  </w:num>
  <w:num w:numId="108">
    <w:abstractNumId w:val="136"/>
  </w:num>
  <w:num w:numId="109">
    <w:abstractNumId w:val="110"/>
  </w:num>
  <w:num w:numId="110">
    <w:abstractNumId w:val="65"/>
  </w:num>
  <w:num w:numId="111">
    <w:abstractNumId w:val="147"/>
  </w:num>
  <w:num w:numId="112">
    <w:abstractNumId w:val="57"/>
  </w:num>
  <w:num w:numId="113">
    <w:abstractNumId w:val="138"/>
  </w:num>
  <w:num w:numId="114">
    <w:abstractNumId w:val="24"/>
  </w:num>
  <w:num w:numId="115">
    <w:abstractNumId w:val="61"/>
  </w:num>
  <w:num w:numId="116">
    <w:abstractNumId w:val="142"/>
  </w:num>
  <w:num w:numId="117">
    <w:abstractNumId w:val="28"/>
  </w:num>
  <w:num w:numId="118">
    <w:abstractNumId w:val="106"/>
  </w:num>
  <w:num w:numId="119">
    <w:abstractNumId w:val="77"/>
  </w:num>
  <w:num w:numId="120">
    <w:abstractNumId w:val="69"/>
  </w:num>
  <w:num w:numId="121">
    <w:abstractNumId w:val="132"/>
  </w:num>
  <w:num w:numId="122">
    <w:abstractNumId w:val="80"/>
  </w:num>
  <w:num w:numId="123">
    <w:abstractNumId w:val="90"/>
  </w:num>
  <w:num w:numId="124">
    <w:abstractNumId w:val="96"/>
  </w:num>
  <w:num w:numId="125">
    <w:abstractNumId w:val="135"/>
  </w:num>
  <w:num w:numId="126">
    <w:abstractNumId w:val="91"/>
  </w:num>
  <w:num w:numId="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7"/>
    <w:lvlOverride w:ilvl="0">
      <w:startOverride w:val="1"/>
    </w:lvlOverride>
    <w:lvlOverride w:ilvl="1"/>
    <w:lvlOverride w:ilvl="2"/>
    <w:lvlOverride w:ilvl="3"/>
    <w:lvlOverride w:ilvl="4"/>
    <w:lvlOverride w:ilvl="5"/>
    <w:lvlOverride w:ilvl="6"/>
    <w:lvlOverride w:ilvl="7"/>
    <w:lvlOverride w:ilvl="8"/>
  </w:num>
  <w:num w:numId="1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7"/>
    <w:lvlOverride w:ilvl="0">
      <w:startOverride w:val="1"/>
    </w:lvlOverride>
    <w:lvlOverride w:ilvl="1"/>
    <w:lvlOverride w:ilvl="2"/>
    <w:lvlOverride w:ilvl="3"/>
    <w:lvlOverride w:ilvl="4"/>
    <w:lvlOverride w:ilvl="5"/>
    <w:lvlOverride w:ilvl="6"/>
    <w:lvlOverride w:ilvl="7"/>
    <w:lvlOverride w:ilvl="8"/>
  </w:num>
  <w:num w:numId="1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5"/>
  </w:num>
  <w:num w:numId="138">
    <w:abstractNumId w:val="120"/>
  </w:num>
  <w:num w:numId="139">
    <w:abstractNumId w:val="123"/>
  </w:num>
  <w:num w:numId="140">
    <w:abstractNumId w:val="94"/>
  </w:num>
  <w:num w:numId="141">
    <w:abstractNumId w:val="30"/>
  </w:num>
  <w:num w:numId="142">
    <w:abstractNumId w:val="112"/>
  </w:num>
  <w:num w:numId="143">
    <w:abstractNumId w:val="151"/>
  </w:num>
  <w:num w:numId="144">
    <w:abstractNumId w:val="13"/>
  </w:num>
  <w:num w:numId="145">
    <w:abstractNumId w:val="146"/>
  </w:num>
  <w:num w:numId="146">
    <w:abstractNumId w:val="23"/>
  </w:num>
  <w:num w:numId="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
  </w:num>
  <w:num w:numId="1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5"/>
  </w:num>
  <w:num w:numId="152">
    <w:abstractNumId w:val="119"/>
  </w:num>
  <w:num w:numId="153">
    <w:abstractNumId w:val="5"/>
  </w:num>
  <w:num w:numId="154">
    <w:abstractNumId w:val="39"/>
  </w:num>
  <w:num w:numId="155">
    <w:abstractNumId w:val="48"/>
  </w:num>
  <w:num w:numId="156">
    <w:abstractNumId w:val="44"/>
  </w:num>
  <w:num w:numId="1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2"/>
  </w:num>
  <w:num w:numId="1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
  </w:num>
  <w:num w:numId="176">
    <w:abstractNumId w:val="108"/>
  </w:num>
  <w:num w:numId="177">
    <w:abstractNumId w:val="16"/>
  </w:num>
  <w:num w:numId="178">
    <w:abstractNumId w:val="37"/>
  </w:num>
  <w:num w:numId="179">
    <w:abstractNumId w:val="8"/>
  </w:num>
  <w:num w:numId="180">
    <w:abstractNumId w:val="107"/>
  </w:num>
  <w:num w:numId="181">
    <w:abstractNumId w:val="42"/>
  </w:num>
  <w:num w:numId="182">
    <w:abstractNumId w:val="89"/>
  </w:num>
  <w:num w:numId="183">
    <w:abstractNumId w:val="145"/>
  </w:num>
  <w:num w:numId="184">
    <w:abstractNumId w:val="148"/>
  </w:num>
  <w:num w:numId="185">
    <w:abstractNumId w:val="33"/>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ES"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es-ES_tradnl" w:vendorID="64" w:dllVersion="131078" w:nlCheck="1" w:checkStyle="0"/>
  <w:activeWritingStyle w:appName="MSWord" w:lang="fr-BE" w:vendorID="64" w:dllVersion="131078" w:nlCheck="1" w:checkStyle="0"/>
  <w:activeWritingStyle w:appName="MSWord" w:lang="pt-PT" w:vendorID="64" w:dllVersion="131078" w:nlCheck="1" w:checkStyle="0"/>
  <w:activeWritingStyle w:appName="MSWord" w:lang="da-DK"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il"/>
    <w:docVar w:name="LW_ANNEX_NBR_FIRST" w:val="1"/>
    <w:docVar w:name="LW_ANNEX_NBR_LAST" w:val="1"/>
    <w:docVar w:name="LW_ANNEX_UNIQUE" w:val="1"/>
    <w:docVar w:name="LW_CORRIGENDUM" w:val="&lt;UNUSED&gt;"/>
    <w:docVar w:name="LW_COVERPAGE_EXISTS" w:val="True"/>
    <w:docVar w:name="LW_COVERPAGE_GUID" w:val="1C4DB192-EFA1-4ACE-A96E-73174F1C0A54"/>
    <w:docVar w:name="LW_COVERPAGE_TYPE" w:val="1"/>
    <w:docVar w:name="LW_CROSSREFERENCE" w:val="{SWD(2021) 147 final}"/>
    <w:docVar w:name="LW_DocType" w:val="NORMAL"/>
    <w:docVar w:name="LW_EMISSION" w:val="16.6.2021"/>
    <w:docVar w:name="LW_EMISSION_ISODATE" w:val="2021-06-16"/>
    <w:docVar w:name="LW_EMISSION_LOCATION" w:val="BRX"/>
    <w:docVar w:name="LW_EMISSION_PREFIX" w:val="Bruxelles, den "/>
    <w:docVar w:name="LW_EMISSION_SUFFIX" w:val=" "/>
    <w:docVar w:name="LW_ID_DOCTYPE_NONLW" w:val="CP-036"/>
    <w:docVar w:name="LW_LANGUE" w:val="DA"/>
    <w:docVar w:name="LW_LEVEL_OF_SENSITIVITY" w:val="Standard treatment"/>
    <w:docVar w:name="LW_NOM.INST" w:val="EUROPA-KOMMISSIONEN"/>
    <w:docVar w:name="LW_NOM.INST_JOINTDOC" w:val="&lt;EMPTY&gt;"/>
    <w:docVar w:name="LW_OBJETACTEPRINCIPAL.CP" w:val="om godkendelse af vurderingen af Spaniens genopretnings- og resiliensplan"/>
    <w:docVar w:name="LW_PART_NBR" w:val="1"/>
    <w:docVar w:name="LW_PART_NBR_TOTAL" w:val="1"/>
    <w:docVar w:name="LW_REF.INST.NEW" w:val="COM"/>
    <w:docVar w:name="LW_REF.INST.NEW_ADOPTED" w:val="final"/>
    <w:docVar w:name="LW_REF.INST.NEW_TEXT" w:val="(2021) 3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_x000b_"/>
    <w:docVar w:name="LW_TYPEACTEPRINCIPAL.CP" w:val="forslag til Rådets gennemførelsesafgørelse"/>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spacing w:before="360" w:after="360" w:line="240" w:lineRule="auto"/>
      <w:jc w:val="center"/>
      <w:outlineLvl w:val="0"/>
    </w:pPr>
    <w:rPr>
      <w:rFonts w:ascii="Times New Roman" w:hAnsi="Times New Roman" w:cs="Times New Roman"/>
      <w:b/>
      <w:smallCaps/>
      <w:sz w:val="28"/>
    </w:rPr>
  </w:style>
  <w:style w:type="paragraph" w:styleId="Heading2">
    <w:name w:val="heading 2"/>
    <w:basedOn w:val="Normal"/>
    <w:next w:val="Text1"/>
    <w:link w:val="Heading2Char"/>
    <w:uiPriority w:val="9"/>
    <w:unhideWhenUsed/>
    <w:qFormat/>
    <w:pPr>
      <w:keepNext/>
      <w:numPr>
        <w:ilvl w:val="1"/>
        <w:numId w:val="7"/>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7"/>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pPr>
      <w:keepNext/>
      <w:numPr>
        <w:ilvl w:val="3"/>
        <w:numId w:val="7"/>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smallCaps/>
      <w:sz w:val="28"/>
      <w:lang w:val="da-DK"/>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link w:val="Bullet1Char"/>
    <w:qFormat/>
    <w:pPr>
      <w:numPr>
        <w:numId w:val="10"/>
      </w:numPr>
      <w:spacing w:before="120" w:after="120" w:line="240" w:lineRule="auto"/>
      <w:jc w:val="both"/>
    </w:pPr>
    <w:rPr>
      <w:rFonts w:ascii="Times New Roman" w:hAnsi="Times New Roman" w:cs="Times New Roman"/>
      <w:sz w:val="24"/>
    </w:rPr>
  </w:style>
  <w:style w:type="paragraph" w:customStyle="1" w:styleId="Bullet20">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da-DK"/>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Bullet1Char">
    <w:name w:val="Bullet 1 Char"/>
    <w:basedOn w:val="DefaultParagraphFont"/>
    <w:link w:val="Bullet1"/>
    <w:rPr>
      <w:rFonts w:ascii="Times New Roman" w:hAnsi="Times New Roman" w:cs="Times New Roman"/>
      <w:sz w:val="24"/>
    </w:rPr>
  </w:style>
  <w:style w:type="paragraph" w:customStyle="1" w:styleId="bullet2">
    <w:name w:val="bullet 2"/>
    <w:basedOn w:val="Normal"/>
    <w:link w:val="bullet2Char"/>
    <w:qFormat/>
    <w:pPr>
      <w:numPr>
        <w:ilvl w:val="1"/>
        <w:numId w:val="22"/>
      </w:numPr>
      <w:spacing w:before="120" w:after="120" w:line="240" w:lineRule="auto"/>
    </w:pPr>
    <w:rPr>
      <w:rFonts w:eastAsia="Arial" w:cstheme="minorHAnsi"/>
      <w:color w:val="000000" w:themeColor="text1"/>
      <w:sz w:val="24"/>
      <w:szCs w:val="24"/>
    </w:rPr>
  </w:style>
  <w:style w:type="character" w:customStyle="1" w:styleId="bullet2Char">
    <w:name w:val="bullet 2 Char"/>
    <w:basedOn w:val="DefaultParagraphFont"/>
    <w:link w:val="bullet2"/>
    <w:rPr>
      <w:rFonts w:eastAsia="Arial" w:cstheme="minorHAnsi"/>
      <w:color w:val="000000" w:themeColor="text1"/>
      <w:sz w:val="24"/>
      <w:szCs w:val="24"/>
      <w:lang w:val="da-DK"/>
    </w:rPr>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da-DK"/>
    </w:rPr>
  </w:style>
  <w:style w:type="character" w:customStyle="1" w:styleId="y2iqfc">
    <w:name w:val="y2iqfc"/>
    <w:basedOn w:val="DefaultParagraphFont"/>
  </w:style>
  <w:style w:type="paragraph" w:styleId="ListNumber">
    <w:name w:val="List Number"/>
    <w:basedOn w:val="Normal"/>
    <w:uiPriority w:val="99"/>
    <w:semiHidden/>
    <w:unhideWhenUsed/>
    <w:pPr>
      <w:numPr>
        <w:numId w:val="148"/>
      </w:numPr>
      <w:spacing w:before="120" w:after="120" w:line="240" w:lineRule="auto"/>
      <w:contextualSpacing/>
      <w:jc w:val="both"/>
    </w:pPr>
    <w:rPr>
      <w:rFonts w:ascii="Times New Roman" w:hAnsi="Times New Roman" w:cs="Times New Roman"/>
      <w:sz w:val="24"/>
    </w:rPr>
  </w:style>
  <w:style w:type="character" w:customStyle="1" w:styleId="oj-super">
    <w:name w:val="oj-super"/>
    <w:basedOn w:val="DefaultParagraphFont"/>
  </w:style>
  <w:style w:type="paragraph" w:customStyle="1" w:styleId="xmsonormal">
    <w:name w:val="x_msonormal"/>
    <w:basedOn w:val="Normal"/>
    <w:pPr>
      <w:spacing w:after="0" w:line="240" w:lineRule="auto"/>
    </w:pPr>
    <w:rPr>
      <w:rFonts w:ascii="Calibri" w:hAnsi="Calibri" w:cs="Calibri"/>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spacing w:before="360" w:after="360" w:line="240" w:lineRule="auto"/>
      <w:jc w:val="center"/>
      <w:outlineLvl w:val="0"/>
    </w:pPr>
    <w:rPr>
      <w:rFonts w:ascii="Times New Roman" w:hAnsi="Times New Roman" w:cs="Times New Roman"/>
      <w:b/>
      <w:smallCaps/>
      <w:sz w:val="28"/>
    </w:rPr>
  </w:style>
  <w:style w:type="paragraph" w:styleId="Heading2">
    <w:name w:val="heading 2"/>
    <w:basedOn w:val="Normal"/>
    <w:next w:val="Text1"/>
    <w:link w:val="Heading2Char"/>
    <w:uiPriority w:val="9"/>
    <w:unhideWhenUsed/>
    <w:qFormat/>
    <w:pPr>
      <w:keepNext/>
      <w:numPr>
        <w:ilvl w:val="1"/>
        <w:numId w:val="7"/>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7"/>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pPr>
      <w:keepNext/>
      <w:numPr>
        <w:ilvl w:val="3"/>
        <w:numId w:val="7"/>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smallCaps/>
      <w:sz w:val="28"/>
      <w:lang w:val="da-DK"/>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link w:val="Bullet1Char"/>
    <w:qFormat/>
    <w:pPr>
      <w:numPr>
        <w:numId w:val="10"/>
      </w:numPr>
      <w:spacing w:before="120" w:after="120" w:line="240" w:lineRule="auto"/>
      <w:jc w:val="both"/>
    </w:pPr>
    <w:rPr>
      <w:rFonts w:ascii="Times New Roman" w:hAnsi="Times New Roman" w:cs="Times New Roman"/>
      <w:sz w:val="24"/>
    </w:rPr>
  </w:style>
  <w:style w:type="paragraph" w:customStyle="1" w:styleId="Bullet20">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da-DK"/>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Bullet1Char">
    <w:name w:val="Bullet 1 Char"/>
    <w:basedOn w:val="DefaultParagraphFont"/>
    <w:link w:val="Bullet1"/>
    <w:rPr>
      <w:rFonts w:ascii="Times New Roman" w:hAnsi="Times New Roman" w:cs="Times New Roman"/>
      <w:sz w:val="24"/>
    </w:rPr>
  </w:style>
  <w:style w:type="paragraph" w:customStyle="1" w:styleId="bullet2">
    <w:name w:val="bullet 2"/>
    <w:basedOn w:val="Normal"/>
    <w:link w:val="bullet2Char"/>
    <w:qFormat/>
    <w:pPr>
      <w:numPr>
        <w:ilvl w:val="1"/>
        <w:numId w:val="22"/>
      </w:numPr>
      <w:spacing w:before="120" w:after="120" w:line="240" w:lineRule="auto"/>
    </w:pPr>
    <w:rPr>
      <w:rFonts w:eastAsia="Arial" w:cstheme="minorHAnsi"/>
      <w:color w:val="000000" w:themeColor="text1"/>
      <w:sz w:val="24"/>
      <w:szCs w:val="24"/>
    </w:rPr>
  </w:style>
  <w:style w:type="character" w:customStyle="1" w:styleId="bullet2Char">
    <w:name w:val="bullet 2 Char"/>
    <w:basedOn w:val="DefaultParagraphFont"/>
    <w:link w:val="bullet2"/>
    <w:rPr>
      <w:rFonts w:eastAsia="Arial" w:cstheme="minorHAnsi"/>
      <w:color w:val="000000" w:themeColor="text1"/>
      <w:sz w:val="24"/>
      <w:szCs w:val="24"/>
      <w:lang w:val="da-DK"/>
    </w:rPr>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da-DK"/>
    </w:rPr>
  </w:style>
  <w:style w:type="character" w:customStyle="1" w:styleId="y2iqfc">
    <w:name w:val="y2iqfc"/>
    <w:basedOn w:val="DefaultParagraphFont"/>
  </w:style>
  <w:style w:type="paragraph" w:styleId="ListNumber">
    <w:name w:val="List Number"/>
    <w:basedOn w:val="Normal"/>
    <w:uiPriority w:val="99"/>
    <w:semiHidden/>
    <w:unhideWhenUsed/>
    <w:pPr>
      <w:numPr>
        <w:numId w:val="148"/>
      </w:numPr>
      <w:spacing w:before="120" w:after="120" w:line="240" w:lineRule="auto"/>
      <w:contextualSpacing/>
      <w:jc w:val="both"/>
    </w:pPr>
    <w:rPr>
      <w:rFonts w:ascii="Times New Roman" w:hAnsi="Times New Roman" w:cs="Times New Roman"/>
      <w:sz w:val="24"/>
    </w:rPr>
  </w:style>
  <w:style w:type="character" w:customStyle="1" w:styleId="oj-super">
    <w:name w:val="oj-super"/>
    <w:basedOn w:val="DefaultParagraphFont"/>
  </w:style>
  <w:style w:type="paragraph" w:customStyle="1" w:styleId="xmsonormal">
    <w:name w:val="x_msonormal"/>
    <w:basedOn w:val="Normal"/>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2280">
      <w:bodyDiv w:val="1"/>
      <w:marLeft w:val="0"/>
      <w:marRight w:val="0"/>
      <w:marTop w:val="0"/>
      <w:marBottom w:val="0"/>
      <w:divBdr>
        <w:top w:val="none" w:sz="0" w:space="0" w:color="auto"/>
        <w:left w:val="none" w:sz="0" w:space="0" w:color="auto"/>
        <w:bottom w:val="none" w:sz="0" w:space="0" w:color="auto"/>
        <w:right w:val="none" w:sz="0" w:space="0" w:color="auto"/>
      </w:divBdr>
    </w:div>
    <w:div w:id="153767423">
      <w:bodyDiv w:val="1"/>
      <w:marLeft w:val="0"/>
      <w:marRight w:val="0"/>
      <w:marTop w:val="0"/>
      <w:marBottom w:val="0"/>
      <w:divBdr>
        <w:top w:val="none" w:sz="0" w:space="0" w:color="auto"/>
        <w:left w:val="none" w:sz="0" w:space="0" w:color="auto"/>
        <w:bottom w:val="none" w:sz="0" w:space="0" w:color="auto"/>
        <w:right w:val="none" w:sz="0" w:space="0" w:color="auto"/>
      </w:divBdr>
    </w:div>
    <w:div w:id="264113178">
      <w:bodyDiv w:val="1"/>
      <w:marLeft w:val="0"/>
      <w:marRight w:val="0"/>
      <w:marTop w:val="0"/>
      <w:marBottom w:val="0"/>
      <w:divBdr>
        <w:top w:val="none" w:sz="0" w:space="0" w:color="auto"/>
        <w:left w:val="none" w:sz="0" w:space="0" w:color="auto"/>
        <w:bottom w:val="none" w:sz="0" w:space="0" w:color="auto"/>
        <w:right w:val="none" w:sz="0" w:space="0" w:color="auto"/>
      </w:divBdr>
    </w:div>
    <w:div w:id="276840304">
      <w:bodyDiv w:val="1"/>
      <w:marLeft w:val="0"/>
      <w:marRight w:val="0"/>
      <w:marTop w:val="0"/>
      <w:marBottom w:val="0"/>
      <w:divBdr>
        <w:top w:val="none" w:sz="0" w:space="0" w:color="auto"/>
        <w:left w:val="none" w:sz="0" w:space="0" w:color="auto"/>
        <w:bottom w:val="none" w:sz="0" w:space="0" w:color="auto"/>
        <w:right w:val="none" w:sz="0" w:space="0" w:color="auto"/>
      </w:divBdr>
    </w:div>
    <w:div w:id="443230782">
      <w:bodyDiv w:val="1"/>
      <w:marLeft w:val="0"/>
      <w:marRight w:val="0"/>
      <w:marTop w:val="0"/>
      <w:marBottom w:val="0"/>
      <w:divBdr>
        <w:top w:val="none" w:sz="0" w:space="0" w:color="auto"/>
        <w:left w:val="none" w:sz="0" w:space="0" w:color="auto"/>
        <w:bottom w:val="none" w:sz="0" w:space="0" w:color="auto"/>
        <w:right w:val="none" w:sz="0" w:space="0" w:color="auto"/>
      </w:divBdr>
    </w:div>
    <w:div w:id="454952789">
      <w:bodyDiv w:val="1"/>
      <w:marLeft w:val="0"/>
      <w:marRight w:val="0"/>
      <w:marTop w:val="0"/>
      <w:marBottom w:val="0"/>
      <w:divBdr>
        <w:top w:val="none" w:sz="0" w:space="0" w:color="auto"/>
        <w:left w:val="none" w:sz="0" w:space="0" w:color="auto"/>
        <w:bottom w:val="none" w:sz="0" w:space="0" w:color="auto"/>
        <w:right w:val="none" w:sz="0" w:space="0" w:color="auto"/>
      </w:divBdr>
    </w:div>
    <w:div w:id="467209046">
      <w:bodyDiv w:val="1"/>
      <w:marLeft w:val="0"/>
      <w:marRight w:val="0"/>
      <w:marTop w:val="0"/>
      <w:marBottom w:val="0"/>
      <w:divBdr>
        <w:top w:val="none" w:sz="0" w:space="0" w:color="auto"/>
        <w:left w:val="none" w:sz="0" w:space="0" w:color="auto"/>
        <w:bottom w:val="none" w:sz="0" w:space="0" w:color="auto"/>
        <w:right w:val="none" w:sz="0" w:space="0" w:color="auto"/>
      </w:divBdr>
    </w:div>
    <w:div w:id="679158170">
      <w:bodyDiv w:val="1"/>
      <w:marLeft w:val="0"/>
      <w:marRight w:val="0"/>
      <w:marTop w:val="0"/>
      <w:marBottom w:val="0"/>
      <w:divBdr>
        <w:top w:val="none" w:sz="0" w:space="0" w:color="auto"/>
        <w:left w:val="none" w:sz="0" w:space="0" w:color="auto"/>
        <w:bottom w:val="none" w:sz="0" w:space="0" w:color="auto"/>
        <w:right w:val="none" w:sz="0" w:space="0" w:color="auto"/>
      </w:divBdr>
    </w:div>
    <w:div w:id="717585710">
      <w:bodyDiv w:val="1"/>
      <w:marLeft w:val="0"/>
      <w:marRight w:val="0"/>
      <w:marTop w:val="0"/>
      <w:marBottom w:val="0"/>
      <w:divBdr>
        <w:top w:val="none" w:sz="0" w:space="0" w:color="auto"/>
        <w:left w:val="none" w:sz="0" w:space="0" w:color="auto"/>
        <w:bottom w:val="none" w:sz="0" w:space="0" w:color="auto"/>
        <w:right w:val="none" w:sz="0" w:space="0" w:color="auto"/>
      </w:divBdr>
    </w:div>
    <w:div w:id="751897515">
      <w:bodyDiv w:val="1"/>
      <w:marLeft w:val="0"/>
      <w:marRight w:val="0"/>
      <w:marTop w:val="0"/>
      <w:marBottom w:val="0"/>
      <w:divBdr>
        <w:top w:val="none" w:sz="0" w:space="0" w:color="auto"/>
        <w:left w:val="none" w:sz="0" w:space="0" w:color="auto"/>
        <w:bottom w:val="none" w:sz="0" w:space="0" w:color="auto"/>
        <w:right w:val="none" w:sz="0" w:space="0" w:color="auto"/>
      </w:divBdr>
    </w:div>
    <w:div w:id="864750509">
      <w:bodyDiv w:val="1"/>
      <w:marLeft w:val="0"/>
      <w:marRight w:val="0"/>
      <w:marTop w:val="0"/>
      <w:marBottom w:val="0"/>
      <w:divBdr>
        <w:top w:val="none" w:sz="0" w:space="0" w:color="auto"/>
        <w:left w:val="none" w:sz="0" w:space="0" w:color="auto"/>
        <w:bottom w:val="none" w:sz="0" w:space="0" w:color="auto"/>
        <w:right w:val="none" w:sz="0" w:space="0" w:color="auto"/>
      </w:divBdr>
    </w:div>
    <w:div w:id="898634094">
      <w:bodyDiv w:val="1"/>
      <w:marLeft w:val="0"/>
      <w:marRight w:val="0"/>
      <w:marTop w:val="0"/>
      <w:marBottom w:val="0"/>
      <w:divBdr>
        <w:top w:val="none" w:sz="0" w:space="0" w:color="auto"/>
        <w:left w:val="none" w:sz="0" w:space="0" w:color="auto"/>
        <w:bottom w:val="none" w:sz="0" w:space="0" w:color="auto"/>
        <w:right w:val="none" w:sz="0" w:space="0" w:color="auto"/>
      </w:divBdr>
    </w:div>
    <w:div w:id="931088145">
      <w:bodyDiv w:val="1"/>
      <w:marLeft w:val="0"/>
      <w:marRight w:val="0"/>
      <w:marTop w:val="0"/>
      <w:marBottom w:val="0"/>
      <w:divBdr>
        <w:top w:val="none" w:sz="0" w:space="0" w:color="auto"/>
        <w:left w:val="none" w:sz="0" w:space="0" w:color="auto"/>
        <w:bottom w:val="none" w:sz="0" w:space="0" w:color="auto"/>
        <w:right w:val="none" w:sz="0" w:space="0" w:color="auto"/>
      </w:divBdr>
    </w:div>
    <w:div w:id="988555034">
      <w:bodyDiv w:val="1"/>
      <w:marLeft w:val="0"/>
      <w:marRight w:val="0"/>
      <w:marTop w:val="0"/>
      <w:marBottom w:val="0"/>
      <w:divBdr>
        <w:top w:val="none" w:sz="0" w:space="0" w:color="auto"/>
        <w:left w:val="none" w:sz="0" w:space="0" w:color="auto"/>
        <w:bottom w:val="none" w:sz="0" w:space="0" w:color="auto"/>
        <w:right w:val="none" w:sz="0" w:space="0" w:color="auto"/>
      </w:divBdr>
    </w:div>
    <w:div w:id="1069619329">
      <w:bodyDiv w:val="1"/>
      <w:marLeft w:val="0"/>
      <w:marRight w:val="0"/>
      <w:marTop w:val="0"/>
      <w:marBottom w:val="0"/>
      <w:divBdr>
        <w:top w:val="none" w:sz="0" w:space="0" w:color="auto"/>
        <w:left w:val="none" w:sz="0" w:space="0" w:color="auto"/>
        <w:bottom w:val="none" w:sz="0" w:space="0" w:color="auto"/>
        <w:right w:val="none" w:sz="0" w:space="0" w:color="auto"/>
      </w:divBdr>
    </w:div>
    <w:div w:id="1102842384">
      <w:bodyDiv w:val="1"/>
      <w:marLeft w:val="0"/>
      <w:marRight w:val="0"/>
      <w:marTop w:val="0"/>
      <w:marBottom w:val="0"/>
      <w:divBdr>
        <w:top w:val="none" w:sz="0" w:space="0" w:color="auto"/>
        <w:left w:val="none" w:sz="0" w:space="0" w:color="auto"/>
        <w:bottom w:val="none" w:sz="0" w:space="0" w:color="auto"/>
        <w:right w:val="none" w:sz="0" w:space="0" w:color="auto"/>
      </w:divBdr>
    </w:div>
    <w:div w:id="1164247691">
      <w:bodyDiv w:val="1"/>
      <w:marLeft w:val="0"/>
      <w:marRight w:val="0"/>
      <w:marTop w:val="0"/>
      <w:marBottom w:val="0"/>
      <w:divBdr>
        <w:top w:val="none" w:sz="0" w:space="0" w:color="auto"/>
        <w:left w:val="none" w:sz="0" w:space="0" w:color="auto"/>
        <w:bottom w:val="none" w:sz="0" w:space="0" w:color="auto"/>
        <w:right w:val="none" w:sz="0" w:space="0" w:color="auto"/>
      </w:divBdr>
    </w:div>
    <w:div w:id="1173255207">
      <w:bodyDiv w:val="1"/>
      <w:marLeft w:val="0"/>
      <w:marRight w:val="0"/>
      <w:marTop w:val="0"/>
      <w:marBottom w:val="0"/>
      <w:divBdr>
        <w:top w:val="none" w:sz="0" w:space="0" w:color="auto"/>
        <w:left w:val="none" w:sz="0" w:space="0" w:color="auto"/>
        <w:bottom w:val="none" w:sz="0" w:space="0" w:color="auto"/>
        <w:right w:val="none" w:sz="0" w:space="0" w:color="auto"/>
      </w:divBdr>
    </w:div>
    <w:div w:id="1329480903">
      <w:bodyDiv w:val="1"/>
      <w:marLeft w:val="0"/>
      <w:marRight w:val="0"/>
      <w:marTop w:val="0"/>
      <w:marBottom w:val="0"/>
      <w:divBdr>
        <w:top w:val="none" w:sz="0" w:space="0" w:color="auto"/>
        <w:left w:val="none" w:sz="0" w:space="0" w:color="auto"/>
        <w:bottom w:val="none" w:sz="0" w:space="0" w:color="auto"/>
        <w:right w:val="none" w:sz="0" w:space="0" w:color="auto"/>
      </w:divBdr>
    </w:div>
    <w:div w:id="1362559755">
      <w:bodyDiv w:val="1"/>
      <w:marLeft w:val="0"/>
      <w:marRight w:val="0"/>
      <w:marTop w:val="0"/>
      <w:marBottom w:val="0"/>
      <w:divBdr>
        <w:top w:val="none" w:sz="0" w:space="0" w:color="auto"/>
        <w:left w:val="none" w:sz="0" w:space="0" w:color="auto"/>
        <w:bottom w:val="none" w:sz="0" w:space="0" w:color="auto"/>
        <w:right w:val="none" w:sz="0" w:space="0" w:color="auto"/>
      </w:divBdr>
    </w:div>
    <w:div w:id="1377312750">
      <w:bodyDiv w:val="1"/>
      <w:marLeft w:val="0"/>
      <w:marRight w:val="0"/>
      <w:marTop w:val="0"/>
      <w:marBottom w:val="0"/>
      <w:divBdr>
        <w:top w:val="none" w:sz="0" w:space="0" w:color="auto"/>
        <w:left w:val="none" w:sz="0" w:space="0" w:color="auto"/>
        <w:bottom w:val="none" w:sz="0" w:space="0" w:color="auto"/>
        <w:right w:val="none" w:sz="0" w:space="0" w:color="auto"/>
      </w:divBdr>
    </w:div>
    <w:div w:id="1392579075">
      <w:bodyDiv w:val="1"/>
      <w:marLeft w:val="0"/>
      <w:marRight w:val="0"/>
      <w:marTop w:val="0"/>
      <w:marBottom w:val="0"/>
      <w:divBdr>
        <w:top w:val="none" w:sz="0" w:space="0" w:color="auto"/>
        <w:left w:val="none" w:sz="0" w:space="0" w:color="auto"/>
        <w:bottom w:val="none" w:sz="0" w:space="0" w:color="auto"/>
        <w:right w:val="none" w:sz="0" w:space="0" w:color="auto"/>
      </w:divBdr>
    </w:div>
    <w:div w:id="1406686731">
      <w:bodyDiv w:val="1"/>
      <w:marLeft w:val="0"/>
      <w:marRight w:val="0"/>
      <w:marTop w:val="0"/>
      <w:marBottom w:val="0"/>
      <w:divBdr>
        <w:top w:val="none" w:sz="0" w:space="0" w:color="auto"/>
        <w:left w:val="none" w:sz="0" w:space="0" w:color="auto"/>
        <w:bottom w:val="none" w:sz="0" w:space="0" w:color="auto"/>
        <w:right w:val="none" w:sz="0" w:space="0" w:color="auto"/>
      </w:divBdr>
    </w:div>
    <w:div w:id="1463035405">
      <w:bodyDiv w:val="1"/>
      <w:marLeft w:val="0"/>
      <w:marRight w:val="0"/>
      <w:marTop w:val="0"/>
      <w:marBottom w:val="0"/>
      <w:divBdr>
        <w:top w:val="none" w:sz="0" w:space="0" w:color="auto"/>
        <w:left w:val="none" w:sz="0" w:space="0" w:color="auto"/>
        <w:bottom w:val="none" w:sz="0" w:space="0" w:color="auto"/>
        <w:right w:val="none" w:sz="0" w:space="0" w:color="auto"/>
      </w:divBdr>
    </w:div>
    <w:div w:id="1648590147">
      <w:bodyDiv w:val="1"/>
      <w:marLeft w:val="0"/>
      <w:marRight w:val="0"/>
      <w:marTop w:val="0"/>
      <w:marBottom w:val="0"/>
      <w:divBdr>
        <w:top w:val="none" w:sz="0" w:space="0" w:color="auto"/>
        <w:left w:val="none" w:sz="0" w:space="0" w:color="auto"/>
        <w:bottom w:val="none" w:sz="0" w:space="0" w:color="auto"/>
        <w:right w:val="none" w:sz="0" w:space="0" w:color="auto"/>
      </w:divBdr>
    </w:div>
    <w:div w:id="1814708925">
      <w:bodyDiv w:val="1"/>
      <w:marLeft w:val="0"/>
      <w:marRight w:val="0"/>
      <w:marTop w:val="0"/>
      <w:marBottom w:val="0"/>
      <w:divBdr>
        <w:top w:val="none" w:sz="0" w:space="0" w:color="auto"/>
        <w:left w:val="none" w:sz="0" w:space="0" w:color="auto"/>
        <w:bottom w:val="none" w:sz="0" w:space="0" w:color="auto"/>
        <w:right w:val="none" w:sz="0" w:space="0" w:color="auto"/>
      </w:divBdr>
    </w:div>
    <w:div w:id="1853957364">
      <w:bodyDiv w:val="1"/>
      <w:marLeft w:val="0"/>
      <w:marRight w:val="0"/>
      <w:marTop w:val="0"/>
      <w:marBottom w:val="0"/>
      <w:divBdr>
        <w:top w:val="none" w:sz="0" w:space="0" w:color="auto"/>
        <w:left w:val="none" w:sz="0" w:space="0" w:color="auto"/>
        <w:bottom w:val="none" w:sz="0" w:space="0" w:color="auto"/>
        <w:right w:val="none" w:sz="0" w:space="0" w:color="auto"/>
      </w:divBdr>
    </w:div>
    <w:div w:id="1904634433">
      <w:bodyDiv w:val="1"/>
      <w:marLeft w:val="0"/>
      <w:marRight w:val="0"/>
      <w:marTop w:val="0"/>
      <w:marBottom w:val="0"/>
      <w:divBdr>
        <w:top w:val="none" w:sz="0" w:space="0" w:color="auto"/>
        <w:left w:val="none" w:sz="0" w:space="0" w:color="auto"/>
        <w:bottom w:val="none" w:sz="0" w:space="0" w:color="auto"/>
        <w:right w:val="none" w:sz="0" w:space="0" w:color="auto"/>
      </w:divBdr>
    </w:div>
    <w:div w:id="1925989349">
      <w:bodyDiv w:val="1"/>
      <w:marLeft w:val="0"/>
      <w:marRight w:val="0"/>
      <w:marTop w:val="0"/>
      <w:marBottom w:val="0"/>
      <w:divBdr>
        <w:top w:val="none" w:sz="0" w:space="0" w:color="auto"/>
        <w:left w:val="none" w:sz="0" w:space="0" w:color="auto"/>
        <w:bottom w:val="none" w:sz="0" w:space="0" w:color="auto"/>
        <w:right w:val="none" w:sz="0" w:space="0" w:color="auto"/>
      </w:divBdr>
    </w:div>
    <w:div w:id="1950358844">
      <w:bodyDiv w:val="1"/>
      <w:marLeft w:val="0"/>
      <w:marRight w:val="0"/>
      <w:marTop w:val="0"/>
      <w:marBottom w:val="0"/>
      <w:divBdr>
        <w:top w:val="none" w:sz="0" w:space="0" w:color="auto"/>
        <w:left w:val="none" w:sz="0" w:space="0" w:color="auto"/>
        <w:bottom w:val="none" w:sz="0" w:space="0" w:color="auto"/>
        <w:right w:val="none" w:sz="0" w:space="0" w:color="auto"/>
      </w:divBdr>
    </w:div>
    <w:div w:id="2049910264">
      <w:bodyDiv w:val="1"/>
      <w:marLeft w:val="0"/>
      <w:marRight w:val="0"/>
      <w:marTop w:val="0"/>
      <w:marBottom w:val="0"/>
      <w:divBdr>
        <w:top w:val="none" w:sz="0" w:space="0" w:color="auto"/>
        <w:left w:val="none" w:sz="0" w:space="0" w:color="auto"/>
        <w:bottom w:val="none" w:sz="0" w:space="0" w:color="auto"/>
        <w:right w:val="none" w:sz="0" w:space="0" w:color="auto"/>
      </w:divBdr>
    </w:div>
    <w:div w:id="2056658042">
      <w:bodyDiv w:val="1"/>
      <w:marLeft w:val="0"/>
      <w:marRight w:val="0"/>
      <w:marTop w:val="0"/>
      <w:marBottom w:val="0"/>
      <w:divBdr>
        <w:top w:val="none" w:sz="0" w:space="0" w:color="auto"/>
        <w:left w:val="none" w:sz="0" w:space="0" w:color="auto"/>
        <w:bottom w:val="none" w:sz="0" w:space="0" w:color="auto"/>
        <w:right w:val="none" w:sz="0" w:space="0" w:color="auto"/>
      </w:divBdr>
    </w:div>
    <w:div w:id="2113743474">
      <w:bodyDiv w:val="1"/>
      <w:marLeft w:val="0"/>
      <w:marRight w:val="0"/>
      <w:marTop w:val="0"/>
      <w:marBottom w:val="0"/>
      <w:divBdr>
        <w:top w:val="none" w:sz="0" w:space="0" w:color="auto"/>
        <w:left w:val="none" w:sz="0" w:space="0" w:color="auto"/>
        <w:bottom w:val="none" w:sz="0" w:space="0" w:color="auto"/>
        <w:right w:val="none" w:sz="0" w:space="0" w:color="auto"/>
      </w:divBdr>
      <w:divsChild>
        <w:div w:id="875703359">
          <w:marLeft w:val="0"/>
          <w:marRight w:val="0"/>
          <w:marTop w:val="0"/>
          <w:marBottom w:val="0"/>
          <w:divBdr>
            <w:top w:val="none" w:sz="0" w:space="0" w:color="auto"/>
            <w:left w:val="none" w:sz="0" w:space="0" w:color="auto"/>
            <w:bottom w:val="none" w:sz="0" w:space="0" w:color="auto"/>
            <w:right w:val="none" w:sz="0" w:space="0" w:color="auto"/>
          </w:divBdr>
          <w:divsChild>
            <w:div w:id="88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185">
      <w:bodyDiv w:val="1"/>
      <w:marLeft w:val="0"/>
      <w:marRight w:val="0"/>
      <w:marTop w:val="0"/>
      <w:marBottom w:val="0"/>
      <w:divBdr>
        <w:top w:val="none" w:sz="0" w:space="0" w:color="auto"/>
        <w:left w:val="none" w:sz="0" w:space="0" w:color="auto"/>
        <w:bottom w:val="none" w:sz="0" w:space="0" w:color="auto"/>
        <w:right w:val="none" w:sz="0" w:space="0" w:color="auto"/>
      </w:divBdr>
    </w:div>
    <w:div w:id="2137212541">
      <w:bodyDiv w:val="1"/>
      <w:marLeft w:val="0"/>
      <w:marRight w:val="0"/>
      <w:marTop w:val="0"/>
      <w:marBottom w:val="0"/>
      <w:divBdr>
        <w:top w:val="none" w:sz="0" w:space="0" w:color="auto"/>
        <w:left w:val="none" w:sz="0" w:space="0" w:color="auto"/>
        <w:bottom w:val="none" w:sz="0" w:space="0" w:color="auto"/>
        <w:right w:val="none" w:sz="0" w:space="0" w:color="auto"/>
      </w:divBdr>
    </w:div>
    <w:div w:id="213937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99" Type="http://schemas.openxmlformats.org/officeDocument/2006/relationships/header" Target="header144.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footer" Target="footer73.xml"/><Relationship Id="rId324" Type="http://schemas.openxmlformats.org/officeDocument/2006/relationships/footer" Target="footer156.xml"/><Relationship Id="rId345" Type="http://schemas.openxmlformats.org/officeDocument/2006/relationships/footer" Target="footer166.xml"/><Relationship Id="rId366" Type="http://schemas.openxmlformats.org/officeDocument/2006/relationships/footer" Target="footer177.xml"/><Relationship Id="rId170" Type="http://schemas.openxmlformats.org/officeDocument/2006/relationships/header" Target="header80.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footer" Target="footer107.xml"/><Relationship Id="rId247" Type="http://schemas.openxmlformats.org/officeDocument/2006/relationships/header" Target="header118.xml"/><Relationship Id="rId107" Type="http://schemas.openxmlformats.org/officeDocument/2006/relationships/header" Target="header48.xml"/><Relationship Id="rId268" Type="http://schemas.openxmlformats.org/officeDocument/2006/relationships/footer" Target="footer128.xml"/><Relationship Id="rId289" Type="http://schemas.openxmlformats.org/officeDocument/2006/relationships/header" Target="header139.xml"/><Relationship Id="rId11" Type="http://schemas.openxmlformats.org/officeDocument/2006/relationships/endnotes" Target="endnotes.xml"/><Relationship Id="rId32" Type="http://schemas.openxmlformats.org/officeDocument/2006/relationships/header" Target="header11.xml"/><Relationship Id="rId53" Type="http://schemas.openxmlformats.org/officeDocument/2006/relationships/header" Target="head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header" Target="header69.xml"/><Relationship Id="rId314" Type="http://schemas.openxmlformats.org/officeDocument/2006/relationships/header" Target="header152.xml"/><Relationship Id="rId335" Type="http://schemas.openxmlformats.org/officeDocument/2006/relationships/header" Target="header162.xml"/><Relationship Id="rId356" Type="http://schemas.openxmlformats.org/officeDocument/2006/relationships/header" Target="header173.xml"/><Relationship Id="rId377" Type="http://schemas.openxmlformats.org/officeDocument/2006/relationships/header" Target="header183.xml"/><Relationship Id="rId5" Type="http://schemas.openxmlformats.org/officeDocument/2006/relationships/numbering" Target="numbering.xml"/><Relationship Id="rId95" Type="http://schemas.openxmlformats.org/officeDocument/2006/relationships/header" Target="header42.xml"/><Relationship Id="rId160" Type="http://schemas.openxmlformats.org/officeDocument/2006/relationships/footer" Target="footer74.xml"/><Relationship Id="rId181" Type="http://schemas.openxmlformats.org/officeDocument/2006/relationships/header" Target="header85.xml"/><Relationship Id="rId216" Type="http://schemas.openxmlformats.org/officeDocument/2006/relationships/footer" Target="footer102.xml"/><Relationship Id="rId237" Type="http://schemas.openxmlformats.org/officeDocument/2006/relationships/footer" Target="footer112.xml"/><Relationship Id="rId258" Type="http://schemas.openxmlformats.org/officeDocument/2006/relationships/footer" Target="footer123.xml"/><Relationship Id="rId279" Type="http://schemas.openxmlformats.org/officeDocument/2006/relationships/footer" Target="footer133.xml"/><Relationship Id="rId22" Type="http://schemas.openxmlformats.org/officeDocument/2006/relationships/footer" Target="footer5.xml"/><Relationship Id="rId43" Type="http://schemas.openxmlformats.org/officeDocument/2006/relationships/header" Target="header16.xml"/><Relationship Id="rId64" Type="http://schemas.openxmlformats.org/officeDocument/2006/relationships/footer" Target="footer26.xml"/><Relationship Id="rId118" Type="http://schemas.openxmlformats.org/officeDocument/2006/relationships/footer" Target="footer53.xml"/><Relationship Id="rId139" Type="http://schemas.openxmlformats.org/officeDocument/2006/relationships/header" Target="header64.xml"/><Relationship Id="rId290" Type="http://schemas.openxmlformats.org/officeDocument/2006/relationships/header" Target="header140.xml"/><Relationship Id="rId304" Type="http://schemas.openxmlformats.org/officeDocument/2006/relationships/footer" Target="footer146.xml"/><Relationship Id="rId325" Type="http://schemas.openxmlformats.org/officeDocument/2006/relationships/header" Target="header157.xml"/><Relationship Id="rId346" Type="http://schemas.openxmlformats.org/officeDocument/2006/relationships/footer" Target="footer167.xml"/><Relationship Id="rId367" Type="http://schemas.openxmlformats.org/officeDocument/2006/relationships/header" Target="header178.xml"/><Relationship Id="rId85" Type="http://schemas.openxmlformats.org/officeDocument/2006/relationships/header" Target="header37.xml"/><Relationship Id="rId150" Type="http://schemas.openxmlformats.org/officeDocument/2006/relationships/footer" Target="footer69.xml"/><Relationship Id="rId171" Type="http://schemas.openxmlformats.org/officeDocument/2006/relationships/footer" Target="footer79.xml"/><Relationship Id="rId192" Type="http://schemas.openxmlformats.org/officeDocument/2006/relationships/footer" Target="footer90.xml"/><Relationship Id="rId206" Type="http://schemas.openxmlformats.org/officeDocument/2006/relationships/header" Target="header98.xml"/><Relationship Id="rId227" Type="http://schemas.openxmlformats.org/officeDocument/2006/relationships/header" Target="header108.xml"/><Relationship Id="rId248" Type="http://schemas.openxmlformats.org/officeDocument/2006/relationships/header" Target="header119.xml"/><Relationship Id="rId269" Type="http://schemas.openxmlformats.org/officeDocument/2006/relationships/header" Target="header129.xml"/><Relationship Id="rId12" Type="http://schemas.openxmlformats.org/officeDocument/2006/relationships/image" Target="media/image1.emf"/><Relationship Id="rId33" Type="http://schemas.openxmlformats.org/officeDocument/2006/relationships/footer" Target="footer10.xml"/><Relationship Id="rId108" Type="http://schemas.openxmlformats.org/officeDocument/2006/relationships/footer" Target="footer48.xml"/><Relationship Id="rId129" Type="http://schemas.openxmlformats.org/officeDocument/2006/relationships/footer" Target="footer58.xml"/><Relationship Id="rId280" Type="http://schemas.openxmlformats.org/officeDocument/2006/relationships/footer" Target="footer134.xml"/><Relationship Id="rId315" Type="http://schemas.openxmlformats.org/officeDocument/2006/relationships/footer" Target="footer151.xml"/><Relationship Id="rId336" Type="http://schemas.openxmlformats.org/officeDocument/2006/relationships/footer" Target="footer162.xml"/><Relationship Id="rId357" Type="http://schemas.openxmlformats.org/officeDocument/2006/relationships/footer" Target="footer172.xml"/><Relationship Id="rId54" Type="http://schemas.openxmlformats.org/officeDocument/2006/relationships/footer" Target="footer21.xml"/><Relationship Id="rId75" Type="http://schemas.openxmlformats.org/officeDocument/2006/relationships/footer" Target="footer31.xml"/><Relationship Id="rId96" Type="http://schemas.openxmlformats.org/officeDocument/2006/relationships/footer" Target="footer42.xml"/><Relationship Id="rId140" Type="http://schemas.openxmlformats.org/officeDocument/2006/relationships/header" Target="header65.xml"/><Relationship Id="rId161" Type="http://schemas.openxmlformats.org/officeDocument/2006/relationships/header" Target="header75.xml"/><Relationship Id="rId182" Type="http://schemas.openxmlformats.org/officeDocument/2006/relationships/header" Target="header86.xml"/><Relationship Id="rId217" Type="http://schemas.openxmlformats.org/officeDocument/2006/relationships/header" Target="header103.xml"/><Relationship Id="rId378" Type="http://schemas.openxmlformats.org/officeDocument/2006/relationships/footer" Target="footer183.xml"/><Relationship Id="rId6" Type="http://schemas.openxmlformats.org/officeDocument/2006/relationships/styles" Target="styles.xml"/><Relationship Id="rId238" Type="http://schemas.openxmlformats.org/officeDocument/2006/relationships/footer" Target="footer113.xml"/><Relationship Id="rId259" Type="http://schemas.openxmlformats.org/officeDocument/2006/relationships/header" Target="header124.xml"/><Relationship Id="rId23" Type="http://schemas.openxmlformats.org/officeDocument/2006/relationships/header" Target="header6.xml"/><Relationship Id="rId119" Type="http://schemas.openxmlformats.org/officeDocument/2006/relationships/header" Target="header54.xml"/><Relationship Id="rId270" Type="http://schemas.openxmlformats.org/officeDocument/2006/relationships/footer" Target="footer129.xml"/><Relationship Id="rId291" Type="http://schemas.openxmlformats.org/officeDocument/2006/relationships/footer" Target="footer139.xml"/><Relationship Id="rId305" Type="http://schemas.openxmlformats.org/officeDocument/2006/relationships/header" Target="header147.xml"/><Relationship Id="rId326" Type="http://schemas.openxmlformats.org/officeDocument/2006/relationships/header" Target="header158.xml"/><Relationship Id="rId347" Type="http://schemas.openxmlformats.org/officeDocument/2006/relationships/header" Target="header168.xml"/><Relationship Id="rId44" Type="http://schemas.openxmlformats.org/officeDocument/2006/relationships/header" Target="header17.xml"/><Relationship Id="rId65" Type="http://schemas.openxmlformats.org/officeDocument/2006/relationships/header" Target="header27.xml"/><Relationship Id="rId86" Type="http://schemas.openxmlformats.org/officeDocument/2006/relationships/header" Target="header38.xml"/><Relationship Id="rId130" Type="http://schemas.openxmlformats.org/officeDocument/2006/relationships/footer" Target="footer59.xml"/><Relationship Id="rId151" Type="http://schemas.openxmlformats.org/officeDocument/2006/relationships/header" Target="header70.xml"/><Relationship Id="rId368" Type="http://schemas.openxmlformats.org/officeDocument/2006/relationships/header" Target="header179.xml"/><Relationship Id="rId172" Type="http://schemas.openxmlformats.org/officeDocument/2006/relationships/footer" Target="footer80.xml"/><Relationship Id="rId193" Type="http://schemas.openxmlformats.org/officeDocument/2006/relationships/header" Target="header91.xml"/><Relationship Id="rId207" Type="http://schemas.openxmlformats.org/officeDocument/2006/relationships/footer" Target="footer97.xml"/><Relationship Id="rId228" Type="http://schemas.openxmlformats.org/officeDocument/2006/relationships/footer" Target="footer108.xml"/><Relationship Id="rId249" Type="http://schemas.openxmlformats.org/officeDocument/2006/relationships/footer" Target="footer118.xml"/><Relationship Id="rId13" Type="http://schemas.openxmlformats.org/officeDocument/2006/relationships/header" Target="header1.xml"/><Relationship Id="rId109" Type="http://schemas.openxmlformats.org/officeDocument/2006/relationships/header" Target="header49.xml"/><Relationship Id="rId260" Type="http://schemas.openxmlformats.org/officeDocument/2006/relationships/header" Target="header125.xml"/><Relationship Id="rId281" Type="http://schemas.openxmlformats.org/officeDocument/2006/relationships/header" Target="header135.xml"/><Relationship Id="rId316" Type="http://schemas.openxmlformats.org/officeDocument/2006/relationships/footer" Target="footer152.xml"/><Relationship Id="rId337" Type="http://schemas.openxmlformats.org/officeDocument/2006/relationships/header" Target="header163.xml"/><Relationship Id="rId34" Type="http://schemas.openxmlformats.org/officeDocument/2006/relationships/footer" Target="footer11.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20" Type="http://schemas.openxmlformats.org/officeDocument/2006/relationships/footer" Target="footer54.xml"/><Relationship Id="rId141" Type="http://schemas.openxmlformats.org/officeDocument/2006/relationships/footer" Target="footer64.xml"/><Relationship Id="rId358" Type="http://schemas.openxmlformats.org/officeDocument/2006/relationships/footer" Target="footer173.xml"/><Relationship Id="rId379" Type="http://schemas.openxmlformats.org/officeDocument/2006/relationships/header" Target="header184.xml"/><Relationship Id="rId7" Type="http://schemas.microsoft.com/office/2007/relationships/stylesWithEffects" Target="stylesWithEffects.xml"/><Relationship Id="rId162" Type="http://schemas.openxmlformats.org/officeDocument/2006/relationships/footer" Target="footer75.xml"/><Relationship Id="rId183" Type="http://schemas.openxmlformats.org/officeDocument/2006/relationships/footer" Target="footer85.xml"/><Relationship Id="rId218" Type="http://schemas.openxmlformats.org/officeDocument/2006/relationships/header" Target="header104.xml"/><Relationship Id="rId239" Type="http://schemas.openxmlformats.org/officeDocument/2006/relationships/header" Target="header114.xml"/><Relationship Id="rId250" Type="http://schemas.openxmlformats.org/officeDocument/2006/relationships/footer" Target="footer119.xml"/><Relationship Id="rId271" Type="http://schemas.openxmlformats.org/officeDocument/2006/relationships/header" Target="header130.xml"/><Relationship Id="rId292" Type="http://schemas.openxmlformats.org/officeDocument/2006/relationships/footer" Target="footer140.xml"/><Relationship Id="rId306" Type="http://schemas.openxmlformats.org/officeDocument/2006/relationships/footer" Target="footer147.xml"/><Relationship Id="rId24" Type="http://schemas.openxmlformats.org/officeDocument/2006/relationships/footer" Target="footer6.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31" Type="http://schemas.openxmlformats.org/officeDocument/2006/relationships/header" Target="header60.xml"/><Relationship Id="rId327" Type="http://schemas.openxmlformats.org/officeDocument/2006/relationships/footer" Target="footer157.xml"/><Relationship Id="rId348" Type="http://schemas.openxmlformats.org/officeDocument/2006/relationships/footer" Target="footer168.xml"/><Relationship Id="rId369" Type="http://schemas.openxmlformats.org/officeDocument/2006/relationships/footer" Target="footer178.xml"/><Relationship Id="rId152" Type="http://schemas.openxmlformats.org/officeDocument/2006/relationships/header" Target="header71.xml"/><Relationship Id="rId173" Type="http://schemas.openxmlformats.org/officeDocument/2006/relationships/header" Target="header81.xml"/><Relationship Id="rId194" Type="http://schemas.openxmlformats.org/officeDocument/2006/relationships/header" Target="header92.xml"/><Relationship Id="rId208" Type="http://schemas.openxmlformats.org/officeDocument/2006/relationships/footer" Target="footer98.xml"/><Relationship Id="rId229" Type="http://schemas.openxmlformats.org/officeDocument/2006/relationships/header" Target="header109.xml"/><Relationship Id="rId380" Type="http://schemas.openxmlformats.org/officeDocument/2006/relationships/header" Target="header185.xml"/><Relationship Id="rId240" Type="http://schemas.openxmlformats.org/officeDocument/2006/relationships/footer" Target="footer114.xml"/><Relationship Id="rId261" Type="http://schemas.openxmlformats.org/officeDocument/2006/relationships/footer" Target="footer124.xml"/><Relationship Id="rId14" Type="http://schemas.openxmlformats.org/officeDocument/2006/relationships/header" Target="header2.xml"/><Relationship Id="rId35" Type="http://schemas.openxmlformats.org/officeDocument/2006/relationships/header" Target="header12.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282" Type="http://schemas.openxmlformats.org/officeDocument/2006/relationships/footer" Target="footer135.xml"/><Relationship Id="rId317" Type="http://schemas.openxmlformats.org/officeDocument/2006/relationships/header" Target="header153.xml"/><Relationship Id="rId338" Type="http://schemas.openxmlformats.org/officeDocument/2006/relationships/header" Target="header164.xml"/><Relationship Id="rId359" Type="http://schemas.openxmlformats.org/officeDocument/2006/relationships/header" Target="header174.xml"/><Relationship Id="rId8" Type="http://schemas.openxmlformats.org/officeDocument/2006/relationships/settings" Target="settings.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5.xml"/><Relationship Id="rId163" Type="http://schemas.openxmlformats.org/officeDocument/2006/relationships/header" Target="header76.xml"/><Relationship Id="rId184" Type="http://schemas.openxmlformats.org/officeDocument/2006/relationships/footer" Target="footer86.xml"/><Relationship Id="rId219" Type="http://schemas.openxmlformats.org/officeDocument/2006/relationships/footer" Target="footer103.xml"/><Relationship Id="rId370" Type="http://schemas.openxmlformats.org/officeDocument/2006/relationships/footer" Target="footer179.xml"/><Relationship Id="rId230" Type="http://schemas.openxmlformats.org/officeDocument/2006/relationships/header" Target="header110.xml"/><Relationship Id="rId251" Type="http://schemas.openxmlformats.org/officeDocument/2006/relationships/header" Target="header120.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header" Target="header28.xml"/><Relationship Id="rId272" Type="http://schemas.openxmlformats.org/officeDocument/2006/relationships/header" Target="header131.xml"/><Relationship Id="rId293" Type="http://schemas.openxmlformats.org/officeDocument/2006/relationships/header" Target="header141.xml"/><Relationship Id="rId307" Type="http://schemas.openxmlformats.org/officeDocument/2006/relationships/header" Target="header148.xml"/><Relationship Id="rId328" Type="http://schemas.openxmlformats.org/officeDocument/2006/relationships/footer" Target="footer158.xml"/><Relationship Id="rId349" Type="http://schemas.openxmlformats.org/officeDocument/2006/relationships/header" Target="header169.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footer" Target="footer60.xml"/><Relationship Id="rId153" Type="http://schemas.openxmlformats.org/officeDocument/2006/relationships/footer" Target="footer70.xml"/><Relationship Id="rId174" Type="http://schemas.openxmlformats.org/officeDocument/2006/relationships/footer" Target="footer81.xml"/><Relationship Id="rId195" Type="http://schemas.openxmlformats.org/officeDocument/2006/relationships/footer" Target="footer91.xml"/><Relationship Id="rId209" Type="http://schemas.openxmlformats.org/officeDocument/2006/relationships/header" Target="header99.xml"/><Relationship Id="rId360" Type="http://schemas.openxmlformats.org/officeDocument/2006/relationships/footer" Target="footer174.xml"/><Relationship Id="rId381" Type="http://schemas.openxmlformats.org/officeDocument/2006/relationships/footer" Target="footer184.xml"/><Relationship Id="rId220" Type="http://schemas.openxmlformats.org/officeDocument/2006/relationships/footer" Target="footer104.xml"/><Relationship Id="rId241" Type="http://schemas.openxmlformats.org/officeDocument/2006/relationships/header" Target="header115.xml"/><Relationship Id="rId15" Type="http://schemas.openxmlformats.org/officeDocument/2006/relationships/footer" Target="footer1.xml"/><Relationship Id="rId36" Type="http://schemas.openxmlformats.org/officeDocument/2006/relationships/footer" Target="footer12.xml"/><Relationship Id="rId57" Type="http://schemas.openxmlformats.org/officeDocument/2006/relationships/footer" Target="footer22.xml"/><Relationship Id="rId262" Type="http://schemas.openxmlformats.org/officeDocument/2006/relationships/footer" Target="footer125.xml"/><Relationship Id="rId283" Type="http://schemas.openxmlformats.org/officeDocument/2006/relationships/header" Target="header136.xml"/><Relationship Id="rId318" Type="http://schemas.openxmlformats.org/officeDocument/2006/relationships/footer" Target="footer153.xml"/><Relationship Id="rId339" Type="http://schemas.openxmlformats.org/officeDocument/2006/relationships/footer" Target="footer163.xml"/><Relationship Id="rId78" Type="http://schemas.openxmlformats.org/officeDocument/2006/relationships/footer" Target="footer33.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43" Type="http://schemas.openxmlformats.org/officeDocument/2006/relationships/header" Target="header66.xml"/><Relationship Id="rId164" Type="http://schemas.openxmlformats.org/officeDocument/2006/relationships/header" Target="header77.xml"/><Relationship Id="rId185" Type="http://schemas.openxmlformats.org/officeDocument/2006/relationships/header" Target="header87.xml"/><Relationship Id="rId350" Type="http://schemas.openxmlformats.org/officeDocument/2006/relationships/header" Target="header170.xml"/><Relationship Id="rId371" Type="http://schemas.openxmlformats.org/officeDocument/2006/relationships/header" Target="header180.xml"/><Relationship Id="rId9" Type="http://schemas.openxmlformats.org/officeDocument/2006/relationships/webSettings" Target="webSettings.xml"/><Relationship Id="rId210" Type="http://schemas.openxmlformats.org/officeDocument/2006/relationships/footer" Target="footer99.xml"/><Relationship Id="rId26" Type="http://schemas.openxmlformats.org/officeDocument/2006/relationships/header" Target="header8.xml"/><Relationship Id="rId231" Type="http://schemas.openxmlformats.org/officeDocument/2006/relationships/footer" Target="footer109.xml"/><Relationship Id="rId252" Type="http://schemas.openxmlformats.org/officeDocument/2006/relationships/footer" Target="footer120.xml"/><Relationship Id="rId273" Type="http://schemas.openxmlformats.org/officeDocument/2006/relationships/footer" Target="footer130.xml"/><Relationship Id="rId294" Type="http://schemas.openxmlformats.org/officeDocument/2006/relationships/footer" Target="footer141.xml"/><Relationship Id="rId308" Type="http://schemas.openxmlformats.org/officeDocument/2006/relationships/header" Target="header149.xml"/><Relationship Id="rId329" Type="http://schemas.openxmlformats.org/officeDocument/2006/relationships/header" Target="header159.xml"/><Relationship Id="rId47" Type="http://schemas.openxmlformats.org/officeDocument/2006/relationships/header" Target="header18.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header" Target="header61.xml"/><Relationship Id="rId154" Type="http://schemas.openxmlformats.org/officeDocument/2006/relationships/footer" Target="footer71.xml"/><Relationship Id="rId175" Type="http://schemas.openxmlformats.org/officeDocument/2006/relationships/header" Target="header82.xml"/><Relationship Id="rId340" Type="http://schemas.openxmlformats.org/officeDocument/2006/relationships/footer" Target="footer164.xml"/><Relationship Id="rId361" Type="http://schemas.openxmlformats.org/officeDocument/2006/relationships/header" Target="header175.xml"/><Relationship Id="rId196" Type="http://schemas.openxmlformats.org/officeDocument/2006/relationships/footer" Target="footer92.xml"/><Relationship Id="rId200" Type="http://schemas.openxmlformats.org/officeDocument/2006/relationships/header" Target="header95.xml"/><Relationship Id="rId382" Type="http://schemas.openxmlformats.org/officeDocument/2006/relationships/footer" Target="footer185.xml"/><Relationship Id="rId16" Type="http://schemas.openxmlformats.org/officeDocument/2006/relationships/footer" Target="footer2.xml"/><Relationship Id="rId221" Type="http://schemas.openxmlformats.org/officeDocument/2006/relationships/header" Target="header105.xml"/><Relationship Id="rId242" Type="http://schemas.openxmlformats.org/officeDocument/2006/relationships/header" Target="header116.xml"/><Relationship Id="rId263" Type="http://schemas.openxmlformats.org/officeDocument/2006/relationships/header" Target="header126.xml"/><Relationship Id="rId284" Type="http://schemas.openxmlformats.org/officeDocument/2006/relationships/header" Target="header137.xml"/><Relationship Id="rId319" Type="http://schemas.openxmlformats.org/officeDocument/2006/relationships/header" Target="header154.xml"/><Relationship Id="rId37" Type="http://schemas.openxmlformats.org/officeDocument/2006/relationships/header" Target="header13.xml"/><Relationship Id="rId58" Type="http://schemas.openxmlformats.org/officeDocument/2006/relationships/footer" Target="footer23.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44" Type="http://schemas.openxmlformats.org/officeDocument/2006/relationships/footer" Target="footer66.xml"/><Relationship Id="rId330" Type="http://schemas.openxmlformats.org/officeDocument/2006/relationships/footer" Target="footer159.xml"/><Relationship Id="rId90" Type="http://schemas.openxmlformats.org/officeDocument/2006/relationships/footer" Target="footer39.xml"/><Relationship Id="rId165" Type="http://schemas.openxmlformats.org/officeDocument/2006/relationships/footer" Target="footer76.xml"/><Relationship Id="rId186" Type="http://schemas.openxmlformats.org/officeDocument/2006/relationships/footer" Target="footer87.xml"/><Relationship Id="rId351" Type="http://schemas.openxmlformats.org/officeDocument/2006/relationships/footer" Target="footer169.xml"/><Relationship Id="rId372" Type="http://schemas.openxmlformats.org/officeDocument/2006/relationships/footer" Target="footer180.xml"/><Relationship Id="rId211" Type="http://schemas.openxmlformats.org/officeDocument/2006/relationships/header" Target="header100.xml"/><Relationship Id="rId232" Type="http://schemas.openxmlformats.org/officeDocument/2006/relationships/footer" Target="footer110.xml"/><Relationship Id="rId253" Type="http://schemas.openxmlformats.org/officeDocument/2006/relationships/header" Target="header121.xml"/><Relationship Id="rId274" Type="http://schemas.openxmlformats.org/officeDocument/2006/relationships/footer" Target="footer131.xml"/><Relationship Id="rId295" Type="http://schemas.openxmlformats.org/officeDocument/2006/relationships/header" Target="header142.xml"/><Relationship Id="rId309" Type="http://schemas.openxmlformats.org/officeDocument/2006/relationships/footer" Target="footer148.xml"/><Relationship Id="rId27" Type="http://schemas.openxmlformats.org/officeDocument/2006/relationships/footer" Target="footer7.xml"/><Relationship Id="rId48" Type="http://schemas.openxmlformats.org/officeDocument/2006/relationships/footer" Target="footer18.xml"/><Relationship Id="rId69" Type="http://schemas.openxmlformats.org/officeDocument/2006/relationships/footer" Target="footer28.xml"/><Relationship Id="rId113" Type="http://schemas.openxmlformats.org/officeDocument/2006/relationships/header" Target="header51.xml"/><Relationship Id="rId134" Type="http://schemas.openxmlformats.org/officeDocument/2006/relationships/header" Target="header62.xml"/><Relationship Id="rId320" Type="http://schemas.openxmlformats.org/officeDocument/2006/relationships/header" Target="header155.xml"/><Relationship Id="rId80" Type="http://schemas.openxmlformats.org/officeDocument/2006/relationships/header" Target="header35.xml"/><Relationship Id="rId155" Type="http://schemas.openxmlformats.org/officeDocument/2006/relationships/header" Target="header72.xml"/><Relationship Id="rId176" Type="http://schemas.openxmlformats.org/officeDocument/2006/relationships/header" Target="header83.xml"/><Relationship Id="rId197" Type="http://schemas.openxmlformats.org/officeDocument/2006/relationships/header" Target="header93.xml"/><Relationship Id="rId341" Type="http://schemas.openxmlformats.org/officeDocument/2006/relationships/header" Target="header165.xml"/><Relationship Id="rId362" Type="http://schemas.openxmlformats.org/officeDocument/2006/relationships/header" Target="header176.xml"/><Relationship Id="rId383" Type="http://schemas.openxmlformats.org/officeDocument/2006/relationships/header" Target="header186.xml"/><Relationship Id="rId201" Type="http://schemas.openxmlformats.org/officeDocument/2006/relationships/footer" Target="footer94.xml"/><Relationship Id="rId222" Type="http://schemas.openxmlformats.org/officeDocument/2006/relationships/footer" Target="footer105.xml"/><Relationship Id="rId243" Type="http://schemas.openxmlformats.org/officeDocument/2006/relationships/footer" Target="footer115.xml"/><Relationship Id="rId264" Type="http://schemas.openxmlformats.org/officeDocument/2006/relationships/footer" Target="footer126.xml"/><Relationship Id="rId285" Type="http://schemas.openxmlformats.org/officeDocument/2006/relationships/footer" Target="footer136.xml"/><Relationship Id="rId17" Type="http://schemas.openxmlformats.org/officeDocument/2006/relationships/header" Target="header3.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header" Target="header46.xml"/><Relationship Id="rId124" Type="http://schemas.openxmlformats.org/officeDocument/2006/relationships/footer" Target="footer56.xml"/><Relationship Id="rId310" Type="http://schemas.openxmlformats.org/officeDocument/2006/relationships/footer" Target="footer149.xml"/><Relationship Id="rId70" Type="http://schemas.openxmlformats.org/officeDocument/2006/relationships/footer" Target="footer29.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footer" Target="footer77.xml"/><Relationship Id="rId187" Type="http://schemas.openxmlformats.org/officeDocument/2006/relationships/header" Target="header88.xml"/><Relationship Id="rId331" Type="http://schemas.openxmlformats.org/officeDocument/2006/relationships/header" Target="header160.xml"/><Relationship Id="rId352" Type="http://schemas.openxmlformats.org/officeDocument/2006/relationships/footer" Target="footer170.xml"/><Relationship Id="rId373" Type="http://schemas.openxmlformats.org/officeDocument/2006/relationships/header" Target="header181.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header" Target="header111.xml"/><Relationship Id="rId254" Type="http://schemas.openxmlformats.org/officeDocument/2006/relationships/header" Target="header122.xml"/><Relationship Id="rId28" Type="http://schemas.openxmlformats.org/officeDocument/2006/relationships/footer" Target="footer8.xml"/><Relationship Id="rId49" Type="http://schemas.openxmlformats.org/officeDocument/2006/relationships/header" Target="header19.xml"/><Relationship Id="rId114" Type="http://schemas.openxmlformats.org/officeDocument/2006/relationships/footer" Target="footer51.xml"/><Relationship Id="rId275" Type="http://schemas.openxmlformats.org/officeDocument/2006/relationships/header" Target="header132.xml"/><Relationship Id="rId296" Type="http://schemas.openxmlformats.org/officeDocument/2006/relationships/header" Target="header143.xml"/><Relationship Id="rId300" Type="http://schemas.openxmlformats.org/officeDocument/2006/relationships/footer" Target="footer144.xml"/><Relationship Id="rId60" Type="http://schemas.openxmlformats.org/officeDocument/2006/relationships/footer" Target="footer24.xml"/><Relationship Id="rId81" Type="http://schemas.openxmlformats.org/officeDocument/2006/relationships/footer" Target="footer34.xml"/><Relationship Id="rId135" Type="http://schemas.openxmlformats.org/officeDocument/2006/relationships/footer" Target="footer61.xml"/><Relationship Id="rId156" Type="http://schemas.openxmlformats.org/officeDocument/2006/relationships/footer" Target="footer72.xml"/><Relationship Id="rId177" Type="http://schemas.openxmlformats.org/officeDocument/2006/relationships/footer" Target="footer82.xml"/><Relationship Id="rId198" Type="http://schemas.openxmlformats.org/officeDocument/2006/relationships/footer" Target="footer93.xml"/><Relationship Id="rId321" Type="http://schemas.openxmlformats.org/officeDocument/2006/relationships/footer" Target="footer154.xml"/><Relationship Id="rId342" Type="http://schemas.openxmlformats.org/officeDocument/2006/relationships/footer" Target="footer165.xml"/><Relationship Id="rId363" Type="http://schemas.openxmlformats.org/officeDocument/2006/relationships/footer" Target="footer175.xml"/><Relationship Id="rId384" Type="http://schemas.openxmlformats.org/officeDocument/2006/relationships/footer" Target="footer186.xml"/><Relationship Id="rId202" Type="http://schemas.openxmlformats.org/officeDocument/2006/relationships/footer" Target="footer95.xml"/><Relationship Id="rId223" Type="http://schemas.openxmlformats.org/officeDocument/2006/relationships/header" Target="header106.xml"/><Relationship Id="rId244" Type="http://schemas.openxmlformats.org/officeDocument/2006/relationships/footer" Target="footer116.xml"/><Relationship Id="rId18" Type="http://schemas.openxmlformats.org/officeDocument/2006/relationships/footer" Target="footer3.xml"/><Relationship Id="rId39" Type="http://schemas.openxmlformats.org/officeDocument/2006/relationships/footer" Target="footer13.xml"/><Relationship Id="rId265" Type="http://schemas.openxmlformats.org/officeDocument/2006/relationships/header" Target="header127.xml"/><Relationship Id="rId286" Type="http://schemas.openxmlformats.org/officeDocument/2006/relationships/footer" Target="footer137.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header" Target="header57.xml"/><Relationship Id="rId146" Type="http://schemas.openxmlformats.org/officeDocument/2006/relationships/header" Target="header68.xml"/><Relationship Id="rId167" Type="http://schemas.openxmlformats.org/officeDocument/2006/relationships/header" Target="header78.xml"/><Relationship Id="rId188" Type="http://schemas.openxmlformats.org/officeDocument/2006/relationships/header" Target="header89.xml"/><Relationship Id="rId311" Type="http://schemas.openxmlformats.org/officeDocument/2006/relationships/header" Target="header150.xml"/><Relationship Id="rId332" Type="http://schemas.openxmlformats.org/officeDocument/2006/relationships/header" Target="header161.xml"/><Relationship Id="rId353" Type="http://schemas.openxmlformats.org/officeDocument/2006/relationships/header" Target="header171.xml"/><Relationship Id="rId374" Type="http://schemas.openxmlformats.org/officeDocument/2006/relationships/header" Target="header182.xml"/><Relationship Id="rId71" Type="http://schemas.openxmlformats.org/officeDocument/2006/relationships/header" Target="header30.xml"/><Relationship Id="rId92" Type="http://schemas.openxmlformats.org/officeDocument/2006/relationships/header" Target="header41.xml"/><Relationship Id="rId213" Type="http://schemas.openxmlformats.org/officeDocument/2006/relationships/footer" Target="footer100.xml"/><Relationship Id="rId234" Type="http://schemas.openxmlformats.org/officeDocument/2006/relationships/footer" Target="footer111.xml"/><Relationship Id="rId2" Type="http://schemas.openxmlformats.org/officeDocument/2006/relationships/customXml" Target="../customXml/item2.xml"/><Relationship Id="rId29" Type="http://schemas.openxmlformats.org/officeDocument/2006/relationships/header" Target="header9.xml"/><Relationship Id="rId255" Type="http://schemas.openxmlformats.org/officeDocument/2006/relationships/footer" Target="footer121.xml"/><Relationship Id="rId276" Type="http://schemas.openxmlformats.org/officeDocument/2006/relationships/footer" Target="footer132.xml"/><Relationship Id="rId297" Type="http://schemas.openxmlformats.org/officeDocument/2006/relationships/footer" Target="footer142.xml"/><Relationship Id="rId40" Type="http://schemas.openxmlformats.org/officeDocument/2006/relationships/footer" Target="footer14.xml"/><Relationship Id="rId115" Type="http://schemas.openxmlformats.org/officeDocument/2006/relationships/header" Target="header52.xml"/><Relationship Id="rId136" Type="http://schemas.openxmlformats.org/officeDocument/2006/relationships/footer" Target="footer62.xml"/><Relationship Id="rId157" Type="http://schemas.openxmlformats.org/officeDocument/2006/relationships/header" Target="header73.xml"/><Relationship Id="rId178" Type="http://schemas.openxmlformats.org/officeDocument/2006/relationships/footer" Target="footer83.xml"/><Relationship Id="rId301" Type="http://schemas.openxmlformats.org/officeDocument/2006/relationships/header" Target="header145.xml"/><Relationship Id="rId322" Type="http://schemas.openxmlformats.org/officeDocument/2006/relationships/footer" Target="footer155.xml"/><Relationship Id="rId343" Type="http://schemas.openxmlformats.org/officeDocument/2006/relationships/header" Target="header166.xml"/><Relationship Id="rId364" Type="http://schemas.openxmlformats.org/officeDocument/2006/relationships/footer" Target="footer176.xml"/><Relationship Id="rId61" Type="http://schemas.openxmlformats.org/officeDocument/2006/relationships/header" Target="header25.xml"/><Relationship Id="rId82" Type="http://schemas.openxmlformats.org/officeDocument/2006/relationships/footer" Target="footer35.xml"/><Relationship Id="rId199" Type="http://schemas.openxmlformats.org/officeDocument/2006/relationships/header" Target="header94.xml"/><Relationship Id="rId203" Type="http://schemas.openxmlformats.org/officeDocument/2006/relationships/header" Target="header96.xml"/><Relationship Id="rId385" Type="http://schemas.openxmlformats.org/officeDocument/2006/relationships/fontTable" Target="fontTable.xml"/><Relationship Id="rId19" Type="http://schemas.openxmlformats.org/officeDocument/2006/relationships/header" Target="header4.xml"/><Relationship Id="rId224" Type="http://schemas.openxmlformats.org/officeDocument/2006/relationships/header" Target="header107.xml"/><Relationship Id="rId245" Type="http://schemas.openxmlformats.org/officeDocument/2006/relationships/header" Target="header117.xml"/><Relationship Id="rId266" Type="http://schemas.openxmlformats.org/officeDocument/2006/relationships/header" Target="header128.xml"/><Relationship Id="rId287" Type="http://schemas.openxmlformats.org/officeDocument/2006/relationships/header" Target="header138.xml"/><Relationship Id="rId30" Type="http://schemas.openxmlformats.org/officeDocument/2006/relationships/footer" Target="footer9.xml"/><Relationship Id="rId105" Type="http://schemas.openxmlformats.org/officeDocument/2006/relationships/footer" Target="footer46.xml"/><Relationship Id="rId126" Type="http://schemas.openxmlformats.org/officeDocument/2006/relationships/footer" Target="footer57.xml"/><Relationship Id="rId147" Type="http://schemas.openxmlformats.org/officeDocument/2006/relationships/footer" Target="footer67.xml"/><Relationship Id="rId168" Type="http://schemas.openxmlformats.org/officeDocument/2006/relationships/footer" Target="footer78.xml"/><Relationship Id="rId312" Type="http://schemas.openxmlformats.org/officeDocument/2006/relationships/footer" Target="footer150.xml"/><Relationship Id="rId333" Type="http://schemas.openxmlformats.org/officeDocument/2006/relationships/footer" Target="footer160.xml"/><Relationship Id="rId354" Type="http://schemas.openxmlformats.org/officeDocument/2006/relationships/footer" Target="footer171.xml"/><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footer" Target="footer40.xml"/><Relationship Id="rId189" Type="http://schemas.openxmlformats.org/officeDocument/2006/relationships/footer" Target="footer88.xml"/><Relationship Id="rId375" Type="http://schemas.openxmlformats.org/officeDocument/2006/relationships/footer" Target="footer181.xml"/><Relationship Id="rId3" Type="http://schemas.openxmlformats.org/officeDocument/2006/relationships/customXml" Target="../customXml/item3.xml"/><Relationship Id="rId214" Type="http://schemas.openxmlformats.org/officeDocument/2006/relationships/footer" Target="footer101.xml"/><Relationship Id="rId235" Type="http://schemas.openxmlformats.org/officeDocument/2006/relationships/header" Target="header112.xml"/><Relationship Id="rId256" Type="http://schemas.openxmlformats.org/officeDocument/2006/relationships/footer" Target="footer122.xml"/><Relationship Id="rId277" Type="http://schemas.openxmlformats.org/officeDocument/2006/relationships/header" Target="header133.xml"/><Relationship Id="rId298" Type="http://schemas.openxmlformats.org/officeDocument/2006/relationships/footer" Target="footer143.xml"/><Relationship Id="rId116" Type="http://schemas.openxmlformats.org/officeDocument/2006/relationships/header" Target="header53.xml"/><Relationship Id="rId137" Type="http://schemas.openxmlformats.org/officeDocument/2006/relationships/header" Target="header63.xml"/><Relationship Id="rId158" Type="http://schemas.openxmlformats.org/officeDocument/2006/relationships/header" Target="header74.xml"/><Relationship Id="rId302" Type="http://schemas.openxmlformats.org/officeDocument/2006/relationships/header" Target="header146.xml"/><Relationship Id="rId323" Type="http://schemas.openxmlformats.org/officeDocument/2006/relationships/header" Target="header156.xml"/><Relationship Id="rId344" Type="http://schemas.openxmlformats.org/officeDocument/2006/relationships/header" Target="header167.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6.xml"/><Relationship Id="rId179" Type="http://schemas.openxmlformats.org/officeDocument/2006/relationships/header" Target="header84.xml"/><Relationship Id="rId365" Type="http://schemas.openxmlformats.org/officeDocument/2006/relationships/header" Target="header177.xml"/><Relationship Id="rId386" Type="http://schemas.openxmlformats.org/officeDocument/2006/relationships/theme" Target="theme/theme1.xml"/><Relationship Id="rId190" Type="http://schemas.openxmlformats.org/officeDocument/2006/relationships/footer" Target="footer89.xml"/><Relationship Id="rId204" Type="http://schemas.openxmlformats.org/officeDocument/2006/relationships/footer" Target="footer96.xml"/><Relationship Id="rId225" Type="http://schemas.openxmlformats.org/officeDocument/2006/relationships/footer" Target="footer106.xml"/><Relationship Id="rId246" Type="http://schemas.openxmlformats.org/officeDocument/2006/relationships/footer" Target="footer117.xml"/><Relationship Id="rId267" Type="http://schemas.openxmlformats.org/officeDocument/2006/relationships/footer" Target="footer127.xml"/><Relationship Id="rId288" Type="http://schemas.openxmlformats.org/officeDocument/2006/relationships/footer" Target="footer138.xml"/><Relationship Id="rId106" Type="http://schemas.openxmlformats.org/officeDocument/2006/relationships/footer" Target="footer47.xml"/><Relationship Id="rId127" Type="http://schemas.openxmlformats.org/officeDocument/2006/relationships/header" Target="header58.xml"/><Relationship Id="rId313" Type="http://schemas.openxmlformats.org/officeDocument/2006/relationships/header" Target="header151.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20.xml"/><Relationship Id="rId73" Type="http://schemas.openxmlformats.org/officeDocument/2006/relationships/header" Target="header31.xml"/><Relationship Id="rId94" Type="http://schemas.openxmlformats.org/officeDocument/2006/relationships/footer" Target="footer41.xml"/><Relationship Id="rId148" Type="http://schemas.openxmlformats.org/officeDocument/2006/relationships/footer" Target="footer68.xml"/><Relationship Id="rId169" Type="http://schemas.openxmlformats.org/officeDocument/2006/relationships/header" Target="header79.xml"/><Relationship Id="rId334" Type="http://schemas.openxmlformats.org/officeDocument/2006/relationships/footer" Target="footer161.xml"/><Relationship Id="rId355" Type="http://schemas.openxmlformats.org/officeDocument/2006/relationships/header" Target="header172.xml"/><Relationship Id="rId376" Type="http://schemas.openxmlformats.org/officeDocument/2006/relationships/footer" Target="footer182.xml"/><Relationship Id="rId4" Type="http://schemas.openxmlformats.org/officeDocument/2006/relationships/customXml" Target="../customXml/item4.xml"/><Relationship Id="rId180" Type="http://schemas.openxmlformats.org/officeDocument/2006/relationships/footer" Target="footer84.xml"/><Relationship Id="rId215" Type="http://schemas.openxmlformats.org/officeDocument/2006/relationships/header" Target="header102.xml"/><Relationship Id="rId236" Type="http://schemas.openxmlformats.org/officeDocument/2006/relationships/header" Target="header113.xml"/><Relationship Id="rId257" Type="http://schemas.openxmlformats.org/officeDocument/2006/relationships/header" Target="header123.xml"/><Relationship Id="rId278" Type="http://schemas.openxmlformats.org/officeDocument/2006/relationships/header" Target="header134.xml"/><Relationship Id="rId303" Type="http://schemas.openxmlformats.org/officeDocument/2006/relationships/footer" Target="footer145.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o.es/public_oficiales/L14/CONG/BOCG/D/BOCG-14-D-1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A96FF36B9FA2B41AA2F50B89189C74B" ma:contentTypeVersion="0" ma:contentTypeDescription="Create a new document in this library." ma:contentTypeScope="" ma:versionID="c6b6a606a38a5c44f8045c336b924c34">
  <xsd:schema xmlns:xsd="http://www.w3.org/2001/XMLSchema" xmlns:xs="http://www.w3.org/2001/XMLSchema" xmlns:p="http://schemas.microsoft.com/office/2006/metadata/properties" xmlns:ns2="http://schemas.microsoft.com/sharepoint/v3/fields" xmlns:ns3="5488CD5B-2965-4A0D-A275-D2BEA814A65F" targetNamespace="http://schemas.microsoft.com/office/2006/metadata/properties" ma:root="true" ma:fieldsID="ed81ab3d4118e02137b32136d077e0c3" ns2:_="" ns3:_="">
    <xsd:import namespace="http://schemas.microsoft.com/sharepoint/v3/fields"/>
    <xsd:import namespace="5488CD5B-2965-4A0D-A275-D2BEA814A65F"/>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488CD5B-2965-4A0D-A275-D2BEA814A65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5488CD5B-2965-4A0D-A275-D2BEA814A65F" xsi:nil="true"/>
    <EC_Collab_DocumentLanguage xmlns="5488CD5B-2965-4A0D-A275-D2BEA814A65F">EN</EC_Collab_DocumentLanguage>
    <EC_Collab_Status xmlns="5488CD5B-2965-4A0D-A275-D2BEA814A65F">Not Started</EC_Collab_Status>
    <_Status xmlns="http://schemas.microsoft.com/sharepoint/v3/fields">Not Started</_Status>
    <EC_ARES_TRANSFERRED_BY xmlns="5488CD5B-2965-4A0D-A275-D2BEA814A65F" xsi:nil="true"/>
    <EC_ARES_NUMBER xmlns="5488CD5B-2965-4A0D-A275-D2BEA814A65F">
      <Url xsi:nil="true"/>
      <Description xsi:nil="true"/>
    </EC_ARES_NUMBER>
    <EC_ARES_DATE_TRANSFERRED xmlns="5488CD5B-2965-4A0D-A275-D2BEA814A6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F920-8DED-44EE-B536-2E6F9F2BC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488CD5B-2965-4A0D-A275-D2BEA814A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1947C-E72A-4854-BFE2-635764EB9AED}">
  <ds:schemaRefs>
    <ds:schemaRef ds:uri="http://schemas.microsoft.com/sharepoint/v3/contenttype/forms"/>
  </ds:schemaRefs>
</ds:datastoreItem>
</file>

<file path=customXml/itemProps3.xml><?xml version="1.0" encoding="utf-8"?>
<ds:datastoreItem xmlns:ds="http://schemas.openxmlformats.org/officeDocument/2006/customXml" ds:itemID="{CD8C315D-7536-49D2-B370-DBB8B05589E0}">
  <ds:schemaRefs>
    <ds:schemaRef ds:uri="http://schemas.microsoft.com/office/2006/metadata/properties"/>
    <ds:schemaRef ds:uri="http://schemas.microsoft.com/office/infopath/2007/PartnerControls"/>
    <ds:schemaRef ds:uri="5488CD5B-2965-4A0D-A275-D2BEA814A65F"/>
    <ds:schemaRef ds:uri="http://schemas.microsoft.com/sharepoint/v3/fields"/>
  </ds:schemaRefs>
</ds:datastoreItem>
</file>

<file path=customXml/itemProps4.xml><?xml version="1.0" encoding="utf-8"?>
<ds:datastoreItem xmlns:ds="http://schemas.openxmlformats.org/officeDocument/2006/customXml" ds:itemID="{1EFE9B00-3DF8-46DF-B58D-133B39D3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114013</Words>
  <Characters>649880</Characters>
  <Application>Microsoft Office Word</Application>
  <DocSecurity>0</DocSecurity>
  <Lines>5415</Lines>
  <Paragraphs>1524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DUBUSSE Christine (TAXUD)</dc:creator>
  <cp:keywords/>
  <dc:description/>
  <cp:lastModifiedBy>WES PDFC Administrator</cp:lastModifiedBy>
  <cp:revision>21</cp:revision>
  <dcterms:created xsi:type="dcterms:W3CDTF">2021-06-15T07:29:00Z</dcterms:created>
  <dcterms:modified xsi:type="dcterms:W3CDTF">2021-06-16T14:20:00Z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Created using">
    <vt:lpwstr>LW 7.0.1, Build 20190916</vt:lpwstr>
  </property>
  <property fmtid="{D5CDD505-2E9C-101B-9397-08002B2CF9AE}" pid="11" name="Last edited using">
    <vt:lpwstr>LW 7.0.1, Build 20200226</vt:lpwstr>
  </property>
  <property fmtid="{D5CDD505-2E9C-101B-9397-08002B2CF9AE}" pid="12" name="_LW_INVALIDATED__LW_INVALIDATED__LW_INVALIDATED__LW_INVALIDATED__LW_INVALIDATED_ContentTypeId">
    <vt:lpwstr>0x010100258AA79CEB83498886A3A08681123250003A96FF36B9FA2B41AA2F50B89189C74B</vt:lpwstr>
  </property>
  <property fmtid="{D5CDD505-2E9C-101B-9397-08002B2CF9AE}" pid="13" name="_LW_INVALIDATED__LW_INVALIDATED__LW_INVALIDATED_ContentTypeId">
    <vt:lpwstr>0x010100258AA79CEB83498886A3A08681123250003A96FF36B9FA2B41AA2F50B89189C74B</vt:lpwstr>
  </property>
</Properties>
</file>