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D785393F-A5C0-4963-9DA7-07E1B3A09BD0" style="width:455pt;height:383.6pt">
            <v:imagedata r:id="rId12" o:title=""/>
          </v:shape>
        </w:pict>
      </w:r>
    </w:p>
    <w:bookmarkEnd w:id="0"/>
    <w:p>
      <w:pPr>
        <w:rPr>
          <w:rFonts w:ascii="Times New Roman" w:hAnsi="Times New Roman" w:cs="Times New Roman"/>
          <w:noProof/>
          <w:lang w:val="en-IE"/>
        </w:rPr>
        <w:sectPr>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360"/>
        </w:sectPr>
      </w:pPr>
    </w:p>
    <w:p>
      <w:pPr>
        <w:spacing w:before="120" w:after="120" w:line="240" w:lineRule="auto"/>
        <w:jc w:val="center"/>
        <w:rPr>
          <w:rFonts w:ascii="Times New Roman" w:hAnsi="Times New Roman"/>
          <w:b/>
          <w:bCs/>
          <w:noProof/>
          <w:sz w:val="28"/>
          <w:szCs w:val="28"/>
        </w:rPr>
      </w:pPr>
      <w:bookmarkStart w:id="1" w:name="_GoBack"/>
      <w:bookmarkEnd w:id="1"/>
      <w:r>
        <w:rPr>
          <w:rFonts w:ascii="Times New Roman" w:hAnsi="Times New Roman"/>
          <w:b/>
          <w:bCs/>
          <w:noProof/>
          <w:sz w:val="28"/>
          <w:szCs w:val="28"/>
        </w:rPr>
        <w:lastRenderedPageBreak/>
        <w:t>ПРИЛОЖЕНИЕ</w:t>
      </w:r>
      <w:r>
        <w:rPr>
          <w:rFonts w:ascii="Times New Roman" w:hAnsi="Times New Roman"/>
          <w:b/>
          <w:bCs/>
          <w:noProof/>
          <w:sz w:val="28"/>
          <w:szCs w:val="28"/>
        </w:rPr>
        <w:br/>
      </w:r>
    </w:p>
    <w:p>
      <w:pPr>
        <w:spacing w:before="120" w:after="120" w:line="240" w:lineRule="auto"/>
        <w:jc w:val="both"/>
        <w:rPr>
          <w:rFonts w:ascii="Times New Roman" w:hAnsi="Times New Roman" w:cs="Times New Roman"/>
          <w:b/>
          <w:noProof/>
          <w:sz w:val="28"/>
          <w:szCs w:val="28"/>
        </w:rPr>
      </w:pPr>
      <w:r>
        <w:rPr>
          <w:rFonts w:ascii="Times New Roman" w:hAnsi="Times New Roman"/>
          <w:b/>
          <w:bCs/>
          <w:noProof/>
          <w:sz w:val="28"/>
          <w:szCs w:val="28"/>
        </w:rPr>
        <w:t>РАЗДЕЛ 1: РЕФОРМИ И ИНВЕСТИЦИИ В РАМКИТЕ НА ПЛАНА ЗА ВЪЗСТАНОВЯВАНЕ И УСТОЙЧИВОСТ</w:t>
      </w:r>
    </w:p>
    <w:p>
      <w:pPr>
        <w:spacing w:before="120" w:after="120" w:line="240" w:lineRule="auto"/>
        <w:jc w:val="both"/>
        <w:rPr>
          <w:rFonts w:ascii="Times New Roman" w:hAnsi="Times New Roman" w:cs="Times New Roman"/>
          <w:noProof/>
          <w:sz w:val="28"/>
          <w:szCs w:val="28"/>
        </w:rPr>
      </w:pPr>
    </w:p>
    <w:p>
      <w:pPr>
        <w:numPr>
          <w:ilvl w:val="0"/>
          <w:numId w:val="147"/>
        </w:numPr>
        <w:spacing w:before="120" w:after="120" w:line="240" w:lineRule="auto"/>
        <w:jc w:val="both"/>
        <w:rPr>
          <w:rFonts w:ascii="Times New Roman" w:hAnsi="Times New Roman" w:cs="Times New Roman"/>
          <w:b/>
          <w:noProof/>
          <w:sz w:val="28"/>
          <w:szCs w:val="28"/>
        </w:rPr>
      </w:pPr>
      <w:r>
        <w:rPr>
          <w:rFonts w:ascii="Times New Roman" w:hAnsi="Times New Roman"/>
          <w:b/>
          <w:noProof/>
          <w:sz w:val="28"/>
          <w:szCs w:val="28"/>
        </w:rPr>
        <w:t xml:space="preserve">Описание на реформите и инвестициите </w:t>
      </w:r>
    </w:p>
    <w:p>
      <w:pPr>
        <w:pStyle w:val="Heading1"/>
        <w:rPr>
          <w:noProof/>
        </w:rPr>
      </w:pPr>
      <w:r>
        <w:rPr>
          <w:noProof/>
        </w:rPr>
        <w:t xml:space="preserve">A. КОМПОНЕНТ 1: ПЛАН ЗА УСТОЙЧИВА, БЕЗОПАСНА И СВЪРЗАНА МОБИЛНОСТ В ГРАДСКА И МЕТРОПОЛНА СРЕДА </w:t>
      </w:r>
    </w:p>
    <w:p>
      <w:pPr>
        <w:spacing w:before="120" w:after="12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Този компонент от испанския план за възстановяване и устойчивост обхваща предизвикателства, свързани с качеството на въздуха, които засягат главно големи метрополни области и предизвикали над 20 000 случая на преждевременна смърт в Испания през 2018 г. Основната цел на реформите и инвестициите в този компонент е преминаването към чиста, безопасна и интелигентна градска мобилност. Конкретните цели, преследвани с този компонент, са следните:</w:t>
      </w:r>
    </w:p>
    <w:p>
      <w:pPr>
        <w:numPr>
          <w:ilvl w:val="0"/>
          <w:numId w:val="21"/>
        </w:num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да се ускори въвеждането на зони с ниски емисии във всички общини с повече от 50 000 жители и областните центрове, както и навлизането на електрическата мобилност;</w:t>
      </w:r>
    </w:p>
    <w:p>
      <w:pPr>
        <w:numPr>
          <w:ilvl w:val="0"/>
          <w:numId w:val="21"/>
        </w:numPr>
        <w:spacing w:before="120" w:after="160" w:line="259" w:lineRule="auto"/>
        <w:contextualSpacing/>
        <w:jc w:val="both"/>
        <w:rPr>
          <w:rFonts w:ascii="Times New Roman" w:hAnsi="Times New Roman" w:cs="Times New Roman"/>
          <w:noProof/>
        </w:rPr>
      </w:pPr>
      <w:r>
        <w:rPr>
          <w:rFonts w:ascii="Times New Roman" w:hAnsi="Times New Roman"/>
          <w:noProof/>
          <w:sz w:val="24"/>
        </w:rPr>
        <w:t>да се насърчава активната мобилност, както и други мерки за намаляване на използването на лични автомобили;</w:t>
      </w:r>
      <w:r>
        <w:rPr>
          <w:rFonts w:ascii="Times New Roman" w:hAnsi="Times New Roman"/>
          <w:noProof/>
        </w:rPr>
        <w:t xml:space="preserve"> </w:t>
      </w:r>
    </w:p>
    <w:p>
      <w:pPr>
        <w:numPr>
          <w:ilvl w:val="0"/>
          <w:numId w:val="21"/>
        </w:numPr>
        <w:spacing w:before="120" w:after="120" w:line="240" w:lineRule="auto"/>
        <w:jc w:val="both"/>
        <w:rPr>
          <w:rFonts w:ascii="Times New Roman" w:hAnsi="Times New Roman" w:cs="Times New Roman"/>
          <w:noProof/>
          <w:sz w:val="24"/>
        </w:rPr>
      </w:pPr>
      <w:r>
        <w:rPr>
          <w:rFonts w:ascii="Times New Roman" w:hAnsi="Times New Roman"/>
          <w:noProof/>
          <w:sz w:val="24"/>
        </w:rPr>
        <w:t>цифровата и устойчива трансформация на сектора на обществения транспорт като реална алтернатива на използването на лични превозни средства;</w:t>
      </w:r>
    </w:p>
    <w:p>
      <w:pPr>
        <w:numPr>
          <w:ilvl w:val="0"/>
          <w:numId w:val="21"/>
        </w:numPr>
        <w:spacing w:before="120" w:after="120" w:line="240" w:lineRule="auto"/>
        <w:jc w:val="both"/>
        <w:rPr>
          <w:rFonts w:ascii="Times New Roman" w:hAnsi="Times New Roman" w:cs="Times New Roman"/>
          <w:noProof/>
          <w:sz w:val="24"/>
        </w:rPr>
      </w:pPr>
      <w:r>
        <w:rPr>
          <w:rFonts w:ascii="Times New Roman" w:hAnsi="Times New Roman"/>
          <w:noProof/>
          <w:sz w:val="24"/>
        </w:rPr>
        <w:t>да се подобри качеството и надеждността на железопътните услуги на къси разстояния, за да се увеличи ефективното им използване в метрополна среда за сметка на частните превозни средства;</w:t>
      </w:r>
    </w:p>
    <w:p>
      <w:pPr>
        <w:numPr>
          <w:ilvl w:val="0"/>
          <w:numId w:val="21"/>
        </w:numPr>
        <w:spacing w:before="120" w:after="120" w:line="240" w:lineRule="auto"/>
        <w:jc w:val="both"/>
        <w:rPr>
          <w:rFonts w:ascii="Times New Roman" w:hAnsi="Times New Roman" w:cs="Times New Roman"/>
          <w:noProof/>
          <w:sz w:val="24"/>
        </w:rPr>
      </w:pPr>
      <w:r>
        <w:rPr>
          <w:rFonts w:ascii="Times New Roman" w:hAnsi="Times New Roman"/>
          <w:noProof/>
          <w:sz w:val="24"/>
        </w:rPr>
        <w:t>да се оптимизира управлението на трафика и улесни вземането на решения за насърчаване на по-чиста мобилност.</w:t>
      </w:r>
    </w:p>
    <w:p>
      <w:pPr>
        <w:spacing w:before="120" w:after="12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Компонентът отразява специфичните за държавата препоръки относно насърчаването на публичните и частните инвестиции и насърчаването на екологичния преход (специфична за държавата препоръка № 3 от 2020 г.), насърчаването на инвестициите в иновации и в енергийна ефективност (специфична за държавата препоръка № 3 от 2019 г.), както и засилването на сътрудничеството между различните равнища на управление (специфична за държавата препоръка № 4 от 2019 г.). </w:t>
      </w:r>
    </w:p>
    <w:p>
      <w:pPr>
        <w:spacing w:before="120" w:after="12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Очаква се, че нито една мярка в този компонент няма да навреди в значителна степен на екологичните цели по смисъла на член 17 от Регламент (ЕС) 2020/852, като се вземат предвид описанието на мерките и стъпките за смекчаване на последиците, определени в плана за възстановяване и устойчивост в съответствие с Техническите насоки „ненанасяне на значителни вреди“ (2021/C58/01). </w:t>
      </w:r>
    </w:p>
    <w:p>
      <w:pPr>
        <w:spacing w:before="120" w:after="120" w:line="240" w:lineRule="auto"/>
        <w:ind w:left="709"/>
        <w:jc w:val="both"/>
        <w:rPr>
          <w:rFonts w:ascii="Times New Roman" w:hAnsi="Times New Roman" w:cs="Times New Roman"/>
          <w:b/>
          <w:i/>
          <w:noProof/>
          <w:color w:val="000000" w:themeColor="text1"/>
          <w:sz w:val="24"/>
        </w:rPr>
      </w:pPr>
      <w:r>
        <w:rPr>
          <w:rFonts w:ascii="Times New Roman" w:hAnsi="Times New Roman"/>
          <w:b/>
          <w:bCs/>
          <w:noProof/>
          <w:color w:val="000000" w:themeColor="text1"/>
          <w:sz w:val="24"/>
          <w:u w:val="single"/>
        </w:rPr>
        <w:t xml:space="preserve">A.1. </w:t>
      </w:r>
      <w:r>
        <w:rPr>
          <w:rFonts w:ascii="Times New Roman" w:hAnsi="Times New Roman"/>
          <w:b/>
          <w:noProof/>
          <w:color w:val="000000" w:themeColor="text1"/>
          <w:sz w:val="24"/>
          <w:u w:val="single"/>
        </w:rPr>
        <w:tab/>
      </w:r>
      <w:r>
        <w:rPr>
          <w:rFonts w:ascii="Times New Roman" w:hAnsi="Times New Roman"/>
          <w:b/>
          <w:bCs/>
          <w:noProof/>
          <w:color w:val="000000" w:themeColor="text1"/>
          <w:sz w:val="24"/>
          <w:u w:val="single"/>
        </w:rPr>
        <w:t>Описание на реформите и инвестициите за безвъзмездна финансова подкрепа</w:t>
      </w:r>
    </w:p>
    <w:p>
      <w:pPr>
        <w:spacing w:before="120" w:after="120" w:line="240" w:lineRule="auto"/>
        <w:jc w:val="both"/>
        <w:rPr>
          <w:rFonts w:ascii="Times New Roman" w:hAnsi="Times New Roman" w:cs="Times New Roman"/>
          <w:iCs/>
          <w:noProof/>
          <w:color w:val="000000" w:themeColor="text1"/>
          <w:sz w:val="24"/>
          <w:u w:val="single"/>
        </w:rPr>
      </w:pPr>
      <w:r>
        <w:rPr>
          <w:rFonts w:ascii="Times New Roman" w:hAnsi="Times New Roman"/>
          <w:iCs/>
          <w:noProof/>
          <w:color w:val="000000" w:themeColor="text1"/>
          <w:sz w:val="24"/>
          <w:u w:val="single"/>
        </w:rPr>
        <w:t xml:space="preserve">Реформа 1 (C1.R1) – План за въвеждане и подобряване на инфраструктурата за зареждане на електрическите превозни средства </w:t>
      </w:r>
    </w:p>
    <w:p>
      <w:pPr>
        <w:spacing w:before="120" w:after="120" w:line="240" w:lineRule="auto"/>
        <w:jc w:val="both"/>
        <w:rPr>
          <w:rFonts w:ascii="Times New Roman" w:hAnsi="Times New Roman" w:cs="Times New Roman"/>
          <w:iCs/>
          <w:noProof/>
          <w:color w:val="000000" w:themeColor="text1"/>
          <w:sz w:val="24"/>
        </w:rPr>
      </w:pPr>
      <w:r>
        <w:rPr>
          <w:rFonts w:ascii="Times New Roman" w:hAnsi="Times New Roman"/>
          <w:iCs/>
          <w:noProof/>
          <w:color w:val="000000" w:themeColor="text1"/>
          <w:sz w:val="24"/>
        </w:rPr>
        <w:t xml:space="preserve">Целта на тази мярка е да се укрепи оперативната и регулаторната рамка, улесняваща разгръщането на инфраструктура за презареждане, за да се насърчи използването на електрически превозни средства. </w:t>
      </w:r>
    </w:p>
    <w:p>
      <w:pPr>
        <w:spacing w:before="120" w:after="120" w:line="240" w:lineRule="auto"/>
        <w:jc w:val="both"/>
        <w:rPr>
          <w:rFonts w:ascii="Times New Roman" w:hAnsi="Times New Roman" w:cs="Times New Roman"/>
          <w:iCs/>
          <w:noProof/>
          <w:color w:val="000000" w:themeColor="text1"/>
          <w:sz w:val="24"/>
        </w:rPr>
      </w:pPr>
      <w:r>
        <w:rPr>
          <w:rFonts w:ascii="Times New Roman" w:hAnsi="Times New Roman"/>
          <w:iCs/>
          <w:noProof/>
          <w:color w:val="000000" w:themeColor="text1"/>
          <w:sz w:val="24"/>
        </w:rPr>
        <w:t xml:space="preserve">Реформата се състои в приемането на следната регулаторна рамка, която има за цел да премахне пречките, които понастоящем възпрепятстват разпространението на зарядни станции: </w:t>
      </w:r>
    </w:p>
    <w:p>
      <w:pPr>
        <w:numPr>
          <w:ilvl w:val="0"/>
          <w:numId w:val="20"/>
        </w:numPr>
        <w:spacing w:before="120" w:after="120" w:line="240" w:lineRule="auto"/>
        <w:jc w:val="both"/>
        <w:rPr>
          <w:rFonts w:ascii="Times New Roman" w:hAnsi="Times New Roman" w:cs="Times New Roman"/>
          <w:iCs/>
          <w:noProof/>
          <w:color w:val="000000" w:themeColor="text1"/>
          <w:sz w:val="24"/>
        </w:rPr>
      </w:pPr>
      <w:r>
        <w:rPr>
          <w:rFonts w:ascii="Times New Roman" w:hAnsi="Times New Roman"/>
          <w:iCs/>
          <w:noProof/>
          <w:color w:val="000000" w:themeColor="text1"/>
          <w:sz w:val="24"/>
        </w:rPr>
        <w:t>Кралски указ, уреждащ публично достъпните услуги за зареждане и за гарантиране на правилното и надеждно функциониране на инсталираните станции;</w:t>
      </w:r>
    </w:p>
    <w:p>
      <w:pPr>
        <w:numPr>
          <w:ilvl w:val="0"/>
          <w:numId w:val="20"/>
        </w:numPr>
        <w:spacing w:before="120" w:after="120" w:line="240" w:lineRule="auto"/>
        <w:jc w:val="both"/>
        <w:rPr>
          <w:rFonts w:ascii="Times New Roman" w:hAnsi="Times New Roman" w:cs="Times New Roman"/>
          <w:iCs/>
          <w:noProof/>
          <w:color w:val="000000" w:themeColor="text1"/>
          <w:sz w:val="24"/>
        </w:rPr>
      </w:pPr>
      <w:r>
        <w:rPr>
          <w:rFonts w:ascii="Times New Roman" w:hAnsi="Times New Roman"/>
          <w:iCs/>
          <w:noProof/>
          <w:color w:val="000000" w:themeColor="text1"/>
          <w:sz w:val="24"/>
        </w:rPr>
        <w:t xml:space="preserve">Кралски законодателен указ 23/2020 от 23 юни 2020 г., който допринася за ускоряване на обработката на инфраструктурата за зареждане, като обявява съоръженията за зареждане с мощност над 250 kW за общественополезни; </w:t>
      </w:r>
    </w:p>
    <w:p>
      <w:pPr>
        <w:numPr>
          <w:ilvl w:val="0"/>
          <w:numId w:val="20"/>
        </w:numPr>
        <w:spacing w:before="120" w:after="120" w:line="240" w:lineRule="auto"/>
        <w:jc w:val="both"/>
        <w:rPr>
          <w:rFonts w:ascii="Times New Roman" w:eastAsia="Arial" w:hAnsi="Times New Roman" w:cs="Times New Roman"/>
          <w:noProof/>
          <w:color w:val="000000" w:themeColor="text1"/>
          <w:sz w:val="24"/>
          <w:szCs w:val="24"/>
        </w:rPr>
      </w:pPr>
      <w:r>
        <w:rPr>
          <w:rFonts w:ascii="Times New Roman" w:hAnsi="Times New Roman"/>
          <w:noProof/>
          <w:color w:val="000000" w:themeColor="text1"/>
          <w:sz w:val="24"/>
        </w:rPr>
        <w:t>Наредба TMA/178/2020 за намаляване на административната тежест за одобряването и разгръщането на съоръжения за зареждане на електроенергия в станциите за зареждане с гориво;</w:t>
      </w:r>
    </w:p>
    <w:p>
      <w:pPr>
        <w:numPr>
          <w:ilvl w:val="0"/>
          <w:numId w:val="20"/>
        </w:numPr>
        <w:spacing w:before="120" w:after="120" w:line="240" w:lineRule="auto"/>
        <w:jc w:val="both"/>
        <w:rPr>
          <w:rFonts w:ascii="Times New Roman" w:hAnsi="Times New Roman" w:cs="Times New Roman"/>
          <w:iCs/>
          <w:noProof/>
          <w:color w:val="000000" w:themeColor="text1"/>
          <w:sz w:val="24"/>
        </w:rPr>
      </w:pPr>
      <w:r>
        <w:rPr>
          <w:rFonts w:ascii="Times New Roman" w:hAnsi="Times New Roman"/>
          <w:noProof/>
          <w:color w:val="000000" w:themeColor="text1"/>
          <w:sz w:val="24"/>
        </w:rPr>
        <w:t>Изменен технически правилник за сградите, с който се увеличават минималните количества инфраструктура за зареждане на електрически превозни средства както в жилищните, така и в обществените паркинги, като минималните изисквания на Директивата за енергийната ефективност на сградите се надхвърлят;</w:t>
      </w:r>
      <w:r>
        <w:rPr>
          <w:rFonts w:ascii="Times New Roman" w:hAnsi="Times New Roman"/>
          <w:iCs/>
          <w:noProof/>
          <w:color w:val="000000" w:themeColor="text1"/>
          <w:sz w:val="24"/>
        </w:rPr>
        <w:t xml:space="preserve"> както и</w:t>
      </w:r>
    </w:p>
    <w:p>
      <w:pPr>
        <w:numPr>
          <w:ilvl w:val="0"/>
          <w:numId w:val="20"/>
        </w:numPr>
        <w:spacing w:before="120" w:after="12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Изменено постановление за електротехника с ниско напрежение, включващо задължения за инфраструктура за зареждане в паркинги, които не са свързани със сграда.</w:t>
      </w:r>
    </w:p>
    <w:p>
      <w:pPr>
        <w:spacing w:before="120" w:after="120" w:line="240" w:lineRule="auto"/>
        <w:jc w:val="both"/>
        <w:rPr>
          <w:rFonts w:ascii="Times New Roman" w:hAnsi="Times New Roman" w:cs="Times New Roman"/>
          <w:noProof/>
          <w:sz w:val="24"/>
          <w:szCs w:val="24"/>
        </w:rPr>
      </w:pPr>
      <w:r>
        <w:rPr>
          <w:rFonts w:ascii="Times New Roman" w:hAnsi="Times New Roman"/>
          <w:noProof/>
          <w:color w:val="000000" w:themeColor="text1"/>
          <w:sz w:val="24"/>
          <w:szCs w:val="24"/>
        </w:rPr>
        <w:t>Изпълнението на реформата приключва до 30 юни 2022 г.</w:t>
      </w:r>
    </w:p>
    <w:p>
      <w:pPr>
        <w:spacing w:before="120" w:after="120" w:line="240" w:lineRule="auto"/>
        <w:jc w:val="both"/>
        <w:rPr>
          <w:rFonts w:ascii="Times New Roman" w:hAnsi="Times New Roman" w:cs="Times New Roman"/>
          <w:iCs/>
          <w:noProof/>
          <w:color w:val="000000" w:themeColor="text1"/>
          <w:sz w:val="24"/>
          <w:u w:val="single"/>
        </w:rPr>
      </w:pPr>
      <w:r>
        <w:rPr>
          <w:rFonts w:ascii="Times New Roman" w:hAnsi="Times New Roman"/>
          <w:iCs/>
          <w:noProof/>
          <w:color w:val="000000" w:themeColor="text1"/>
          <w:sz w:val="24"/>
          <w:u w:val="single"/>
        </w:rPr>
        <w:t>Реформа 2 (C1.R2) – Закон за мобилността и финансирането на транспорта</w:t>
      </w:r>
    </w:p>
    <w:p>
      <w:pPr>
        <w:spacing w:before="120" w:after="12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Целта на тази мярка, въведена със закон, е да се осигури регулаторната рамка, на която да се основава обновената политика за мобилност в Испания, основана на по-добро устойчиво и цифрово измерение. </w:t>
      </w:r>
    </w:p>
    <w:p>
      <w:pPr>
        <w:spacing w:before="120" w:after="12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Законът предвижда най-малко:</w:t>
      </w:r>
    </w:p>
    <w:p>
      <w:pPr>
        <w:numPr>
          <w:ilvl w:val="0"/>
          <w:numId w:val="23"/>
        </w:numPr>
        <w:spacing w:before="120" w:after="12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създаване на механизъм за плащане за използването на държавните пътища, който да бъде въведен от 2024 г. нататък в съответствие с принципа „замърсителят плаща“. </w:t>
      </w:r>
      <w:r>
        <w:rPr>
          <w:rFonts w:ascii="Times New Roman" w:hAnsi="Times New Roman"/>
          <w:noProof/>
          <w:sz w:val="24"/>
        </w:rPr>
        <w:t>Целта на тази мярка е да се интернализират външните разходи на автомобилния транспорт, като по този начин се създадат стимули за по-голяма ефективност в този сектор и се стигне до намаляване на емисиите на парникови газове.</w:t>
      </w:r>
    </w:p>
    <w:p>
      <w:pPr>
        <w:numPr>
          <w:ilvl w:val="0"/>
          <w:numId w:val="23"/>
        </w:numPr>
        <w:spacing w:before="120" w:after="12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редица задължения и методични ръководства, приложими за общините и дружествата с определена големина, за да се стимулира изпълнението съответно на план за устойчива градска мобилност и на схеми за устойчива трудова мобилност; </w:t>
      </w:r>
    </w:p>
    <w:p>
      <w:pPr>
        <w:numPr>
          <w:ilvl w:val="0"/>
          <w:numId w:val="23"/>
        </w:numPr>
        <w:spacing w:before="120" w:after="120" w:line="240" w:lineRule="auto"/>
        <w:jc w:val="both"/>
        <w:rPr>
          <w:rFonts w:ascii="Times New Roman" w:hAnsi="Times New Roman" w:cs="Times New Roman"/>
          <w:noProof/>
          <w:color w:val="000000" w:themeColor="text1"/>
          <w:sz w:val="24"/>
          <w:szCs w:val="24"/>
        </w:rPr>
      </w:pPr>
      <w:r>
        <w:rPr>
          <w:rFonts w:ascii="Times New Roman" w:hAnsi="Times New Roman"/>
          <w:noProof/>
          <w:sz w:val="24"/>
          <w:szCs w:val="24"/>
        </w:rPr>
        <w:t>създаването на механизъм за повишаване на строгостта при планирането на инфраструктурата в съответствие с препоръките на независимия фискален орган (</w:t>
      </w:r>
      <w:r>
        <w:rPr>
          <w:rFonts w:ascii="Times New Roman" w:hAnsi="Times New Roman"/>
          <w:i/>
          <w:noProof/>
          <w:sz w:val="24"/>
          <w:szCs w:val="24"/>
        </w:rPr>
        <w:t>Autoridad Independiente de Responsabilidad Fiscal, AIReF</w:t>
      </w:r>
      <w:r>
        <w:rPr>
          <w:rFonts w:ascii="Times New Roman" w:hAnsi="Times New Roman"/>
          <w:noProof/>
          <w:sz w:val="24"/>
          <w:szCs w:val="24"/>
        </w:rPr>
        <w:t>), включващ съображения относно устойчивостта и социалния анализ на разходите и ползите;</w:t>
      </w:r>
      <w:r>
        <w:rPr>
          <w:rFonts w:ascii="Times New Roman" w:hAnsi="Times New Roman"/>
          <w:noProof/>
          <w:color w:val="000000" w:themeColor="text1"/>
          <w:sz w:val="24"/>
          <w:szCs w:val="24"/>
        </w:rPr>
        <w:t xml:space="preserve"> </w:t>
      </w:r>
    </w:p>
    <w:p>
      <w:pPr>
        <w:numPr>
          <w:ilvl w:val="0"/>
          <w:numId w:val="23"/>
        </w:numPr>
        <w:spacing w:before="120" w:after="12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създаване на предвидима система за финансиране на градския транспорт в общините въз основа на единни критерии за разпределение на държавните средства; </w:t>
      </w:r>
    </w:p>
    <w:p>
      <w:pPr>
        <w:numPr>
          <w:ilvl w:val="0"/>
          <w:numId w:val="23"/>
        </w:numPr>
        <w:spacing w:before="120" w:after="12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въвеждане на регулаторна среда, улесняваща иновациите в сектора на мобилността и транспорта и навлизането им на пазара;</w:t>
      </w:r>
    </w:p>
    <w:p>
      <w:pPr>
        <w:numPr>
          <w:ilvl w:val="0"/>
          <w:numId w:val="23"/>
        </w:numPr>
        <w:spacing w:before="120" w:after="12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подобряване на управлението в съответствие с препоръките на AIReF чрез създаването на: i) национална система за мобилност за насърчаване на координацията и сътрудничеството между трите териториални администрации, отговарящи за транспорта и мобилността; </w:t>
      </w:r>
      <w:r>
        <w:rPr>
          <w:rFonts w:ascii="Times New Roman" w:hAnsi="Times New Roman"/>
          <w:noProof/>
          <w:sz w:val="24"/>
          <w:szCs w:val="24"/>
        </w:rPr>
        <w:t>ii) висш съвет по транспорта и мобилността като орган за консултиране, обсъждане и включване на производствените сектори, академичните среди и гражданското общество при определянето на политиките в областта на транспорта и мобилността; и iii) интегрирана информационна платформа за транспорт и мобилност с цел интегриране на информация от различни администрации и външни източници относно транспорта и мобилността. Това ще позволи на администрациите да оптимизират разработването на публичните политики и да подобрят капацитета си за реагиране при кризи и извънредни ситуации.</w:t>
      </w:r>
    </w:p>
    <w:p>
      <w:pPr>
        <w:spacing w:before="120" w:after="12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Мярката се публикува в Официален вестник до 31 декември 2023 г. </w:t>
      </w:r>
    </w:p>
    <w:p>
      <w:pPr>
        <w:keepNext/>
        <w:spacing w:before="120" w:after="120" w:line="240" w:lineRule="auto"/>
        <w:jc w:val="both"/>
        <w:rPr>
          <w:rFonts w:ascii="Times New Roman" w:hAnsi="Times New Roman" w:cs="Times New Roman"/>
          <w:noProof/>
          <w:color w:val="000000" w:themeColor="text1"/>
          <w:sz w:val="24"/>
          <w:u w:val="single"/>
        </w:rPr>
      </w:pPr>
      <w:r>
        <w:rPr>
          <w:rFonts w:ascii="Times New Roman" w:hAnsi="Times New Roman"/>
          <w:noProof/>
          <w:color w:val="000000" w:themeColor="text1"/>
          <w:sz w:val="24"/>
          <w:u w:val="single"/>
        </w:rPr>
        <w:t>Инвестиции 1 (C1.I1) – Области с ниски емисии и преобразуване на градския и метрополния транспорт</w:t>
      </w:r>
    </w:p>
    <w:p>
      <w:pPr>
        <w:spacing w:before="120" w:after="12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Целта на тази мярка е да се насърчи устойчивата и цифровата трансформация на транспортните услуги с цел да се допринесе за намаляване на използването на лични превозни средства в градска среда с 35 % до 2030 г. Мярката обхваща също така стимули за прехода към по-чист пътнически и товарен транспортен парк на дружествата, предоставящи транспортни услуги. Тази инвестиция се осъществява от местните органи, автономните области и Министерството на транспорта, мобилността и програмата за градовете (MITMA). </w:t>
      </w:r>
    </w:p>
    <w:p>
      <w:pPr>
        <w:spacing w:before="120" w:after="120" w:line="240" w:lineRule="auto"/>
        <w:jc w:val="both"/>
        <w:rPr>
          <w:rFonts w:ascii="Times New Roman" w:hAnsi="Times New Roman" w:cs="Times New Roman"/>
          <w:noProof/>
          <w:sz w:val="24"/>
          <w:szCs w:val="24"/>
        </w:rPr>
      </w:pPr>
      <w:r>
        <w:rPr>
          <w:rFonts w:ascii="Times New Roman" w:hAnsi="Times New Roman"/>
          <w:noProof/>
          <w:color w:val="000000" w:themeColor="text1"/>
          <w:sz w:val="24"/>
          <w:szCs w:val="24"/>
        </w:rPr>
        <w:t xml:space="preserve">Инвестиционните проекти, които автономните области трябва да предприемат, могат да се отнасят до: </w:t>
      </w:r>
      <w:r>
        <w:rPr>
          <w:rFonts w:ascii="Times New Roman" w:hAnsi="Times New Roman"/>
          <w:noProof/>
          <w:sz w:val="24"/>
          <w:szCs w:val="24"/>
        </w:rPr>
        <w:t>преобразуване на парковете на обществения транспорт с цел постигане на целите на Директивата за чисти превозни средства и в съответствие с Техническите насоки „ненанасяне на значителни вреди“ (2021/C58/01);</w:t>
      </w:r>
      <w:r>
        <w:rPr>
          <w:rFonts w:ascii="Times New Roman" w:hAnsi="Times New Roman"/>
          <w:noProof/>
          <w:color w:val="000000" w:themeColor="text1"/>
          <w:sz w:val="24"/>
          <w:szCs w:val="24"/>
        </w:rPr>
        <w:t xml:space="preserve"> цифровизацията на обществения транспорт, административното му управление и подобряването на достъпността му; цифровизацията на обществения транспорт, административното му управление и подобряването на достъпността му; г) мерки за даване на приоритет на колективния транспорт и активната мобилност, включително велосипедната инфраструктура и пешеходните ленти; д) стимулиране на навлизането в Испания на нови технологии с нулеви емисии в транспорта; </w:t>
      </w:r>
      <w:r>
        <w:rPr>
          <w:rFonts w:ascii="Times New Roman" w:hAnsi="Times New Roman"/>
          <w:noProof/>
          <w:sz w:val="24"/>
          <w:szCs w:val="24"/>
        </w:rPr>
        <w:t>е) паркинги с възпираща цел, разположени извън общините и областните центрове, за да се намали притокът към градския център и ж) разширяване или модернизиране на железопътната транспортна система (напр. метрото или релсовите превозни средства); з) проекти за цифровизация, допълващи мерките в подкрепа на устойчивата мобилност, включително информационните системи в реално време относно услугите за обществен транспорт, мобилността като услуга, проекти за подобряване на издаването на билети за интермодален или междуфирмен транспорт, проекти за подпомагане на управлението на движението и мобилността и анализ на информацията с цел повишаване на ефективността на транспортната система и i) всеки друг проект, който: i) допринася за подобряване на качеството на въздуха, особено в градските райони, ii) стимулира намаляването на използването на частен транспорт в градските и метрополните области; iii) стимулира използването на обществения транспорт или iv) стимулира активната и здравословната мобилност.</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Проектите на местните органи ще се състоят например от: а) преобразуването на парковете на обществения транспорт с цел постигане на целите на Директивата за чисти превозни средства и в съответствие с техническите насоки за „ненанасяне на значителни вреди“ (2021/C58/01); б) въвеждането и управлението на зони с ниски емисии; в) цифровизацията на обществения транспорт, административното му управление и подобряването на достъпността му; и г) мерки за стимулиране и приоритизиране на колективния транспорт и активната мобилност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Тази помощ се отпуска на общини с повече от 50 000 жители и столиците на провинциите и при определени условия може да бъде отпусната и на общини с население между 20 000 и 50 000 жители. </w:t>
      </w:r>
    </w:p>
    <w:p>
      <w:pPr>
        <w:spacing w:after="160" w:line="259" w:lineRule="auto"/>
        <w:ind w:left="2"/>
        <w:jc w:val="both"/>
        <w:rPr>
          <w:rFonts w:ascii="Times New Roman" w:hAnsi="Times New Roman" w:cs="Times New Roman"/>
          <w:noProof/>
          <w:color w:val="000000" w:themeColor="text1"/>
        </w:rPr>
      </w:pPr>
      <w:r>
        <w:rPr>
          <w:rFonts w:ascii="Times New Roman" w:hAnsi="Times New Roman"/>
          <w:noProof/>
          <w:color w:val="000000" w:themeColor="text1"/>
          <w:sz w:val="24"/>
        </w:rPr>
        <w:t xml:space="preserve">Предвижда се инвестиционните проекти MITMA да се отнасят до хуманизацията и организацията на движението по градските пътища, за които отговаря. Инвестициите допринасят за насърчаване на мобилността на пешеходците и велосипедистите и други нови форми на мобилност (скутери) или за намаляване на пространствата за автомобили и намаляване на скоростта на превозните средства с цел намаляване както на емисиите на въздуха, така и на шумовото замърсяване. </w:t>
      </w:r>
    </w:p>
    <w:p>
      <w:pPr>
        <w:spacing w:after="160" w:line="259" w:lineRule="auto"/>
        <w:ind w:left="2"/>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Стимулите за преобразуване на пътническия и товарния флот на транспортните дружества се състоят от следните линии за помощ: а) помощ за придобиване на превозни средства за превоз на пътници и товари с нулеви и ниски емисии; б) помощ за разгръщането на инфраструктура за зареждане на търговски превозни средства с алтернативни горива (електрически, ВПГ, КПГ и биометан); в) помощ за предприятия за придобиване или адаптиране на ремаркета и полуремаркета към интермодален транспорт; и г) помощ за предприятия за бракуване на стари превозни средства. </w:t>
      </w:r>
    </w:p>
    <w:p>
      <w:pPr>
        <w:spacing w:after="160" w:line="259" w:lineRule="auto"/>
        <w:ind w:left="2"/>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Очаква се тази мярка да не навреди значително на екологичните цели по смисъла на член 17 от Регламент (ЕС) 2020/852, като се вземат предвид описанието на мярката и смекчаващите стъпки, определени в плана за възстановяване и устойчивост в съответствие с Техническите насоки за ненанасяне на значителни вреди (2021/C58/01). По-специално подкрепата за линия за помощ а) обхваща само електрически и водородни автобуси с нисък под (категории М2 и М3, обикновено градски и крайградски автобуси); автобуси с висок етаж, включително ВПГ/СПГ, хибридни, електрически и водородни (категории М2 и М3, обикновено междуградски автобуси), отговарящи на EURO VI-E (категории М2 и М3, обикновено междуградски автобуси); и камионите с нулеви емисии</w:t>
      </w:r>
      <w:r>
        <w:rPr>
          <w:rFonts w:ascii="Times New Roman" w:hAnsi="Times New Roman" w:cs="Times New Roman"/>
          <w:noProof/>
          <w:color w:val="000000" w:themeColor="text1"/>
          <w:sz w:val="24"/>
          <w:szCs w:val="24"/>
          <w:vertAlign w:val="superscript"/>
          <w:lang w:val="en-IE"/>
        </w:rPr>
        <w:footnoteReference w:id="2"/>
      </w:r>
      <w:r>
        <w:rPr>
          <w:rFonts w:ascii="Times New Roman" w:hAnsi="Times New Roman"/>
          <w:noProof/>
          <w:color w:val="000000" w:themeColor="text1"/>
          <w:sz w:val="24"/>
          <w:szCs w:val="24"/>
        </w:rPr>
        <w:t>, нискоемисионните</w:t>
      </w:r>
      <w:r>
        <w:rPr>
          <w:rFonts w:ascii="Times New Roman" w:hAnsi="Times New Roman" w:cs="Times New Roman"/>
          <w:noProof/>
          <w:color w:val="000000" w:themeColor="text1"/>
          <w:sz w:val="24"/>
          <w:szCs w:val="24"/>
          <w:vertAlign w:val="superscript"/>
          <w:lang w:val="en-IE"/>
        </w:rPr>
        <w:footnoteReference w:id="3"/>
      </w:r>
      <w:r>
        <w:rPr>
          <w:rFonts w:ascii="Times New Roman" w:hAnsi="Times New Roman"/>
          <w:noProof/>
          <w:color w:val="000000" w:themeColor="text1"/>
          <w:sz w:val="24"/>
          <w:szCs w:val="24"/>
        </w:rPr>
        <w:t xml:space="preserve"> и камионите с ВПГ/СПГ, работещи с биогорива, течни горива от биомаса и газообразни и твърди горива от биомаса</w:t>
      </w:r>
      <w:r>
        <w:rPr>
          <w:rFonts w:ascii="Times New Roman" w:hAnsi="Times New Roman" w:cs="Times New Roman"/>
          <w:noProof/>
          <w:color w:val="000000" w:themeColor="text1"/>
          <w:sz w:val="24"/>
          <w:szCs w:val="24"/>
          <w:vertAlign w:val="superscript"/>
          <w:lang w:val="en-IE"/>
        </w:rPr>
        <w:footnoteReference w:id="4"/>
      </w:r>
      <w:r>
        <w:rPr>
          <w:rFonts w:ascii="Times New Roman" w:hAnsi="Times New Roman"/>
          <w:noProof/>
          <w:color w:val="000000" w:themeColor="text1"/>
          <w:sz w:val="24"/>
          <w:szCs w:val="24"/>
        </w:rPr>
        <w:t>. Що се отнася до линия за помощ б), инфраструктурата за зареждане на търговски превозни средства трябва да отговаря на условията за биогоривата, течните горива от биомаса и газообразните и твърдите горива от биомаса</w:t>
      </w:r>
      <w:r>
        <w:rPr>
          <w:rFonts w:ascii="Times New Roman" w:hAnsi="Times New Roman" w:cs="Times New Roman"/>
          <w:noProof/>
          <w:color w:val="000000" w:themeColor="text1"/>
          <w:sz w:val="24"/>
          <w:szCs w:val="24"/>
          <w:vertAlign w:val="superscript"/>
          <w:lang w:val="en-IE"/>
        </w:rPr>
        <w:footnoteReference w:id="5"/>
      </w:r>
      <w:r>
        <w:rPr>
          <w:rFonts w:ascii="Times New Roman" w:hAnsi="Times New Roman"/>
          <w:noProof/>
          <w:color w:val="000000" w:themeColor="text1"/>
          <w:sz w:val="24"/>
          <w:szCs w:val="24"/>
        </w:rPr>
        <w:t>.</w:t>
      </w:r>
    </w:p>
    <w:p>
      <w:pPr>
        <w:spacing w:after="160" w:line="259" w:lineRule="auto"/>
        <w:ind w:left="2"/>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Критериите за подбор гарантират, че най-малко 310 000 000 EUR допринасят за постигане на целите във връзка с изменението на климата със 100 % коефициент в областта на климата и най-малко 2 195 000 000 EUR с коефициент в областта на климата от 40 %, в съответствие с приложение VI към Регламент (ЕС) 2021/241 относно Механизма за възстановяване и устойчивост. </w:t>
      </w:r>
    </w:p>
    <w:p>
      <w:pPr>
        <w:spacing w:before="120" w:after="12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Инвестициите по тази мярка се изпълняват до 31 декември 2025 г.</w:t>
      </w:r>
    </w:p>
    <w:p>
      <w:pPr>
        <w:spacing w:before="120" w:after="120" w:line="240" w:lineRule="auto"/>
        <w:jc w:val="both"/>
        <w:rPr>
          <w:rFonts w:ascii="Times New Roman" w:hAnsi="Times New Roman" w:cs="Times New Roman"/>
          <w:noProof/>
          <w:color w:val="000000" w:themeColor="text1"/>
          <w:sz w:val="24"/>
          <w:u w:val="single"/>
        </w:rPr>
      </w:pPr>
      <w:r>
        <w:rPr>
          <w:rFonts w:ascii="Times New Roman" w:hAnsi="Times New Roman"/>
          <w:noProof/>
          <w:color w:val="000000" w:themeColor="text1"/>
          <w:sz w:val="24"/>
          <w:u w:val="single"/>
        </w:rPr>
        <w:t>Инвестиция 2 (C1.I2) – Схема за стимулиране на инсталирането на зарядни станции, закупуването на електрически превозни средства и превозни средства с горивни елементи и иновации в електромобилността, зареждането и зеления водород</w:t>
      </w:r>
    </w:p>
    <w:p>
      <w:pPr>
        <w:spacing w:before="120" w:after="12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Тази мярка има за цел да подкрепи спазването на испанската национална рамка за алтернативна енергия в транспорта, да ускори изпълнението на националния интегриран план в областта на енергетиката и климата и да подкрепи териториалното сближаване чрез електрифициране на мобилността в селските райони. Инвестицията е структурирана в различни схеми за помощ, които стимулират въвеждането на електрически превозни средства и превозни средства с горивни елементи, като същевременно насърчават отделни иновационни проекти, свързани с електромобилността, веригата за създаване на стойност и обновяването на автомобилния парк на едро, включително чрез използване на технологията за зелен водород. Инвестицията включва също инсталирането на обществени станции за зареждане в жилищни райони, както и по националната пътна мрежа. Критериите за подбор, използвани в поканите за представяне на предложения за разпределяне на средствата по схемите за помощ, включват: i) намаляване на въздействието върху околната среда, ii) техническа и икономическа жизнеспособност, iii) ниво на технологично развитие и иновации, iv) възможност за възпроизвеждане и разрастване, v) създаване на работни места, свързано с проекта, пряко и непряко и vi) въздействие върху веригата за създаване на стойност и синергия с други сектори, предимно промишлени.</w:t>
      </w:r>
    </w:p>
    <w:p>
      <w:pPr>
        <w:spacing w:before="120" w:after="12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Тази инвестиция трябва да бъде осъществена до 31 август 2025 г. </w:t>
      </w:r>
    </w:p>
    <w:p>
      <w:pPr>
        <w:keepNext/>
        <w:spacing w:before="120" w:after="12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u w:val="single"/>
        </w:rPr>
        <w:t xml:space="preserve">Инвестиции 3 (C1.I3) – Мерки за подобряване на качеството и надеждността на железопътните транспортни услуги </w:t>
      </w:r>
    </w:p>
    <w:p>
      <w:pPr>
        <w:keepNext/>
        <w:spacing w:before="120" w:after="12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Целта на тази мярка е подобряване на привлекателността и достъпността на обществената железопътна мрежа на къси разстояния (т.нар. </w:t>
      </w:r>
      <w:r>
        <w:rPr>
          <w:rFonts w:ascii="Times New Roman" w:hAnsi="Times New Roman"/>
          <w:i/>
          <w:noProof/>
          <w:color w:val="000000" w:themeColor="text1"/>
          <w:sz w:val="24"/>
          <w:szCs w:val="24"/>
        </w:rPr>
        <w:t>Cercanías</w:t>
      </w:r>
      <w:r>
        <w:rPr>
          <w:rFonts w:ascii="Times New Roman" w:hAnsi="Times New Roman"/>
          <w:noProof/>
          <w:color w:val="000000" w:themeColor="text1"/>
          <w:sz w:val="24"/>
          <w:szCs w:val="24"/>
        </w:rPr>
        <w:t xml:space="preserve">), така че тя да се превърне в гръбнака на мобилността в градските райони и да замени използването на частни превозни средства в метрополните области. </w:t>
      </w:r>
      <w:r>
        <w:rPr>
          <w:rFonts w:ascii="Times New Roman" w:hAnsi="Times New Roman"/>
          <w:noProof/>
          <w:sz w:val="24"/>
          <w:szCs w:val="24"/>
        </w:rPr>
        <w:t>Проектите се изпълняват от ADIF (управител на железопътна инфраструктура) и RENFE (оператор на железопътни услуги със задължения за обществена услуга).</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ADIF осъществява инфраструктурни инвестиции в Cercanías железниците, включително обновяване на коловозите, модернизиране на гарите и подобрения в електрификацията и сигнализацията.</w:t>
      </w:r>
      <w:r>
        <w:rPr>
          <w:rFonts w:ascii="Times New Roman" w:hAnsi="Times New Roman"/>
          <w:noProof/>
          <w:color w:val="000000" w:themeColor="text1"/>
          <w:sz w:val="24"/>
          <w:szCs w:val="24"/>
        </w:rPr>
        <w:t xml:space="preserve"> </w:t>
      </w:r>
      <w:r>
        <w:rPr>
          <w:rFonts w:ascii="Times New Roman" w:hAnsi="Times New Roman"/>
          <w:noProof/>
          <w:sz w:val="24"/>
          <w:szCs w:val="24"/>
        </w:rPr>
        <w:t xml:space="preserve">Освен това RENFE отговаря за реализирането на инвестиции за модернизиране на управлението на обществения железопътен транспорт. Инвестициите обхващат основно пет измерения: а) цифровизация на системите за сигурност в гарите; б) системи за информиране на пътниците; в) подобряване на контрола на достъпа; г) адаптиране на машините за самообслужване към новите технологии; и д) оборудване на съоръжения в гарите на мрежата </w:t>
      </w:r>
      <w:r>
        <w:rPr>
          <w:rFonts w:ascii="Times New Roman" w:hAnsi="Times New Roman"/>
          <w:i/>
          <w:noProof/>
          <w:sz w:val="24"/>
          <w:szCs w:val="24"/>
        </w:rPr>
        <w:t>Cercanías</w:t>
      </w:r>
      <w:r>
        <w:rPr>
          <w:rFonts w:ascii="Times New Roman" w:hAnsi="Times New Roman"/>
          <w:noProof/>
          <w:sz w:val="24"/>
          <w:szCs w:val="24"/>
        </w:rPr>
        <w:t xml:space="preserve">. </w:t>
      </w:r>
    </w:p>
    <w:p>
      <w:pPr>
        <w:spacing w:before="120" w:after="12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Изпълнението приключва не по-късно от 30 юни 2026 г. </w:t>
      </w:r>
    </w:p>
    <w:p>
      <w:pPr>
        <w:spacing w:before="120" w:after="120" w:line="240" w:lineRule="auto"/>
        <w:jc w:val="both"/>
        <w:rPr>
          <w:rFonts w:ascii="Times New Roman" w:hAnsi="Times New Roman" w:cs="Times New Roman"/>
          <w:b/>
          <w:bCs/>
          <w:noProof/>
          <w:color w:val="000000" w:themeColor="text1"/>
          <w:sz w:val="24"/>
          <w:u w:val="single"/>
        </w:rPr>
      </w:pPr>
      <w:r>
        <w:rPr>
          <w:rFonts w:ascii="Times New Roman" w:hAnsi="Times New Roman"/>
          <w:b/>
          <w:bCs/>
          <w:noProof/>
          <w:color w:val="000000" w:themeColor="text1"/>
          <w:sz w:val="24"/>
          <w:u w:val="single"/>
        </w:rPr>
        <w:t xml:space="preserve">A.2. </w:t>
      </w:r>
      <w:r>
        <w:rPr>
          <w:rFonts w:ascii="Times New Roman" w:hAnsi="Times New Roman"/>
          <w:b/>
          <w:bCs/>
          <w:noProof/>
          <w:color w:val="000000" w:themeColor="text1"/>
          <w:sz w:val="24"/>
          <w:u w:val="single"/>
        </w:rPr>
        <w:tab/>
        <w:t>Ключови етапи, цели, показатели и график за мониторинг и изпълнение на безвъзмездната финансова подкрепа</w:t>
      </w:r>
    </w:p>
    <w:p>
      <w:pPr>
        <w:spacing w:before="120" w:after="120" w:line="240" w:lineRule="auto"/>
        <w:jc w:val="both"/>
        <w:rPr>
          <w:rFonts w:ascii="Times New Roman" w:hAnsi="Times New Roman" w:cs="Times New Roman"/>
          <w:noProof/>
          <w:color w:val="1F497D"/>
        </w:rPr>
      </w:pPr>
      <w:r>
        <w:rPr>
          <w:rFonts w:ascii="Times New Roman" w:hAnsi="Times New Roman"/>
          <w:i/>
          <w:iCs/>
          <w:noProof/>
          <w:color w:val="000000"/>
          <w:sz w:val="24"/>
        </w:rPr>
        <w:t>Вж. таблицата по-долу.</w:t>
      </w:r>
      <w:r>
        <w:rPr>
          <w:rFonts w:ascii="Times New Roman" w:hAnsi="Times New Roman"/>
          <w:noProof/>
          <w:color w:val="1F497D"/>
          <w:sz w:val="24"/>
        </w:rPr>
        <w:t xml:space="preserve"> </w:t>
      </w:r>
      <w:r>
        <w:rPr>
          <w:rFonts w:ascii="Times New Roman" w:hAnsi="Times New Roman"/>
          <w:i/>
          <w:noProof/>
          <w:color w:val="000000"/>
          <w:sz w:val="24"/>
        </w:rPr>
        <w:t>Референтната дата за всички показатели е 1 февруари 2020 г., освен ако не е посочено друго в описанието на действието.</w:t>
      </w:r>
      <w:r>
        <w:rPr>
          <w:rFonts w:ascii="Times New Roman" w:hAnsi="Times New Roman"/>
          <w:i/>
          <w:iCs/>
          <w:noProof/>
          <w:color w:val="000000"/>
          <w:sz w:val="24"/>
        </w:rPr>
        <w:t xml:space="preserve"> Сумите в таблицата не включват ДДС.</w:t>
      </w:r>
    </w:p>
    <w:p>
      <w:pPr>
        <w:spacing w:before="120" w:after="120" w:line="240" w:lineRule="auto"/>
        <w:jc w:val="both"/>
        <w:rPr>
          <w:rFonts w:ascii="Times New Roman" w:hAnsi="Times New Roman" w:cs="Times New Roman"/>
          <w:noProof/>
          <w:sz w:val="24"/>
          <w:lang w:val="en-IE"/>
        </w:rPr>
      </w:pPr>
    </w:p>
    <w:p>
      <w:pPr>
        <w:spacing w:before="120" w:after="120" w:line="240" w:lineRule="auto"/>
        <w:jc w:val="both"/>
        <w:rPr>
          <w:rFonts w:ascii="Times New Roman" w:hAnsi="Times New Roman" w:cs="Times New Roman"/>
          <w:noProof/>
          <w:sz w:val="24"/>
          <w:lang w:val="en-IE"/>
        </w:rPr>
        <w:sectPr>
          <w:headerReference w:type="even" r:id="rId19"/>
          <w:headerReference w:type="default" r:id="rId20"/>
          <w:footerReference w:type="even" r:id="rId21"/>
          <w:footerReference w:type="default" r:id="rId22"/>
          <w:headerReference w:type="first" r:id="rId23"/>
          <w:footerReference w:type="first" r:id="rId24"/>
          <w:pgSz w:w="11907" w:h="16839"/>
          <w:pgMar w:top="1134" w:right="1417" w:bottom="1134" w:left="1417" w:header="709" w:footer="709" w:gutter="0"/>
          <w:pgNumType w:start="1"/>
          <w:cols w:space="720"/>
          <w:docGrid w:linePitch="360"/>
        </w:sectPr>
      </w:pPr>
    </w:p>
    <w:tbl>
      <w:tblPr>
        <w:tblW w:w="15168"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09"/>
        <w:gridCol w:w="851"/>
        <w:gridCol w:w="850"/>
        <w:gridCol w:w="2977"/>
        <w:gridCol w:w="1134"/>
        <w:gridCol w:w="731"/>
        <w:gridCol w:w="810"/>
        <w:gridCol w:w="727"/>
        <w:gridCol w:w="353"/>
        <w:gridCol w:w="639"/>
        <w:gridCol w:w="5387"/>
      </w:tblGrid>
      <w:tr>
        <w:trPr>
          <w:trHeight w:val="309"/>
          <w:tblHeader/>
        </w:trPr>
        <w:tc>
          <w:tcPr>
            <w:tcW w:w="709" w:type="dxa"/>
            <w:tcBorders>
              <w:bottom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szCs w:val="18"/>
              </w:rPr>
              <w:t>Номер</w:t>
            </w:r>
          </w:p>
        </w:tc>
        <w:tc>
          <w:tcPr>
            <w:tcW w:w="851" w:type="dxa"/>
            <w:tcBorders>
              <w:bottom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szCs w:val="18"/>
              </w:rPr>
              <w:t>Мярка</w:t>
            </w:r>
          </w:p>
        </w:tc>
        <w:tc>
          <w:tcPr>
            <w:tcW w:w="850" w:type="dxa"/>
            <w:tcBorders>
              <w:bottom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szCs w:val="18"/>
              </w:rPr>
              <w:t>Ключов етап / Цел</w:t>
            </w:r>
          </w:p>
        </w:tc>
        <w:tc>
          <w:tcPr>
            <w:tcW w:w="2977" w:type="dxa"/>
            <w:tcBorders>
              <w:bottom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szCs w:val="18"/>
              </w:rPr>
              <w:t>Наименование</w:t>
            </w:r>
          </w:p>
        </w:tc>
        <w:tc>
          <w:tcPr>
            <w:tcW w:w="1134" w:type="dxa"/>
            <w:tcBorders>
              <w:bottom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szCs w:val="18"/>
              </w:rPr>
              <w:t>Качествени показатели за ключовите етапи</w:t>
            </w:r>
          </w:p>
        </w:tc>
        <w:tc>
          <w:tcPr>
            <w:tcW w:w="2268" w:type="dxa"/>
            <w:gridSpan w:val="3"/>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szCs w:val="18"/>
              </w:rPr>
              <w:t>Количествени показатели за целите</w:t>
            </w:r>
          </w:p>
        </w:tc>
        <w:tc>
          <w:tcPr>
            <w:tcW w:w="992" w:type="dxa"/>
            <w:gridSpan w:val="2"/>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szCs w:val="18"/>
              </w:rPr>
              <w:t>Време</w:t>
            </w:r>
          </w:p>
        </w:tc>
        <w:tc>
          <w:tcPr>
            <w:tcW w:w="5387" w:type="dxa"/>
            <w:tcBorders>
              <w:bottom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r>
              <w:rPr>
                <w:rFonts w:ascii="Times New Roman" w:hAnsi="Times New Roman"/>
                <w:b/>
                <w:bCs/>
                <w:noProof/>
                <w:sz w:val="18"/>
                <w:szCs w:val="18"/>
              </w:rPr>
              <w:t>Описание на всеки ключов етап и всяка цел</w:t>
            </w:r>
          </w:p>
        </w:tc>
      </w:tr>
      <w:tr>
        <w:trPr>
          <w:trHeight w:val="309"/>
          <w:tblHeader/>
        </w:trPr>
        <w:tc>
          <w:tcPr>
            <w:tcW w:w="709"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851"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850"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2977" w:type="dxa"/>
            <w:tcBorders>
              <w:top w:val="nil"/>
            </w:tcBorders>
            <w:shd w:val="clear" w:color="auto" w:fill="C6D9F1" w:themeFill="text2" w:themeFillTint="33"/>
            <w:noWrap/>
          </w:tcPr>
          <w:p>
            <w:pPr>
              <w:spacing w:after="0" w:line="240" w:lineRule="auto"/>
              <w:rPr>
                <w:rFonts w:ascii="Times New Roman" w:hAnsi="Times New Roman" w:cs="Times New Roman"/>
                <w:b/>
                <w:noProof/>
                <w:color w:val="000000"/>
                <w:sz w:val="18"/>
                <w:szCs w:val="18"/>
              </w:rPr>
            </w:pPr>
          </w:p>
        </w:tc>
        <w:tc>
          <w:tcPr>
            <w:tcW w:w="1134"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731" w:type="dxa"/>
            <w:shd w:val="clear" w:color="auto" w:fill="C6D9F1" w:themeFill="text2" w:themeFillTint="33"/>
            <w:noWrap/>
          </w:tcPr>
          <w:p>
            <w:pPr>
              <w:spacing w:after="0" w:line="240" w:lineRule="auto"/>
              <w:jc w:val="center"/>
              <w:rPr>
                <w:rFonts w:ascii="Times New Roman" w:hAnsi="Times New Roman" w:cs="Times New Roman"/>
                <w:b/>
                <w:noProof/>
                <w:color w:val="000000"/>
                <w:spacing w:val="-4"/>
                <w:sz w:val="18"/>
                <w:szCs w:val="18"/>
              </w:rPr>
            </w:pPr>
            <w:r>
              <w:rPr>
                <w:rFonts w:ascii="Times New Roman" w:hAnsi="Times New Roman"/>
                <w:b/>
                <w:noProof/>
                <w:color w:val="000000"/>
                <w:spacing w:val="-4"/>
                <w:sz w:val="18"/>
                <w:szCs w:val="18"/>
              </w:rPr>
              <w:t>Мерна единица</w:t>
            </w:r>
          </w:p>
        </w:tc>
        <w:tc>
          <w:tcPr>
            <w:tcW w:w="810" w:type="dxa"/>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szCs w:val="18"/>
              </w:rPr>
              <w:t>Базова стойност</w:t>
            </w:r>
          </w:p>
        </w:tc>
        <w:tc>
          <w:tcPr>
            <w:tcW w:w="727" w:type="dxa"/>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szCs w:val="18"/>
              </w:rPr>
              <w:t>Цел</w:t>
            </w:r>
          </w:p>
        </w:tc>
        <w:tc>
          <w:tcPr>
            <w:tcW w:w="353" w:type="dxa"/>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szCs w:val="18"/>
              </w:rPr>
              <w:t>T</w:t>
            </w:r>
          </w:p>
        </w:tc>
        <w:tc>
          <w:tcPr>
            <w:tcW w:w="639" w:type="dxa"/>
            <w:shd w:val="clear" w:color="auto" w:fill="C6D9F1" w:themeFill="text2" w:themeFillTint="33"/>
            <w:noWrap/>
          </w:tcPr>
          <w:p>
            <w:pPr>
              <w:spacing w:after="0" w:line="240" w:lineRule="auto"/>
              <w:jc w:val="center"/>
              <w:rPr>
                <w:rFonts w:ascii="Times New Roman" w:hAnsi="Times New Roman" w:cs="Times New Roman"/>
                <w:b/>
                <w:noProof/>
                <w:color w:val="000000"/>
                <w:spacing w:val="-4"/>
                <w:sz w:val="18"/>
                <w:szCs w:val="18"/>
              </w:rPr>
            </w:pPr>
            <w:r>
              <w:rPr>
                <w:rFonts w:ascii="Times New Roman" w:hAnsi="Times New Roman"/>
                <w:b/>
                <w:noProof/>
                <w:color w:val="000000"/>
                <w:spacing w:val="-4"/>
                <w:sz w:val="18"/>
                <w:szCs w:val="18"/>
              </w:rPr>
              <w:t>Година</w:t>
            </w:r>
          </w:p>
        </w:tc>
        <w:tc>
          <w:tcPr>
            <w:tcW w:w="5387" w:type="dxa"/>
            <w:tcBorders>
              <w:top w:val="nil"/>
            </w:tcBorders>
            <w:shd w:val="clear" w:color="auto" w:fill="C6D9F1" w:themeFill="text2" w:themeFillTint="33"/>
            <w:noWrap/>
          </w:tcPr>
          <w:p>
            <w:pPr>
              <w:spacing w:after="0" w:line="240" w:lineRule="auto"/>
              <w:rPr>
                <w:rFonts w:ascii="Times New Roman" w:hAnsi="Times New Roman" w:cs="Times New Roman"/>
                <w:b/>
                <w:noProof/>
                <w:color w:val="000000"/>
                <w:sz w:val="18"/>
                <w:szCs w:val="18"/>
                <w:lang w:val="en-IE"/>
              </w:rPr>
            </w:pP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1</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C1.R1</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297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Наредба TMA/178/2020 и Кралски указ-закон 23/2020</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Разпоредба в наредбата и в Кралски указ-закон, в която се посочва тяхното влизане в сила </w:t>
            </w:r>
          </w:p>
        </w:tc>
        <w:tc>
          <w:tcPr>
            <w:tcW w:w="731"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81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72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353"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639" w:type="dxa"/>
            <w:shd w:val="clear" w:color="auto" w:fill="C6EFCE"/>
            <w:noWrap/>
          </w:tcPr>
          <w:p>
            <w:pPr>
              <w:spacing w:after="0" w:line="240" w:lineRule="auto"/>
              <w:jc w:val="center"/>
              <w:rPr>
                <w:rFonts w:ascii="Times New Roman" w:eastAsia="Times New Roman" w:hAnsi="Times New Roman" w:cs="Times New Roman"/>
                <w:noProof/>
                <w:spacing w:val="-4"/>
                <w:sz w:val="18"/>
                <w:szCs w:val="18"/>
              </w:rPr>
            </w:pPr>
            <w:r>
              <w:rPr>
                <w:rFonts w:ascii="Times New Roman" w:hAnsi="Times New Roman"/>
                <w:noProof/>
                <w:color w:val="000000"/>
                <w:spacing w:val="-4"/>
                <w:sz w:val="18"/>
                <w:szCs w:val="18"/>
              </w:rPr>
              <w:t>2020</w:t>
            </w:r>
          </w:p>
        </w:tc>
        <w:tc>
          <w:tcPr>
            <w:tcW w:w="538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Влизане в сила на i) Заповед TMA/178/2020 за намаляване на административната тежест за инсталирането на съоръжения за зареждане с електроенергия в бензиностанции и за определяне на времето, необходимо за извеждане на инфраструктурата от експлоатация, ii) Кралски декрет-закон 23/2020 от 23 юни, с който се обявява за обществена услуга инфраструктурата за презареждане с мощност над 250 kW, за да се ускори внедряването на този вид съоръжения.</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C1.R1</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297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Изменения на Техническия правилник в строителството (TBC), Електротехническия регламент за ниско напрежение (LVER) и одобряване на кралски указ за регулиране на обществените услуги за презареждане</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Разпоредба от Кодекса, наредбата и кралския указ, в която се посочва тяхното влизане в сила </w:t>
            </w:r>
          </w:p>
        </w:tc>
        <w:tc>
          <w:tcPr>
            <w:tcW w:w="731"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81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72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353"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T2</w:t>
            </w:r>
          </w:p>
        </w:tc>
        <w:tc>
          <w:tcPr>
            <w:tcW w:w="639" w:type="dxa"/>
            <w:shd w:val="clear" w:color="auto" w:fill="C6EFCE"/>
            <w:noWrap/>
          </w:tcPr>
          <w:p>
            <w:pPr>
              <w:spacing w:after="0" w:line="240" w:lineRule="auto"/>
              <w:jc w:val="center"/>
              <w:rPr>
                <w:rFonts w:ascii="Times New Roman" w:eastAsia="Times New Roman" w:hAnsi="Times New Roman" w:cs="Times New Roman"/>
                <w:noProof/>
                <w:spacing w:val="-4"/>
                <w:sz w:val="18"/>
                <w:szCs w:val="18"/>
              </w:rPr>
            </w:pPr>
            <w:r>
              <w:rPr>
                <w:rFonts w:ascii="Times New Roman" w:hAnsi="Times New Roman"/>
                <w:noProof/>
                <w:color w:val="000000"/>
                <w:spacing w:val="-4"/>
                <w:sz w:val="18"/>
                <w:szCs w:val="18"/>
              </w:rPr>
              <w:t>2022</w:t>
            </w:r>
          </w:p>
        </w:tc>
        <w:tc>
          <w:tcPr>
            <w:tcW w:w="538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Влизане в сила на:</w:t>
            </w:r>
            <w:r>
              <w:rPr>
                <w:rFonts w:ascii="Times New Roman" w:hAnsi="Times New Roman"/>
                <w:noProof/>
                <w:color w:val="000000"/>
                <w:sz w:val="18"/>
                <w:szCs w:val="18"/>
              </w:rPr>
              <w:br/>
              <w:t>i) изменения на Техническия правилник за сградите (TBC), за да се предвиди: а) задължение за осигуряване на предварително инсталиране на зарядни точки в 100 % от новите паркоместа в жилищни сгради и 20 % от новите паркоместа в търговски и други сгради, б) да се инсталира една точка за зареждане на всеки 40 нови паркоместа (и едно на всеки 20 паркоместа в сгради на централната държавна администрация) и в) задължението за вече съществуващи нежилищни паркинги с повече от 20 паркоместа да се адаптират към горното изискване (т.е. инсталиране на една станция на всеки 40 паркоместа) до 2023 г.</w:t>
            </w:r>
            <w:r>
              <w:rPr>
                <w:rFonts w:ascii="Times New Roman" w:hAnsi="Times New Roman"/>
                <w:noProof/>
                <w:color w:val="000000"/>
                <w:sz w:val="18"/>
                <w:szCs w:val="18"/>
              </w:rPr>
              <w:br/>
              <w:t xml:space="preserve">ii) изменения на Електротехническия регламент за ниско напрежение (LVER), за да се включат задължения за инфраструктурата за зареждане на паркингите, които не са свързани със сграда, и; </w:t>
            </w:r>
            <w:r>
              <w:rPr>
                <w:rFonts w:ascii="Times New Roman" w:hAnsi="Times New Roman"/>
                <w:noProof/>
                <w:color w:val="000000"/>
                <w:sz w:val="18"/>
                <w:szCs w:val="18"/>
              </w:rPr>
              <w:br/>
              <w:t>iii) Кралски указ за регулиране на обществените услуги за зареждане, включително отношенията между субектите, участващи в предоставянето на услугата (оператори на зарядни станции, доставчици на услуги за електрическа мобилност) и установяване на техните права и задължения</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3</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C1.R2</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297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Приемане на закон за устойчивата мобилност и финансирането на транспорта </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Разпоредба от закона, указваща влизането в сила на закона</w:t>
            </w:r>
          </w:p>
        </w:tc>
        <w:tc>
          <w:tcPr>
            <w:tcW w:w="731"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81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72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353"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639" w:type="dxa"/>
            <w:shd w:val="clear" w:color="auto" w:fill="C6EFCE"/>
            <w:noWrap/>
          </w:tcPr>
          <w:p>
            <w:pPr>
              <w:spacing w:after="0" w:line="240" w:lineRule="auto"/>
              <w:jc w:val="center"/>
              <w:rPr>
                <w:rFonts w:ascii="Times New Roman" w:eastAsia="Times New Roman" w:hAnsi="Times New Roman" w:cs="Times New Roman"/>
                <w:noProof/>
                <w:spacing w:val="-4"/>
                <w:sz w:val="18"/>
                <w:szCs w:val="18"/>
              </w:rPr>
            </w:pPr>
            <w:r>
              <w:rPr>
                <w:rFonts w:ascii="Times New Roman" w:hAnsi="Times New Roman"/>
                <w:noProof/>
                <w:color w:val="000000"/>
                <w:spacing w:val="-4"/>
                <w:sz w:val="18"/>
                <w:szCs w:val="18"/>
              </w:rPr>
              <w:t>2023</w:t>
            </w:r>
          </w:p>
        </w:tc>
        <w:tc>
          <w:tcPr>
            <w:tcW w:w="538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Влизане в сила на Закона за устойчивата мобилност и финансирането на транспорта за подобряване на планирането, координацията и ефикасността на политиките в областта на обществения транспорт, подпомагане на цифровизацията на транспорта и използването на обществения транспорт и създаване на система за финансиране на опазването и поддръжката на обществените инфраструктури, която интернализира екологичните разходи</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4</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C1.I1</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w:t>
            </w:r>
          </w:p>
        </w:tc>
        <w:tc>
          <w:tcPr>
            <w:tcW w:w="297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Бюджет, изразходван за покупки или отпуснати от общините с цел насърчаване на устойчивата мобилност</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 </w:t>
            </w:r>
          </w:p>
        </w:tc>
        <w:tc>
          <w:tcPr>
            <w:tcW w:w="731" w:type="dxa"/>
            <w:shd w:val="clear" w:color="auto" w:fill="C6EFCE"/>
            <w:noWrap/>
          </w:tcPr>
          <w:p>
            <w:pPr>
              <w:spacing w:after="0" w:line="240" w:lineRule="auto"/>
              <w:jc w:val="right"/>
              <w:rPr>
                <w:rFonts w:ascii="Times New Roman" w:eastAsia="Times New Roman" w:hAnsi="Times New Roman" w:cs="Times New Roman"/>
                <w:noProof/>
                <w:spacing w:val="-4"/>
                <w:sz w:val="18"/>
                <w:szCs w:val="18"/>
              </w:rPr>
            </w:pPr>
            <w:r>
              <w:rPr>
                <w:rFonts w:ascii="Times New Roman" w:hAnsi="Times New Roman"/>
                <w:noProof/>
                <w:color w:val="000000"/>
                <w:spacing w:val="-4"/>
                <w:sz w:val="18"/>
                <w:szCs w:val="18"/>
              </w:rPr>
              <w:t>милиони евро</w:t>
            </w:r>
          </w:p>
        </w:tc>
        <w:tc>
          <w:tcPr>
            <w:tcW w:w="81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0</w:t>
            </w:r>
          </w:p>
        </w:tc>
        <w:tc>
          <w:tcPr>
            <w:tcW w:w="72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400</w:t>
            </w:r>
          </w:p>
        </w:tc>
        <w:tc>
          <w:tcPr>
            <w:tcW w:w="353"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63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2022</w:t>
            </w:r>
          </w:p>
        </w:tc>
        <w:tc>
          <w:tcPr>
            <w:tcW w:w="538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Публикуване на възлагането на проекта или субсидиите в ОВ или в платформата за обществени поръчки или изпълнение на разходи, свързани с покупки от страна на общини, които ще допринесат за насърчаване на устойчивата мобилност в общини с повече от 50 000 жители и областни центрове и при определени условия могат да бъдат разпределени и за общини с население между 20 000 и 50 000 жители. Проектите подпомагат например: преобразуването на парковете на обществения транспорт с цел постигане на целите на Директивата за чисти превозни средства и в съответствие с Техническите насоки „Ненанасяне на значителни вреди“ (2021/C58/01); б) въвеждането и управлението на зони с ниски емисии; в) цифровизацията на обществения транспорт, административното му управление и подобряването на достъпността му; г) Мерки за стимулиране и приоритизиране на колективния транспорт и активната мобилност. </w:t>
            </w:r>
            <w:r>
              <w:rPr>
                <w:rFonts w:ascii="Times New Roman" w:hAnsi="Times New Roman"/>
                <w:noProof/>
                <w:color w:val="000000"/>
                <w:sz w:val="18"/>
                <w:szCs w:val="18"/>
              </w:rPr>
              <w:br/>
              <w:t xml:space="preserve">Критериите за подбор гарантират, че от целия окончателен бюджет в размер на 1500 000 000 EUR поне 310 000 000 EUR допринасят за постигане на целите във връзка с изменението на климата със 100 % коефициент в областта на климата и най-малко 1 190 000 000 EUR с коефициент в областта на климата от 40 % в съответствие с приложение VI към Регламент (ЕС) 2021/241 относно Механизма за възстановяване и устойчивост. </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5</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C1.I1</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w:t>
            </w:r>
          </w:p>
        </w:tc>
        <w:tc>
          <w:tcPr>
            <w:tcW w:w="297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Бюджет, изразходван за покупки или отпуснат от автономните области, в размер на най-малко 900 милиона евро с цел насърчаване на устойчивата мобилност </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lang w:eastAsia="en-GB"/>
              </w:rPr>
            </w:pPr>
          </w:p>
        </w:tc>
        <w:tc>
          <w:tcPr>
            <w:tcW w:w="731" w:type="dxa"/>
            <w:shd w:val="clear" w:color="auto" w:fill="C6EFCE"/>
            <w:noWrap/>
          </w:tcPr>
          <w:p>
            <w:pPr>
              <w:spacing w:after="0" w:line="240" w:lineRule="auto"/>
              <w:jc w:val="right"/>
              <w:rPr>
                <w:rFonts w:ascii="Times New Roman" w:eastAsia="Times New Roman" w:hAnsi="Times New Roman" w:cs="Times New Roman"/>
                <w:noProof/>
                <w:spacing w:val="-4"/>
                <w:sz w:val="18"/>
                <w:szCs w:val="18"/>
              </w:rPr>
            </w:pPr>
            <w:r>
              <w:rPr>
                <w:rFonts w:ascii="Times New Roman" w:hAnsi="Times New Roman"/>
                <w:noProof/>
                <w:color w:val="000000"/>
                <w:spacing w:val="-4"/>
                <w:sz w:val="18"/>
                <w:szCs w:val="18"/>
              </w:rPr>
              <w:t>милиони евро</w:t>
            </w:r>
          </w:p>
        </w:tc>
        <w:tc>
          <w:tcPr>
            <w:tcW w:w="81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0</w:t>
            </w:r>
          </w:p>
        </w:tc>
        <w:tc>
          <w:tcPr>
            <w:tcW w:w="72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900</w:t>
            </w:r>
          </w:p>
        </w:tc>
        <w:tc>
          <w:tcPr>
            <w:tcW w:w="353"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63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2023</w:t>
            </w:r>
          </w:p>
        </w:tc>
        <w:tc>
          <w:tcPr>
            <w:tcW w:w="538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Публикуване в ОВ на възлагането на проекти или субсидии или в платформата за обществени поръчки или изпълнение на разходи, свързани с покупки от автономните области. Възлаганите проекти и субсидии и покупките, извършвани от автономните области:</w:t>
            </w:r>
            <w:r>
              <w:rPr>
                <w:rFonts w:ascii="Times New Roman" w:hAnsi="Times New Roman"/>
                <w:noProof/>
                <w:color w:val="000000"/>
                <w:sz w:val="18"/>
                <w:szCs w:val="18"/>
              </w:rPr>
              <w:br/>
              <w:t>1) допринасят за насърчаване на устойчивата мобилност чрез предоставяне на субсидии на частни дружества за а) бракуване на стари тежкотоварни превозни средства б) обновяване на тежкотоварния им парк с по-чисти превозни средства, в) закупуване или адаптиране на техните ремаркета или полуремаркета за интермодален транспорт или г) инсталиране на зарядни точки и точки за зареждане с алтернативни горива (електрически, ВПГ, КПГ и биометан); Субсидиите следва да се предоставят в съответствие с техническите насоки „Ненанасяне на значителни вреди“ (2021/C58/01);</w:t>
            </w:r>
            <w:r>
              <w:rPr>
                <w:rFonts w:ascii="Times New Roman" w:hAnsi="Times New Roman"/>
                <w:noProof/>
                <w:color w:val="000000"/>
                <w:sz w:val="18"/>
                <w:szCs w:val="18"/>
              </w:rPr>
              <w:br/>
              <w:t>или</w:t>
            </w:r>
            <w:r>
              <w:rPr>
                <w:rFonts w:ascii="Times New Roman" w:hAnsi="Times New Roman"/>
                <w:noProof/>
                <w:color w:val="000000"/>
                <w:sz w:val="18"/>
                <w:szCs w:val="18"/>
              </w:rPr>
              <w:br/>
              <w:t>2) да допринася за насърчаване на устойчивата мобилност в общините с повече от 50 000 жители и в областните центрове, като подкрепя например а) преобразуването на автомобилните паркове за обществен транспорт с цел постигане на целите на Директивата за чисти превозни средства и в съответствие с Техническите насоки „Ненанасяне на значителни вреди“ (2021/C58/01); б) въвеждането и управлението на зони с ниски емисии; в) цифровизацията на обществения транспорт, административното му управление и подобряването на достъпността му; г) мерки за даване на приоритет на колективния транспорт и активната мобилност, включително велосипедната инфраструктура и пешеходните ленти; д) стимулиране на навлизането в Испания на нови технологии с нулеви емисии в транспорта; е) паркинги с възпираща цел, разположени извън общините и областните центрове, за да се намали притокът към градския център; ж) разширяване или модернизиране на железопътната транспортна система (напр. метрото или релсовите превозни средства); з) проекти за цифровизация, допълващи мерките в подкрепа на устойчивата мобилност, включително информационни системи в реално време относно услугите за обществен транспорт, мобилност като услуга, проекти за подобряване на издаването на билети за интермодален транспорт или между услуги, проекти за подпомагане на управлението на движението и мобилността и анализ на информацията с цел повишаване на ефективността на транспортната система и i) други проекти, които: i) да допринасят за подобряване на качеството на въздуха, особено в градските райони, ii) да стимулират намаляването на използването на частен транспорт в градските и метрополните региони; iii) да стимулират използването на обществения транспорт или iv) стимули за активна и здравословна мобилност.</w:t>
            </w:r>
            <w:r>
              <w:rPr>
                <w:rFonts w:ascii="Times New Roman" w:hAnsi="Times New Roman"/>
                <w:noProof/>
                <w:color w:val="000000"/>
                <w:sz w:val="18"/>
                <w:szCs w:val="18"/>
              </w:rPr>
              <w:br/>
              <w:t>Критериите за подбор гарантират, че най-малко 900 000 000 EUR допринасят за постигане на целите във връзка с изменението на климата с коефициент в областта на климата от 40 % в съответствие с приложение VI към Регламент (ЕС) 2021/241 относно Механизма за възстановяване и устойчивост.</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6</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C1.I1</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w:t>
            </w:r>
          </w:p>
        </w:tc>
        <w:tc>
          <w:tcPr>
            <w:tcW w:w="297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Приключени проекти за насърчаване на устойчивата мобилност, включително в градските и метрополните региони </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lang w:eastAsia="en-GB"/>
              </w:rPr>
            </w:pPr>
          </w:p>
        </w:tc>
        <w:tc>
          <w:tcPr>
            <w:tcW w:w="731"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Номер</w:t>
            </w:r>
          </w:p>
        </w:tc>
        <w:tc>
          <w:tcPr>
            <w:tcW w:w="81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0</w:t>
            </w:r>
          </w:p>
        </w:tc>
        <w:tc>
          <w:tcPr>
            <w:tcW w:w="72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25</w:t>
            </w:r>
          </w:p>
        </w:tc>
        <w:tc>
          <w:tcPr>
            <w:tcW w:w="353"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63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2023</w:t>
            </w:r>
          </w:p>
        </w:tc>
        <w:tc>
          <w:tcPr>
            <w:tcW w:w="538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Най-малко 25 проекта за насърчаване на устойчивата мобилност в 150 градски и метрополни региона с над 50 000 жители и, при определени условия, в градските райони с население между 20 000 и 50 000 жители, са приключени.</w:t>
            </w:r>
            <w:r>
              <w:rPr>
                <w:rFonts w:ascii="Times New Roman" w:hAnsi="Times New Roman"/>
                <w:noProof/>
                <w:color w:val="000000"/>
                <w:sz w:val="18"/>
                <w:szCs w:val="18"/>
              </w:rPr>
              <w:br/>
              <w:t>Проектите насърчаващи устойчивата мобилност са следните:</w:t>
            </w:r>
            <w:r>
              <w:rPr>
                <w:rFonts w:ascii="Times New Roman" w:hAnsi="Times New Roman"/>
                <w:noProof/>
                <w:color w:val="000000"/>
                <w:sz w:val="18"/>
                <w:szCs w:val="18"/>
              </w:rPr>
              <w:br/>
              <w:t>i) Проекти, разработени от общини, които ще допринесат за насърчаване на устойчивата мобилност в общини с повече от 50 000 жители и столици в провинцията и при определени условия могат да бъдат разпределени и за общини с население между 20 000 и 50 000 жители. Проектите подпомагат например: а) преобразуването на парковете на обществения транспорт с цел постигане на целите на Директивата за чисти превозни средства и в съответствие с техническите насоки за „ненанасяне на значителни вреди“ (2021/C58/01); б) въвеждането и управлението на зони с ниски емисии; в) цифровизацията на обществения транспорт, административното му управление и подобряването на достъпността му; г) мерки за стимулиране и приоритизиране на колективния транспорт и активната мобилност. Проектът е набор от определени, взаимосвързани и координирани дейности, осъществявани с обща цел в рамките на определени срокове и бюджетни ограничения, за които се иска субсидия. Една община може да разработи повече от един проект.</w:t>
            </w:r>
            <w:r>
              <w:rPr>
                <w:rFonts w:ascii="Times New Roman" w:hAnsi="Times New Roman"/>
                <w:noProof/>
                <w:color w:val="000000"/>
                <w:sz w:val="18"/>
                <w:szCs w:val="18"/>
              </w:rPr>
              <w:br/>
            </w:r>
            <w:r>
              <w:rPr>
                <w:rFonts w:ascii="Times New Roman" w:hAnsi="Times New Roman"/>
                <w:noProof/>
                <w:color w:val="000000"/>
                <w:sz w:val="18"/>
                <w:szCs w:val="18"/>
                <w:lang w:val="en-US"/>
              </w:rPr>
              <w:t>ii</w:t>
            </w:r>
            <w:r>
              <w:rPr>
                <w:rFonts w:ascii="Times New Roman" w:hAnsi="Times New Roman"/>
                <w:noProof/>
                <w:color w:val="000000"/>
                <w:sz w:val="18"/>
                <w:szCs w:val="18"/>
              </w:rPr>
              <w:t>) Проекти за насърчаване на устойчивата мобилност в градските и метрополните региони, разработени от автономните области. Това се отнася за типологии от а) до и), посочени в инвестицията C1.I1. Градските и метрополните региони се определят като общини с повече от 50 000 жители, областните центрове и, при определени условия, общини с над 20 000 жители. Всяка автономна област може да разработи повече от един проект.</w:t>
            </w:r>
            <w:r>
              <w:rPr>
                <w:rFonts w:ascii="Times New Roman" w:hAnsi="Times New Roman"/>
                <w:noProof/>
                <w:color w:val="000000"/>
                <w:sz w:val="18"/>
                <w:szCs w:val="18"/>
              </w:rPr>
              <w:br/>
              <w:t>iii). Проекти, предоставящи субсидии на частни дружества за: а) бракуване на стари тежкотоварни превозни средства, б) обновяване на техните тежкотоварни пътнически и товарни паркове с по-чисти превозни средства, в) закупуване или адаптиране на техните ремаркета или полуремаркета за интермодален транспорт или г) инсталиране на станции за зареждане с алтернативни горива (електрически, втечнен природен газ, КПГ и биометан). Необходимо е да се субсидират най-малко 8 500 тежкотоварни превозни средства или станции за зареждане, за да се счита, че проект за насърчаване на устойчивата мобилност е изпълнен. Субсидиите следва да се предоставят в съответствие с техническите насоки „Ненанасяне на значителни вреди“ (2021/C58/01).</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7</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C1.I1</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w:t>
            </w:r>
          </w:p>
        </w:tc>
        <w:tc>
          <w:tcPr>
            <w:tcW w:w="297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Бюджет, изразходван за покупки или отпуснат от общините с цел насърчаване на устойчивата мобилност</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 </w:t>
            </w:r>
          </w:p>
        </w:tc>
        <w:tc>
          <w:tcPr>
            <w:tcW w:w="731" w:type="dxa"/>
            <w:shd w:val="clear" w:color="auto" w:fill="C6EFCE"/>
            <w:noWrap/>
          </w:tcPr>
          <w:p>
            <w:pPr>
              <w:spacing w:after="0" w:line="240" w:lineRule="auto"/>
              <w:jc w:val="right"/>
              <w:rPr>
                <w:rFonts w:ascii="Times New Roman" w:eastAsia="Times New Roman" w:hAnsi="Times New Roman" w:cs="Times New Roman"/>
                <w:noProof/>
                <w:spacing w:val="-4"/>
                <w:sz w:val="18"/>
                <w:szCs w:val="18"/>
              </w:rPr>
            </w:pPr>
            <w:r>
              <w:rPr>
                <w:rFonts w:ascii="Times New Roman" w:hAnsi="Times New Roman"/>
                <w:noProof/>
                <w:color w:val="000000"/>
                <w:spacing w:val="-4"/>
                <w:sz w:val="18"/>
                <w:szCs w:val="18"/>
              </w:rPr>
              <w:t>милиони евро</w:t>
            </w:r>
          </w:p>
        </w:tc>
        <w:tc>
          <w:tcPr>
            <w:tcW w:w="81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400</w:t>
            </w:r>
          </w:p>
        </w:tc>
        <w:tc>
          <w:tcPr>
            <w:tcW w:w="72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1 500</w:t>
            </w:r>
          </w:p>
        </w:tc>
        <w:tc>
          <w:tcPr>
            <w:tcW w:w="353"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63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2024</w:t>
            </w:r>
          </w:p>
        </w:tc>
        <w:tc>
          <w:tcPr>
            <w:tcW w:w="5387"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szCs w:val="18"/>
              </w:rPr>
              <w:t xml:space="preserve">Публикуване на възлагането на проекта или субсидиите в ОВ или в платформата за обществени поръчки или изпълнение на разходи, свързани с покупки от страна на общини, които ще допринесат за насърчаване на устойчивата мобилност в общини с повече от 50 000 жители и областни центрове и при определени условия могат да бъдат разпределени и за общини с население между 20 000 и 50 000 жители. Проектите подпомагат например: а) преобразуването на парковете на обществения транспорт с цел постигане на целите на Директивата за чисти превозни средства и в съответствие с техническите насоки „Ненанасяне на значителни вреди“ (2021/C58/01); б) въвеждането и управлението на зони с ниски емисии; в) цифровизацията на обществения транспорт, административното му управление и подобряването на достъпността му; г) мерки за стимулиране и приоритизиране на колективния транспорт и активната мобилност. </w:t>
            </w:r>
            <w:r>
              <w:rPr>
                <w:rFonts w:ascii="Times New Roman" w:hAnsi="Times New Roman"/>
                <w:noProof/>
                <w:color w:val="000000"/>
                <w:sz w:val="18"/>
                <w:szCs w:val="18"/>
              </w:rPr>
              <w:br/>
              <w:t>Критериите за подбор гарантират, че най-малко 310 000 000 EUR допринасят за постигане на целите във връзка с изменението на климата със 100 % коефициент в областта на климата и най-малко 1 190 000 000 EUR с коефициент в областта на климата от 40 %, в съответствие с приложение VI към Регламент (ЕС) 2021/241 относно Механизма за възстановяване и устойчивост.</w:t>
            </w:r>
          </w:p>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(Базова линия: 31 декември 2022 г.)</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8</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C1.I1</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w:t>
            </w:r>
          </w:p>
        </w:tc>
        <w:tc>
          <w:tcPr>
            <w:tcW w:w="297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Възлагане на проекти за подобряване на новите форми на мобилност по държавните пътища</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 </w:t>
            </w:r>
          </w:p>
        </w:tc>
        <w:tc>
          <w:tcPr>
            <w:tcW w:w="731" w:type="dxa"/>
            <w:shd w:val="clear" w:color="auto" w:fill="C6EFCE"/>
            <w:noWrap/>
          </w:tcPr>
          <w:p>
            <w:pPr>
              <w:spacing w:after="0" w:line="240" w:lineRule="auto"/>
              <w:jc w:val="right"/>
              <w:rPr>
                <w:rFonts w:ascii="Times New Roman" w:eastAsia="Times New Roman" w:hAnsi="Times New Roman" w:cs="Times New Roman"/>
                <w:noProof/>
                <w:spacing w:val="-4"/>
                <w:sz w:val="18"/>
                <w:szCs w:val="18"/>
              </w:rPr>
            </w:pPr>
            <w:r>
              <w:rPr>
                <w:rFonts w:ascii="Times New Roman" w:hAnsi="Times New Roman"/>
                <w:noProof/>
                <w:color w:val="000000"/>
                <w:spacing w:val="-4"/>
                <w:sz w:val="18"/>
                <w:szCs w:val="18"/>
              </w:rPr>
              <w:t>милиони евро</w:t>
            </w:r>
          </w:p>
        </w:tc>
        <w:tc>
          <w:tcPr>
            <w:tcW w:w="81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0</w:t>
            </w:r>
          </w:p>
        </w:tc>
        <w:tc>
          <w:tcPr>
            <w:tcW w:w="72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105</w:t>
            </w:r>
          </w:p>
        </w:tc>
        <w:tc>
          <w:tcPr>
            <w:tcW w:w="353"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63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2024</w:t>
            </w:r>
          </w:p>
        </w:tc>
        <w:tc>
          <w:tcPr>
            <w:tcW w:w="538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Публикуване в ОВ или в платформата за обществени поръчки на възлагането от Министерството на транспорта, мобилността и програмата за градовете на най-малко 105 милиона евро за проекти за подобряване на държавните пътища в градските райони. Проектите ще включват изграждане на нови велосипедни алеи, разширяване на пешеходните зони, намаляване на зоните за паркиране или подобряване на безопасността на прелезите. </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9</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C1.I1</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w:t>
            </w:r>
          </w:p>
        </w:tc>
        <w:tc>
          <w:tcPr>
            <w:tcW w:w="297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Приключени проекти за насърчаване на устойчивата мобилност, включително в градските и метрополните региони</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 </w:t>
            </w:r>
          </w:p>
        </w:tc>
        <w:tc>
          <w:tcPr>
            <w:tcW w:w="731"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Номер</w:t>
            </w:r>
          </w:p>
        </w:tc>
        <w:tc>
          <w:tcPr>
            <w:tcW w:w="81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25</w:t>
            </w:r>
          </w:p>
        </w:tc>
        <w:tc>
          <w:tcPr>
            <w:tcW w:w="72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280</w:t>
            </w:r>
          </w:p>
        </w:tc>
        <w:tc>
          <w:tcPr>
            <w:tcW w:w="353"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63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2025</w:t>
            </w:r>
          </w:p>
        </w:tc>
        <w:tc>
          <w:tcPr>
            <w:tcW w:w="5387"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szCs w:val="18"/>
              </w:rPr>
              <w:t>Най-малко 280 проекта за насърчаване на устойчивата мобилност, включително в градските и метрополните райони, са завършени, за да допринесат за устойчивата мобилност в 150-те градски зони с над 50 000 жители и, при определени условия, за градските райони с население между 20 000 и 50 000 жители.</w:t>
            </w:r>
            <w:r>
              <w:rPr>
                <w:rFonts w:ascii="Times New Roman" w:hAnsi="Times New Roman"/>
                <w:noProof/>
                <w:color w:val="000000"/>
                <w:sz w:val="18"/>
                <w:szCs w:val="18"/>
              </w:rPr>
              <w:br/>
              <w:t>Проектите насърчаващи устойчивата мобилност са следните:</w:t>
            </w:r>
            <w:r>
              <w:rPr>
                <w:rFonts w:ascii="Times New Roman" w:hAnsi="Times New Roman"/>
                <w:noProof/>
                <w:color w:val="000000"/>
                <w:sz w:val="18"/>
                <w:szCs w:val="18"/>
              </w:rPr>
              <w:br/>
              <w:t>i) Проекти, разработени от общини, които ще допринесат за насърчаване на устойчивата мобилност в общини с повече от 50 000 жители и столици в провинцията и при определени условия могат да бъдат разпределени и за общини с население между 20 000 и 50 000 жители. Проектите подпомагат например: а) преобразуването на парковете на обществения транспорт с цел постигане на целите на Директивата за чисти превозни средства и в съответствие с техническите насоки за „ненанасяне на значителни вреди“ (2021/C58/01); б) въвеждането и управлението на зони с ниски емисии; в) цифровизацията на обществения транспорт, административното му управление и подобряването на достъпността му; г) мерки за стимулиране и приоритизиране на колективния транспорт и активната мобилност. Проектът е набор от определени, взаимосвързани и координирани дейности, осъществявани с обща цел в рамките на определени срокове и бюджетни ограничения, за които се иска субсидия. Една община може да разработи повече от един проект.</w:t>
            </w:r>
            <w:r>
              <w:rPr>
                <w:rFonts w:ascii="Times New Roman" w:hAnsi="Times New Roman"/>
                <w:noProof/>
                <w:color w:val="000000"/>
                <w:sz w:val="18"/>
                <w:szCs w:val="18"/>
              </w:rPr>
              <w:br/>
            </w:r>
            <w:r>
              <w:rPr>
                <w:rFonts w:ascii="Times New Roman" w:hAnsi="Times New Roman"/>
                <w:noProof/>
                <w:color w:val="000000"/>
                <w:sz w:val="18"/>
                <w:szCs w:val="18"/>
                <w:lang w:val="en-US"/>
              </w:rPr>
              <w:t>ii</w:t>
            </w:r>
            <w:r>
              <w:rPr>
                <w:rFonts w:ascii="Times New Roman" w:hAnsi="Times New Roman"/>
                <w:noProof/>
                <w:color w:val="000000"/>
                <w:sz w:val="18"/>
                <w:szCs w:val="18"/>
              </w:rPr>
              <w:t>) Проекти за насърчаване на устойчивата мобилност в градските и метрополните региони, разработени от автономните области. Това се отнася за типологии от а) до и), посочени в инвестицията C1.I1. Градските и метрополните региони се определят като общини с повече от 50 000 жители, областните центрове и, при определени условия, общини с над 20 000 жители. Всяка автономна област може да разработи повече от един проект.</w:t>
            </w:r>
            <w:r>
              <w:rPr>
                <w:rFonts w:ascii="Times New Roman" w:hAnsi="Times New Roman"/>
                <w:noProof/>
                <w:color w:val="000000"/>
                <w:sz w:val="18"/>
                <w:szCs w:val="18"/>
              </w:rPr>
              <w:br/>
              <w:t>iii). Проекти, предоставящи субсидии на частни дружества за: а) бракуване на стари тежкотоварни превозни средства, б) обновяване на техните тежкотоварни пътнически и товарни паркове с по-чисти превозни средства, в) закупуване или адаптиране на техните ремаркета или полуремаркета за интермодален транспорт или г) инсталиране на станции за зареждане с алтернативни горива (електрически, втечнен природен газ, КПГ и биометан). Най-малко 3000 тежкотоварни превозни средства или зарядни станции трябва да бъдат субсидирани, за да се счита, че е завършен един проект за насърчаване на устойчивата мобилност. Субсидиите следва да се предоставят в съответствие с Техническите насоки „Ненанасяне на значителни вреди“ (2021/C58/01).</w:t>
            </w:r>
          </w:p>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(Базова линия: 31 декември 2023 г.)</w:t>
            </w:r>
          </w:p>
        </w:tc>
      </w:tr>
      <w:tr>
        <w:trPr>
          <w:trHeight w:val="309"/>
        </w:trPr>
        <w:tc>
          <w:tcPr>
            <w:tcW w:w="709"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10</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C1.I1</w:t>
            </w:r>
          </w:p>
        </w:tc>
        <w:tc>
          <w:tcPr>
            <w:tcW w:w="850"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T</w:t>
            </w:r>
          </w:p>
        </w:tc>
        <w:tc>
          <w:tcPr>
            <w:tcW w:w="2977" w:type="dxa"/>
            <w:shd w:val="clear" w:color="auto" w:fill="C6EFCE"/>
            <w:noWrap/>
          </w:tcPr>
          <w:p>
            <w:pPr>
              <w:spacing w:after="0" w:line="240" w:lineRule="auto"/>
              <w:rPr>
                <w:rFonts w:ascii="Times New Roman" w:hAnsi="Times New Roman" w:cs="Times New Roman"/>
                <w:noProof/>
                <w:sz w:val="18"/>
                <w:szCs w:val="18"/>
              </w:rPr>
            </w:pPr>
            <w:r>
              <w:rPr>
                <w:rFonts w:ascii="Times New Roman" w:hAnsi="Times New Roman"/>
                <w:noProof/>
                <w:color w:val="000000"/>
                <w:sz w:val="18"/>
                <w:szCs w:val="18"/>
              </w:rPr>
              <w:t>Подобряване на държавните пътища в градските райони с цел насърчаване на нови форми на мобилност</w:t>
            </w:r>
          </w:p>
        </w:tc>
        <w:tc>
          <w:tcPr>
            <w:tcW w:w="1134"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 </w:t>
            </w:r>
          </w:p>
        </w:tc>
        <w:tc>
          <w:tcPr>
            <w:tcW w:w="731"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Номер </w:t>
            </w:r>
          </w:p>
        </w:tc>
        <w:tc>
          <w:tcPr>
            <w:tcW w:w="81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0</w:t>
            </w:r>
          </w:p>
        </w:tc>
        <w:tc>
          <w:tcPr>
            <w:tcW w:w="72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34</w:t>
            </w:r>
          </w:p>
        </w:tc>
        <w:tc>
          <w:tcPr>
            <w:tcW w:w="353"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T4</w:t>
            </w:r>
          </w:p>
        </w:tc>
        <w:tc>
          <w:tcPr>
            <w:tcW w:w="639"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2025</w:t>
            </w:r>
          </w:p>
        </w:tc>
        <w:tc>
          <w:tcPr>
            <w:tcW w:w="5387" w:type="dxa"/>
            <w:shd w:val="clear" w:color="auto" w:fill="C6EFCE"/>
            <w:noWrap/>
          </w:tcPr>
          <w:p>
            <w:pPr>
              <w:spacing w:after="0" w:line="240" w:lineRule="auto"/>
              <w:rPr>
                <w:rFonts w:ascii="Times New Roman" w:hAnsi="Times New Roman" w:cs="Times New Roman"/>
                <w:noProof/>
                <w:sz w:val="18"/>
                <w:szCs w:val="18"/>
              </w:rPr>
            </w:pPr>
            <w:r>
              <w:rPr>
                <w:rFonts w:ascii="Times New Roman" w:hAnsi="Times New Roman"/>
                <w:noProof/>
                <w:color w:val="000000"/>
                <w:sz w:val="18"/>
                <w:szCs w:val="18"/>
              </w:rPr>
              <w:t>Подобряване на най-малко 34 държавни пътища в градските райони чрез изграждане на нови велосипедни алеи, разширяване на пешеходните зони, намаляване на зоните за паркиране или подобряване на безопасността на прелезите.</w:t>
            </w:r>
            <w:r>
              <w:rPr>
                <w:rFonts w:ascii="Times New Roman" w:hAnsi="Times New Roman"/>
                <w:noProof/>
                <w:color w:val="000000"/>
                <w:sz w:val="18"/>
                <w:szCs w:val="18"/>
              </w:rPr>
              <w:br/>
              <w:t>Тази инвестиция се извършва от Министерството на транспорта, мобилността и програмата за градовете по пътищата, които то притежава в градските райони.</w:t>
            </w:r>
          </w:p>
        </w:tc>
      </w:tr>
      <w:tr>
        <w:trPr>
          <w:trHeight w:val="309"/>
        </w:trPr>
        <w:tc>
          <w:tcPr>
            <w:tcW w:w="709"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11</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C1.I2</w:t>
            </w:r>
          </w:p>
        </w:tc>
        <w:tc>
          <w:tcPr>
            <w:tcW w:w="850"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T</w:t>
            </w:r>
          </w:p>
        </w:tc>
        <w:tc>
          <w:tcPr>
            <w:tcW w:w="2977" w:type="dxa"/>
            <w:shd w:val="clear" w:color="auto" w:fill="C6EFCE"/>
            <w:noWrap/>
          </w:tcPr>
          <w:p>
            <w:pPr>
              <w:spacing w:after="0" w:line="240" w:lineRule="auto"/>
              <w:rPr>
                <w:rFonts w:ascii="Times New Roman" w:hAnsi="Times New Roman" w:cs="Times New Roman"/>
                <w:noProof/>
                <w:sz w:val="18"/>
                <w:szCs w:val="18"/>
              </w:rPr>
            </w:pPr>
            <w:r>
              <w:rPr>
                <w:rFonts w:ascii="Times New Roman" w:hAnsi="Times New Roman"/>
                <w:noProof/>
                <w:color w:val="000000"/>
                <w:sz w:val="18"/>
                <w:szCs w:val="18"/>
              </w:rPr>
              <w:t xml:space="preserve">Възлагане на иновативни проекти за насърчаване на електромобилността </w:t>
            </w:r>
          </w:p>
        </w:tc>
        <w:tc>
          <w:tcPr>
            <w:tcW w:w="1134"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 </w:t>
            </w:r>
          </w:p>
        </w:tc>
        <w:tc>
          <w:tcPr>
            <w:tcW w:w="731" w:type="dxa"/>
            <w:shd w:val="clear" w:color="auto" w:fill="C6EFCE"/>
            <w:noWrap/>
          </w:tcPr>
          <w:p>
            <w:pPr>
              <w:spacing w:after="0" w:line="240" w:lineRule="auto"/>
              <w:jc w:val="right"/>
              <w:rPr>
                <w:rFonts w:ascii="Times New Roman" w:eastAsia="Times New Roman" w:hAnsi="Times New Roman" w:cs="Times New Roman"/>
                <w:noProof/>
                <w:spacing w:val="-4"/>
                <w:sz w:val="18"/>
                <w:szCs w:val="18"/>
              </w:rPr>
            </w:pPr>
            <w:r>
              <w:rPr>
                <w:rFonts w:ascii="Times New Roman" w:hAnsi="Times New Roman"/>
                <w:noProof/>
                <w:color w:val="000000"/>
                <w:spacing w:val="-4"/>
                <w:sz w:val="18"/>
                <w:szCs w:val="18"/>
              </w:rPr>
              <w:t>милиони евро</w:t>
            </w:r>
          </w:p>
        </w:tc>
        <w:tc>
          <w:tcPr>
            <w:tcW w:w="81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0</w:t>
            </w:r>
          </w:p>
        </w:tc>
        <w:tc>
          <w:tcPr>
            <w:tcW w:w="72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250</w:t>
            </w:r>
          </w:p>
        </w:tc>
        <w:tc>
          <w:tcPr>
            <w:tcW w:w="353"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Т2</w:t>
            </w:r>
          </w:p>
        </w:tc>
        <w:tc>
          <w:tcPr>
            <w:tcW w:w="639"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2023</w:t>
            </w:r>
          </w:p>
        </w:tc>
        <w:tc>
          <w:tcPr>
            <w:tcW w:w="5387" w:type="dxa"/>
            <w:shd w:val="clear" w:color="auto" w:fill="C6EFCE"/>
            <w:noWrap/>
          </w:tcPr>
          <w:p>
            <w:pPr>
              <w:spacing w:after="0" w:line="240" w:lineRule="auto"/>
              <w:rPr>
                <w:rFonts w:ascii="Times New Roman" w:hAnsi="Times New Roman" w:cs="Times New Roman"/>
                <w:noProof/>
                <w:sz w:val="18"/>
                <w:szCs w:val="18"/>
              </w:rPr>
            </w:pPr>
            <w:r>
              <w:rPr>
                <w:rFonts w:ascii="Times New Roman" w:hAnsi="Times New Roman"/>
                <w:noProof/>
                <w:color w:val="000000"/>
                <w:sz w:val="18"/>
                <w:szCs w:val="18"/>
              </w:rPr>
              <w:t>Публикуване в ОВ на наградата в размер на най-малко 250 милиона евро за покани за представяне на предложения в подкрепа на иновативни проекти за насърчаване на електромобилността. Критериите за подбор, използвани в поканите за представяне на предложения за разпределяне на средствата по схемите за помощ, включват: i) намаляване на въздействието върху околната среда, ii) техническа и икономическа жизнеспособност, iii) ниво на технологично развитие и иновации, iv) възможност за възпроизвеждане и разрастване, v) създаване на работни места, свързано с проекта, пряко и непряко и vi) въздействие върху веригата за създаване на стойност и синергия с други сектори, предимно промишлени.</w:t>
            </w:r>
          </w:p>
        </w:tc>
      </w:tr>
      <w:tr>
        <w:trPr>
          <w:trHeight w:val="309"/>
        </w:trPr>
        <w:tc>
          <w:tcPr>
            <w:tcW w:w="709"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12</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C1.I2</w:t>
            </w:r>
          </w:p>
        </w:tc>
        <w:tc>
          <w:tcPr>
            <w:tcW w:w="850"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T</w:t>
            </w:r>
          </w:p>
        </w:tc>
        <w:tc>
          <w:tcPr>
            <w:tcW w:w="2977" w:type="dxa"/>
            <w:shd w:val="clear" w:color="auto" w:fill="C6EFCE"/>
            <w:noWrap/>
          </w:tcPr>
          <w:p>
            <w:pPr>
              <w:spacing w:after="0" w:line="240" w:lineRule="auto"/>
              <w:rPr>
                <w:rFonts w:ascii="Times New Roman" w:hAnsi="Times New Roman" w:cs="Times New Roman"/>
                <w:noProof/>
                <w:sz w:val="18"/>
                <w:szCs w:val="18"/>
              </w:rPr>
            </w:pPr>
            <w:r>
              <w:rPr>
                <w:rFonts w:ascii="Times New Roman" w:hAnsi="Times New Roman"/>
                <w:noProof/>
                <w:color w:val="000000"/>
                <w:sz w:val="18"/>
                <w:szCs w:val="18"/>
              </w:rPr>
              <w:t xml:space="preserve">Електрически превозни средства и зарядни точки </w:t>
            </w:r>
          </w:p>
        </w:tc>
        <w:tc>
          <w:tcPr>
            <w:tcW w:w="1134"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 </w:t>
            </w:r>
          </w:p>
        </w:tc>
        <w:tc>
          <w:tcPr>
            <w:tcW w:w="731"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Номер</w:t>
            </w:r>
          </w:p>
        </w:tc>
        <w:tc>
          <w:tcPr>
            <w:tcW w:w="81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0</w:t>
            </w:r>
          </w:p>
        </w:tc>
        <w:tc>
          <w:tcPr>
            <w:tcW w:w="72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238 000</w:t>
            </w:r>
          </w:p>
        </w:tc>
        <w:tc>
          <w:tcPr>
            <w:tcW w:w="353"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T4</w:t>
            </w:r>
          </w:p>
        </w:tc>
        <w:tc>
          <w:tcPr>
            <w:tcW w:w="639"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2023</w:t>
            </w:r>
          </w:p>
        </w:tc>
        <w:tc>
          <w:tcPr>
            <w:tcW w:w="5387" w:type="dxa"/>
            <w:shd w:val="clear" w:color="auto" w:fill="C6EFCE"/>
            <w:noWrap/>
          </w:tcPr>
          <w:p>
            <w:pPr>
              <w:spacing w:after="0" w:line="240" w:lineRule="auto"/>
              <w:rPr>
                <w:rFonts w:ascii="Times New Roman" w:hAnsi="Times New Roman" w:cs="Times New Roman"/>
                <w:noProof/>
                <w:sz w:val="18"/>
                <w:szCs w:val="18"/>
              </w:rPr>
            </w:pPr>
            <w:r>
              <w:rPr>
                <w:rFonts w:ascii="Times New Roman" w:hAnsi="Times New Roman"/>
                <w:noProof/>
                <w:color w:val="000000"/>
                <w:sz w:val="18"/>
                <w:szCs w:val="18"/>
              </w:rPr>
              <w:t xml:space="preserve">Най-малко 238 000 електрически превозни средства (BEV, REEV, PHEV, FCEV) и субсидирани зарядни точки </w:t>
            </w:r>
          </w:p>
        </w:tc>
      </w:tr>
      <w:tr>
        <w:trPr>
          <w:trHeight w:val="309"/>
        </w:trPr>
        <w:tc>
          <w:tcPr>
            <w:tcW w:w="709"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13</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C1.I2</w:t>
            </w:r>
          </w:p>
        </w:tc>
        <w:tc>
          <w:tcPr>
            <w:tcW w:w="850"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T</w:t>
            </w:r>
          </w:p>
        </w:tc>
        <w:tc>
          <w:tcPr>
            <w:tcW w:w="2977" w:type="dxa"/>
            <w:shd w:val="clear" w:color="auto" w:fill="C6EFCE"/>
            <w:noWrap/>
          </w:tcPr>
          <w:p>
            <w:pPr>
              <w:spacing w:after="0" w:line="240" w:lineRule="auto"/>
              <w:rPr>
                <w:rFonts w:ascii="Times New Roman" w:hAnsi="Times New Roman" w:cs="Times New Roman"/>
                <w:noProof/>
                <w:sz w:val="18"/>
                <w:szCs w:val="18"/>
              </w:rPr>
            </w:pPr>
            <w:r>
              <w:rPr>
                <w:rFonts w:ascii="Times New Roman" w:hAnsi="Times New Roman"/>
                <w:noProof/>
                <w:color w:val="000000"/>
                <w:sz w:val="18"/>
                <w:szCs w:val="18"/>
              </w:rPr>
              <w:t>Приключване на иновационни проекти за насърчаване на електромобилността</w:t>
            </w:r>
          </w:p>
        </w:tc>
        <w:tc>
          <w:tcPr>
            <w:tcW w:w="1134"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 </w:t>
            </w:r>
          </w:p>
        </w:tc>
        <w:tc>
          <w:tcPr>
            <w:tcW w:w="731"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Номер </w:t>
            </w:r>
          </w:p>
        </w:tc>
        <w:tc>
          <w:tcPr>
            <w:tcW w:w="81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0</w:t>
            </w:r>
          </w:p>
        </w:tc>
        <w:tc>
          <w:tcPr>
            <w:tcW w:w="72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85</w:t>
            </w:r>
          </w:p>
        </w:tc>
        <w:tc>
          <w:tcPr>
            <w:tcW w:w="353"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T4</w:t>
            </w:r>
          </w:p>
        </w:tc>
        <w:tc>
          <w:tcPr>
            <w:tcW w:w="639"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2025</w:t>
            </w:r>
          </w:p>
        </w:tc>
        <w:tc>
          <w:tcPr>
            <w:tcW w:w="5387" w:type="dxa"/>
            <w:shd w:val="clear" w:color="auto" w:fill="C6EFCE"/>
            <w:noWrap/>
          </w:tcPr>
          <w:p>
            <w:pPr>
              <w:spacing w:after="0" w:line="240" w:lineRule="auto"/>
              <w:rPr>
                <w:rFonts w:ascii="Times New Roman" w:hAnsi="Times New Roman" w:cs="Times New Roman"/>
                <w:noProof/>
                <w:sz w:val="18"/>
                <w:szCs w:val="18"/>
              </w:rPr>
            </w:pPr>
            <w:r>
              <w:rPr>
                <w:rFonts w:ascii="Times New Roman" w:hAnsi="Times New Roman"/>
                <w:noProof/>
                <w:color w:val="000000"/>
                <w:sz w:val="18"/>
                <w:szCs w:val="18"/>
              </w:rPr>
              <w:t xml:space="preserve">Завършване на най-малко 85 проекта, разгърнати по програмата за подкрепа на иновационни проекти в областта на електромобилността (MOVES Singulares). </w:t>
            </w:r>
          </w:p>
        </w:tc>
      </w:tr>
      <w:tr>
        <w:trPr>
          <w:trHeight w:val="309"/>
        </w:trPr>
        <w:tc>
          <w:tcPr>
            <w:tcW w:w="709"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14</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C1.I3</w:t>
            </w:r>
          </w:p>
        </w:tc>
        <w:tc>
          <w:tcPr>
            <w:tcW w:w="850"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T</w:t>
            </w:r>
          </w:p>
        </w:tc>
        <w:tc>
          <w:tcPr>
            <w:tcW w:w="2977" w:type="dxa"/>
            <w:shd w:val="clear" w:color="auto" w:fill="C6EFCE"/>
            <w:noWrap/>
          </w:tcPr>
          <w:p>
            <w:pPr>
              <w:spacing w:after="0" w:line="240" w:lineRule="auto"/>
              <w:rPr>
                <w:rFonts w:ascii="Times New Roman" w:hAnsi="Times New Roman" w:cs="Times New Roman"/>
                <w:noProof/>
                <w:sz w:val="18"/>
                <w:szCs w:val="18"/>
              </w:rPr>
            </w:pPr>
            <w:r>
              <w:rPr>
                <w:rFonts w:ascii="Times New Roman" w:hAnsi="Times New Roman"/>
                <w:noProof/>
                <w:color w:val="000000"/>
                <w:sz w:val="18"/>
                <w:szCs w:val="18"/>
              </w:rPr>
              <w:t xml:space="preserve">Железопътни линии на къси разстояния (Cercanías) </w:t>
            </w:r>
          </w:p>
        </w:tc>
        <w:tc>
          <w:tcPr>
            <w:tcW w:w="1134"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 </w:t>
            </w:r>
          </w:p>
        </w:tc>
        <w:tc>
          <w:tcPr>
            <w:tcW w:w="731"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Брой (km)</w:t>
            </w:r>
          </w:p>
        </w:tc>
        <w:tc>
          <w:tcPr>
            <w:tcW w:w="81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0</w:t>
            </w:r>
          </w:p>
        </w:tc>
        <w:tc>
          <w:tcPr>
            <w:tcW w:w="72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200</w:t>
            </w:r>
          </w:p>
        </w:tc>
        <w:tc>
          <w:tcPr>
            <w:tcW w:w="353"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T4</w:t>
            </w:r>
          </w:p>
        </w:tc>
        <w:tc>
          <w:tcPr>
            <w:tcW w:w="639"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2023</w:t>
            </w:r>
          </w:p>
        </w:tc>
        <w:tc>
          <w:tcPr>
            <w:tcW w:w="5387" w:type="dxa"/>
            <w:shd w:val="clear" w:color="auto" w:fill="C6EFCE"/>
            <w:noWrap/>
          </w:tcPr>
          <w:p>
            <w:pPr>
              <w:spacing w:after="0" w:line="240" w:lineRule="auto"/>
              <w:rPr>
                <w:rFonts w:ascii="Times New Roman" w:hAnsi="Times New Roman" w:cs="Times New Roman"/>
                <w:noProof/>
                <w:sz w:val="18"/>
                <w:szCs w:val="18"/>
              </w:rPr>
            </w:pPr>
            <w:r>
              <w:rPr>
                <w:rFonts w:ascii="Times New Roman" w:hAnsi="Times New Roman"/>
                <w:noProof/>
                <w:color w:val="000000"/>
                <w:sz w:val="18"/>
                <w:szCs w:val="18"/>
              </w:rPr>
              <w:t>Най-малко 200 km железопътни линии на къси разстояния, модернизирани в някоя от подсистемите: перон, коловоз, електрификация, сигурност и съоръжения за комуникация/сигнализация.</w:t>
            </w:r>
            <w:r>
              <w:rPr>
                <w:rFonts w:ascii="Times New Roman" w:hAnsi="Times New Roman"/>
                <w:noProof/>
                <w:color w:val="000000"/>
                <w:sz w:val="18"/>
                <w:szCs w:val="18"/>
              </w:rPr>
              <w:br/>
              <w:t xml:space="preserve">Дължината на модернизираните железопътни линии на къси разстояния следва да се тълкува от гледна точка на дължината, разположена в градски или метрополни райони, където е била осъществена значителна намеса, която не е сумата, която трябва да бъде направена или извършен ремонтът. Интервенциите биха могли да включват електрификация, обновяване на коловозите, подобряване на системите за сигнализация и безопасност и подобрения на станциите, които надхвърлят поддръжката и ремонтите, и се осъществяват на цялата национална територия във всички населени центрове, които разполагат с услуги от Cercanías Ferroviarias. </w:t>
            </w:r>
          </w:p>
        </w:tc>
      </w:tr>
      <w:tr>
        <w:trPr>
          <w:trHeight w:val="309"/>
        </w:trPr>
        <w:tc>
          <w:tcPr>
            <w:tcW w:w="709"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15</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C1.I3</w:t>
            </w:r>
          </w:p>
        </w:tc>
        <w:tc>
          <w:tcPr>
            <w:tcW w:w="850"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T</w:t>
            </w:r>
          </w:p>
        </w:tc>
        <w:tc>
          <w:tcPr>
            <w:tcW w:w="2977" w:type="dxa"/>
            <w:shd w:val="clear" w:color="auto" w:fill="C6EFCE"/>
            <w:noWrap/>
          </w:tcPr>
          <w:p>
            <w:pPr>
              <w:spacing w:after="0" w:line="240" w:lineRule="auto"/>
              <w:rPr>
                <w:rFonts w:ascii="Times New Roman" w:hAnsi="Times New Roman" w:cs="Times New Roman"/>
                <w:noProof/>
                <w:sz w:val="18"/>
                <w:szCs w:val="18"/>
              </w:rPr>
            </w:pPr>
            <w:r>
              <w:rPr>
                <w:rFonts w:ascii="Times New Roman" w:hAnsi="Times New Roman"/>
                <w:noProof/>
                <w:color w:val="000000"/>
                <w:sz w:val="18"/>
                <w:szCs w:val="18"/>
              </w:rPr>
              <w:t xml:space="preserve">Подобряване на гарите в резултат на цифровизацията </w:t>
            </w:r>
          </w:p>
        </w:tc>
        <w:tc>
          <w:tcPr>
            <w:tcW w:w="1134"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 </w:t>
            </w:r>
          </w:p>
        </w:tc>
        <w:tc>
          <w:tcPr>
            <w:tcW w:w="731"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Номер</w:t>
            </w:r>
          </w:p>
        </w:tc>
        <w:tc>
          <w:tcPr>
            <w:tcW w:w="81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0</w:t>
            </w:r>
          </w:p>
        </w:tc>
        <w:tc>
          <w:tcPr>
            <w:tcW w:w="72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420</w:t>
            </w:r>
          </w:p>
        </w:tc>
        <w:tc>
          <w:tcPr>
            <w:tcW w:w="353"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T4</w:t>
            </w:r>
          </w:p>
        </w:tc>
        <w:tc>
          <w:tcPr>
            <w:tcW w:w="639"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2023</w:t>
            </w:r>
          </w:p>
        </w:tc>
        <w:tc>
          <w:tcPr>
            <w:tcW w:w="5387" w:type="dxa"/>
            <w:shd w:val="clear" w:color="auto" w:fill="C6EFCE"/>
            <w:noWrap/>
          </w:tcPr>
          <w:p>
            <w:pPr>
              <w:spacing w:after="0" w:line="240" w:lineRule="auto"/>
              <w:rPr>
                <w:rFonts w:ascii="Times New Roman" w:hAnsi="Times New Roman" w:cs="Times New Roman"/>
                <w:noProof/>
                <w:sz w:val="18"/>
                <w:szCs w:val="18"/>
              </w:rPr>
            </w:pPr>
            <w:r>
              <w:rPr>
                <w:rFonts w:ascii="Times New Roman" w:hAnsi="Times New Roman"/>
                <w:noProof/>
                <w:color w:val="000000"/>
                <w:sz w:val="18"/>
                <w:szCs w:val="18"/>
              </w:rPr>
              <w:t>Най-малко 420 станции са се подобрили, като всички или някои от проектите, разработени от RENFE като SPO оператор, са изброени по-долу:</w:t>
            </w:r>
            <w:r>
              <w:rPr>
                <w:rFonts w:ascii="Times New Roman" w:hAnsi="Times New Roman"/>
                <w:noProof/>
                <w:color w:val="000000"/>
                <w:sz w:val="18"/>
                <w:szCs w:val="18"/>
              </w:rPr>
              <w:br/>
              <w:t>• Цифровизация на системите за сигурност в гарите (като интелигентен видеоанализ, киберсигурност и контрол на измамите • • Системи за информиране на пътниците</w:t>
            </w:r>
            <w:r>
              <w:rPr>
                <w:rFonts w:ascii="Times New Roman" w:hAnsi="Times New Roman"/>
                <w:noProof/>
                <w:color w:val="000000"/>
                <w:sz w:val="18"/>
                <w:szCs w:val="18"/>
              </w:rPr>
              <w:br/>
              <w:t xml:space="preserve">• Подобряване на контрола на достъпа до гарите </w:t>
            </w:r>
            <w:r>
              <w:rPr>
                <w:rFonts w:ascii="Times New Roman" w:hAnsi="Times New Roman"/>
                <w:noProof/>
                <w:color w:val="000000"/>
                <w:sz w:val="18"/>
                <w:szCs w:val="18"/>
              </w:rPr>
              <w:br/>
              <w:t xml:space="preserve">• Проекти за автомати за продажба на билети </w:t>
            </w:r>
            <w:r>
              <w:rPr>
                <w:rFonts w:ascii="Times New Roman" w:hAnsi="Times New Roman"/>
                <w:noProof/>
                <w:color w:val="000000"/>
                <w:sz w:val="18"/>
                <w:szCs w:val="18"/>
              </w:rPr>
              <w:br/>
              <w:t xml:space="preserve">• Адаптиране на съоръженията </w:t>
            </w:r>
          </w:p>
        </w:tc>
      </w:tr>
      <w:tr>
        <w:trPr>
          <w:trHeight w:val="309"/>
        </w:trPr>
        <w:tc>
          <w:tcPr>
            <w:tcW w:w="709"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16</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C1.I3</w:t>
            </w:r>
          </w:p>
        </w:tc>
        <w:tc>
          <w:tcPr>
            <w:tcW w:w="850"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T</w:t>
            </w:r>
          </w:p>
        </w:tc>
        <w:tc>
          <w:tcPr>
            <w:tcW w:w="2977" w:type="dxa"/>
            <w:shd w:val="clear" w:color="auto" w:fill="C6EFCE"/>
            <w:noWrap/>
          </w:tcPr>
          <w:p>
            <w:pPr>
              <w:spacing w:after="0" w:line="240" w:lineRule="auto"/>
              <w:rPr>
                <w:rFonts w:ascii="Times New Roman" w:hAnsi="Times New Roman" w:cs="Times New Roman"/>
                <w:noProof/>
                <w:sz w:val="18"/>
                <w:szCs w:val="18"/>
              </w:rPr>
            </w:pPr>
            <w:r>
              <w:rPr>
                <w:rFonts w:ascii="Times New Roman" w:hAnsi="Times New Roman"/>
                <w:noProof/>
                <w:color w:val="000000"/>
                <w:sz w:val="18"/>
                <w:szCs w:val="18"/>
              </w:rPr>
              <w:t xml:space="preserve">Подобрения в гарите по линиите „Cercanías“ </w:t>
            </w:r>
          </w:p>
        </w:tc>
        <w:tc>
          <w:tcPr>
            <w:tcW w:w="1134"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 </w:t>
            </w:r>
          </w:p>
        </w:tc>
        <w:tc>
          <w:tcPr>
            <w:tcW w:w="731"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Номер</w:t>
            </w:r>
          </w:p>
        </w:tc>
        <w:tc>
          <w:tcPr>
            <w:tcW w:w="81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0</w:t>
            </w:r>
          </w:p>
        </w:tc>
        <w:tc>
          <w:tcPr>
            <w:tcW w:w="72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20</w:t>
            </w:r>
          </w:p>
        </w:tc>
        <w:tc>
          <w:tcPr>
            <w:tcW w:w="353"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T4</w:t>
            </w:r>
          </w:p>
        </w:tc>
        <w:tc>
          <w:tcPr>
            <w:tcW w:w="639"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2023</w:t>
            </w:r>
          </w:p>
        </w:tc>
        <w:tc>
          <w:tcPr>
            <w:tcW w:w="5387" w:type="dxa"/>
            <w:shd w:val="clear" w:color="auto" w:fill="C6EFCE"/>
            <w:noWrap/>
          </w:tcPr>
          <w:p>
            <w:pPr>
              <w:spacing w:after="0" w:line="240" w:lineRule="auto"/>
              <w:rPr>
                <w:rFonts w:ascii="Times New Roman" w:hAnsi="Times New Roman" w:cs="Times New Roman"/>
                <w:noProof/>
                <w:sz w:val="18"/>
                <w:szCs w:val="18"/>
              </w:rPr>
            </w:pPr>
            <w:r>
              <w:rPr>
                <w:rFonts w:ascii="Times New Roman" w:hAnsi="Times New Roman"/>
                <w:noProof/>
                <w:color w:val="000000"/>
                <w:sz w:val="18"/>
                <w:szCs w:val="18"/>
              </w:rPr>
              <w:t xml:space="preserve">Най-малко 20 гари „Cercanías“, подобрени от ADIF главно по отношение на дейности за достъпност и нови или обновени железопътни линии </w:t>
            </w:r>
          </w:p>
        </w:tc>
      </w:tr>
      <w:tr>
        <w:trPr>
          <w:trHeight w:val="309"/>
        </w:trPr>
        <w:tc>
          <w:tcPr>
            <w:tcW w:w="709"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17</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C1.I3</w:t>
            </w:r>
          </w:p>
        </w:tc>
        <w:tc>
          <w:tcPr>
            <w:tcW w:w="850"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T</w:t>
            </w:r>
          </w:p>
        </w:tc>
        <w:tc>
          <w:tcPr>
            <w:tcW w:w="2977" w:type="dxa"/>
            <w:shd w:val="clear" w:color="auto" w:fill="C6EFCE"/>
            <w:noWrap/>
          </w:tcPr>
          <w:p>
            <w:pPr>
              <w:spacing w:after="0" w:line="240" w:lineRule="auto"/>
              <w:rPr>
                <w:rFonts w:ascii="Times New Roman" w:hAnsi="Times New Roman" w:cs="Times New Roman"/>
                <w:noProof/>
                <w:sz w:val="18"/>
                <w:szCs w:val="18"/>
              </w:rPr>
            </w:pPr>
            <w:r>
              <w:rPr>
                <w:rFonts w:ascii="Times New Roman" w:hAnsi="Times New Roman"/>
                <w:noProof/>
                <w:color w:val="000000"/>
                <w:sz w:val="18"/>
                <w:szCs w:val="18"/>
              </w:rPr>
              <w:t xml:space="preserve">Кумулативен бюджет, отпуснат за инвестиции в железопътни линии на къси разстояния </w:t>
            </w:r>
          </w:p>
        </w:tc>
        <w:tc>
          <w:tcPr>
            <w:tcW w:w="1134"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 </w:t>
            </w:r>
          </w:p>
        </w:tc>
        <w:tc>
          <w:tcPr>
            <w:tcW w:w="731" w:type="dxa"/>
            <w:shd w:val="clear" w:color="auto" w:fill="C6EFCE"/>
            <w:noWrap/>
          </w:tcPr>
          <w:p>
            <w:pPr>
              <w:spacing w:after="0" w:line="240" w:lineRule="auto"/>
              <w:jc w:val="right"/>
              <w:rPr>
                <w:rFonts w:ascii="Times New Roman" w:eastAsia="Times New Roman" w:hAnsi="Times New Roman" w:cs="Times New Roman"/>
                <w:noProof/>
                <w:spacing w:val="-4"/>
                <w:sz w:val="18"/>
                <w:szCs w:val="18"/>
              </w:rPr>
            </w:pPr>
            <w:r>
              <w:rPr>
                <w:rFonts w:ascii="Times New Roman" w:hAnsi="Times New Roman"/>
                <w:noProof/>
                <w:color w:val="000000"/>
                <w:spacing w:val="-4"/>
                <w:sz w:val="18"/>
                <w:szCs w:val="18"/>
              </w:rPr>
              <w:t>милиони евро</w:t>
            </w:r>
          </w:p>
        </w:tc>
        <w:tc>
          <w:tcPr>
            <w:tcW w:w="81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0</w:t>
            </w:r>
          </w:p>
        </w:tc>
        <w:tc>
          <w:tcPr>
            <w:tcW w:w="72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1 619</w:t>
            </w:r>
          </w:p>
        </w:tc>
        <w:tc>
          <w:tcPr>
            <w:tcW w:w="353"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T4</w:t>
            </w:r>
          </w:p>
        </w:tc>
        <w:tc>
          <w:tcPr>
            <w:tcW w:w="639"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2024</w:t>
            </w:r>
          </w:p>
        </w:tc>
        <w:tc>
          <w:tcPr>
            <w:tcW w:w="5387" w:type="dxa"/>
            <w:shd w:val="clear" w:color="auto" w:fill="C6EFCE"/>
            <w:noWrap/>
          </w:tcPr>
          <w:p>
            <w:pPr>
              <w:spacing w:after="0" w:line="240" w:lineRule="auto"/>
              <w:rPr>
                <w:rFonts w:ascii="Times New Roman" w:hAnsi="Times New Roman" w:cs="Times New Roman"/>
                <w:noProof/>
                <w:sz w:val="18"/>
                <w:szCs w:val="18"/>
              </w:rPr>
            </w:pPr>
            <w:r>
              <w:rPr>
                <w:rFonts w:ascii="Times New Roman" w:hAnsi="Times New Roman"/>
                <w:noProof/>
                <w:color w:val="000000"/>
                <w:sz w:val="18"/>
                <w:szCs w:val="18"/>
              </w:rPr>
              <w:t xml:space="preserve">Публикуване в ОВ на кумулативния бюджет, отпуснат за инвестиции в железопътни линии на къси разстояния: най-малко: 1 619 000 000 EUR </w:t>
            </w:r>
          </w:p>
        </w:tc>
      </w:tr>
      <w:tr>
        <w:trPr>
          <w:trHeight w:val="309"/>
        </w:trPr>
        <w:tc>
          <w:tcPr>
            <w:tcW w:w="709"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18</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C1.I3</w:t>
            </w:r>
          </w:p>
        </w:tc>
        <w:tc>
          <w:tcPr>
            <w:tcW w:w="850"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T</w:t>
            </w:r>
          </w:p>
        </w:tc>
        <w:tc>
          <w:tcPr>
            <w:tcW w:w="2977" w:type="dxa"/>
            <w:shd w:val="clear" w:color="auto" w:fill="C6EFCE"/>
            <w:noWrap/>
          </w:tcPr>
          <w:p>
            <w:pPr>
              <w:spacing w:after="0" w:line="240" w:lineRule="auto"/>
              <w:rPr>
                <w:rFonts w:ascii="Times New Roman" w:hAnsi="Times New Roman" w:cs="Times New Roman"/>
                <w:noProof/>
                <w:sz w:val="18"/>
                <w:szCs w:val="18"/>
              </w:rPr>
            </w:pPr>
            <w:r>
              <w:rPr>
                <w:rFonts w:ascii="Times New Roman" w:hAnsi="Times New Roman"/>
                <w:noProof/>
                <w:color w:val="000000"/>
                <w:sz w:val="18"/>
                <w:szCs w:val="18"/>
              </w:rPr>
              <w:t xml:space="preserve">Модернизирани железопътни линии на къси разстояния (Cercanías) </w:t>
            </w:r>
          </w:p>
        </w:tc>
        <w:tc>
          <w:tcPr>
            <w:tcW w:w="1134"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 </w:t>
            </w:r>
          </w:p>
        </w:tc>
        <w:tc>
          <w:tcPr>
            <w:tcW w:w="731"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Брой (km)</w:t>
            </w:r>
          </w:p>
        </w:tc>
        <w:tc>
          <w:tcPr>
            <w:tcW w:w="81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200</w:t>
            </w:r>
          </w:p>
        </w:tc>
        <w:tc>
          <w:tcPr>
            <w:tcW w:w="72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700</w:t>
            </w:r>
          </w:p>
        </w:tc>
        <w:tc>
          <w:tcPr>
            <w:tcW w:w="353"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T2</w:t>
            </w:r>
          </w:p>
        </w:tc>
        <w:tc>
          <w:tcPr>
            <w:tcW w:w="639"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2026</w:t>
            </w:r>
          </w:p>
        </w:tc>
        <w:tc>
          <w:tcPr>
            <w:tcW w:w="5387"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szCs w:val="18"/>
              </w:rPr>
              <w:t xml:space="preserve">Най-малко 700 km железопътни линии на къси разстояния, модернизирани в някоя от подсистемите: перон, коловоз, електрификация, сигурност и съоръжения за комуникация/сигнализация. Дължината на модернизираните железопътни линии на къси разстояния следва да се тълкува от гледна точка на дължината, разположена в градски или метрополни райони, където е била осъществена значителна намеса, която не е сумата, която трябва да бъде направена или извършен ремонтът. Интервенциите биха могли да включват електрификация, обновяване на коловозите, подобряване на системите за сигнализация и безопасност, както и подобрения на гарите, които надхвърлят поддръжката и ремонтите, и се осъществяват на цялата национална територия във всички населени центрове, които разполагат с услуги от Cercanías Ferroviarias. </w:t>
            </w:r>
          </w:p>
          <w:p>
            <w:pPr>
              <w:spacing w:after="0" w:line="240" w:lineRule="auto"/>
              <w:rPr>
                <w:rFonts w:ascii="Times New Roman" w:hAnsi="Times New Roman" w:cs="Times New Roman"/>
                <w:noProof/>
                <w:sz w:val="18"/>
                <w:szCs w:val="18"/>
              </w:rPr>
            </w:pPr>
            <w:r>
              <w:rPr>
                <w:rFonts w:ascii="Times New Roman" w:hAnsi="Times New Roman"/>
                <w:noProof/>
                <w:color w:val="000000"/>
                <w:sz w:val="18"/>
                <w:szCs w:val="18"/>
              </w:rPr>
              <w:t>(Базова линия: 31 декември 2023 г.)</w:t>
            </w:r>
          </w:p>
        </w:tc>
      </w:tr>
      <w:tr>
        <w:trPr>
          <w:trHeight w:val="309"/>
        </w:trPr>
        <w:tc>
          <w:tcPr>
            <w:tcW w:w="709"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19</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C1.I3</w:t>
            </w:r>
          </w:p>
        </w:tc>
        <w:tc>
          <w:tcPr>
            <w:tcW w:w="850"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T</w:t>
            </w:r>
          </w:p>
        </w:tc>
        <w:tc>
          <w:tcPr>
            <w:tcW w:w="2977" w:type="dxa"/>
            <w:shd w:val="clear" w:color="auto" w:fill="C6EFCE"/>
            <w:noWrap/>
          </w:tcPr>
          <w:p>
            <w:pPr>
              <w:spacing w:after="0" w:line="240" w:lineRule="auto"/>
              <w:rPr>
                <w:rFonts w:ascii="Times New Roman" w:hAnsi="Times New Roman" w:cs="Times New Roman"/>
                <w:noProof/>
                <w:sz w:val="18"/>
                <w:szCs w:val="18"/>
              </w:rPr>
            </w:pPr>
            <w:r>
              <w:rPr>
                <w:rFonts w:ascii="Times New Roman" w:hAnsi="Times New Roman"/>
                <w:noProof/>
                <w:color w:val="000000"/>
                <w:sz w:val="18"/>
                <w:szCs w:val="18"/>
              </w:rPr>
              <w:t xml:space="preserve">Подобряване на гарите в резултат на цифровизацията </w:t>
            </w:r>
          </w:p>
        </w:tc>
        <w:tc>
          <w:tcPr>
            <w:tcW w:w="1134"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 </w:t>
            </w:r>
          </w:p>
        </w:tc>
        <w:tc>
          <w:tcPr>
            <w:tcW w:w="731"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Номер</w:t>
            </w:r>
          </w:p>
        </w:tc>
        <w:tc>
          <w:tcPr>
            <w:tcW w:w="81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420</w:t>
            </w:r>
          </w:p>
        </w:tc>
        <w:tc>
          <w:tcPr>
            <w:tcW w:w="72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850</w:t>
            </w:r>
          </w:p>
        </w:tc>
        <w:tc>
          <w:tcPr>
            <w:tcW w:w="353"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T2</w:t>
            </w:r>
          </w:p>
        </w:tc>
        <w:tc>
          <w:tcPr>
            <w:tcW w:w="639"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2026</w:t>
            </w:r>
          </w:p>
        </w:tc>
        <w:tc>
          <w:tcPr>
            <w:tcW w:w="5387"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szCs w:val="18"/>
              </w:rPr>
              <w:t>Най-малко 850 станции са се подобрили, като всички или някои от проектите, разработени от RENFE като SPO оператор, са изброени по-долу:</w:t>
            </w:r>
            <w:r>
              <w:rPr>
                <w:rFonts w:ascii="Times New Roman" w:hAnsi="Times New Roman"/>
                <w:noProof/>
                <w:color w:val="000000"/>
                <w:sz w:val="18"/>
                <w:szCs w:val="18"/>
              </w:rPr>
              <w:br/>
              <w:t>• Цифровизация на системите за сигурност в гарите (като интелигентен видеоанализ, киберсигурност и контрол на измамите</w:t>
            </w:r>
            <w:r>
              <w:rPr>
                <w:rFonts w:ascii="Times New Roman" w:hAnsi="Times New Roman"/>
                <w:noProof/>
                <w:color w:val="000000"/>
                <w:sz w:val="18"/>
                <w:szCs w:val="18"/>
              </w:rPr>
              <w:br/>
              <w:t>• Системи за информиране на пътниците</w:t>
            </w:r>
            <w:r>
              <w:rPr>
                <w:rFonts w:ascii="Times New Roman" w:hAnsi="Times New Roman"/>
                <w:noProof/>
                <w:color w:val="000000"/>
                <w:sz w:val="18"/>
                <w:szCs w:val="18"/>
              </w:rPr>
              <w:br/>
              <w:t xml:space="preserve">• Подобряване на контрола на достъпа до гарите </w:t>
            </w:r>
            <w:r>
              <w:rPr>
                <w:rFonts w:ascii="Times New Roman" w:hAnsi="Times New Roman"/>
                <w:noProof/>
                <w:color w:val="000000"/>
                <w:sz w:val="18"/>
                <w:szCs w:val="18"/>
              </w:rPr>
              <w:br/>
              <w:t>• Проекти за автомати за продажба на билети</w:t>
            </w:r>
            <w:r>
              <w:rPr>
                <w:rFonts w:ascii="Times New Roman" w:hAnsi="Times New Roman"/>
                <w:noProof/>
                <w:color w:val="000000"/>
                <w:sz w:val="18"/>
                <w:szCs w:val="18"/>
              </w:rPr>
              <w:br/>
              <w:t xml:space="preserve">• Адаптиране на съоръженията </w:t>
            </w:r>
          </w:p>
          <w:p>
            <w:pPr>
              <w:spacing w:after="0" w:line="240" w:lineRule="auto"/>
              <w:rPr>
                <w:rFonts w:ascii="Times New Roman" w:hAnsi="Times New Roman" w:cs="Times New Roman"/>
                <w:noProof/>
                <w:sz w:val="18"/>
                <w:szCs w:val="18"/>
              </w:rPr>
            </w:pPr>
            <w:r>
              <w:rPr>
                <w:rFonts w:ascii="Times New Roman" w:hAnsi="Times New Roman"/>
                <w:noProof/>
                <w:color w:val="000000"/>
                <w:sz w:val="18"/>
                <w:szCs w:val="18"/>
              </w:rPr>
              <w:t>(Базова линия: 31 декември 2023 г.)</w:t>
            </w:r>
          </w:p>
        </w:tc>
      </w:tr>
      <w:tr>
        <w:trPr>
          <w:trHeight w:val="309"/>
        </w:trPr>
        <w:tc>
          <w:tcPr>
            <w:tcW w:w="709"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20</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C1.I3</w:t>
            </w:r>
          </w:p>
        </w:tc>
        <w:tc>
          <w:tcPr>
            <w:tcW w:w="850"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T</w:t>
            </w:r>
          </w:p>
        </w:tc>
        <w:tc>
          <w:tcPr>
            <w:tcW w:w="2977" w:type="dxa"/>
            <w:shd w:val="clear" w:color="auto" w:fill="C6EFCE"/>
            <w:noWrap/>
          </w:tcPr>
          <w:p>
            <w:pPr>
              <w:spacing w:after="0" w:line="240" w:lineRule="auto"/>
              <w:rPr>
                <w:rFonts w:ascii="Times New Roman" w:hAnsi="Times New Roman" w:cs="Times New Roman"/>
                <w:noProof/>
                <w:sz w:val="18"/>
                <w:szCs w:val="18"/>
              </w:rPr>
            </w:pPr>
            <w:r>
              <w:rPr>
                <w:rFonts w:ascii="Times New Roman" w:hAnsi="Times New Roman"/>
                <w:noProof/>
                <w:color w:val="000000"/>
                <w:sz w:val="18"/>
                <w:szCs w:val="18"/>
              </w:rPr>
              <w:t xml:space="preserve">Подобрения в гарите по линиите „Cercanías“ </w:t>
            </w:r>
          </w:p>
        </w:tc>
        <w:tc>
          <w:tcPr>
            <w:tcW w:w="1134"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 </w:t>
            </w:r>
          </w:p>
        </w:tc>
        <w:tc>
          <w:tcPr>
            <w:tcW w:w="731"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Номер</w:t>
            </w:r>
          </w:p>
        </w:tc>
        <w:tc>
          <w:tcPr>
            <w:tcW w:w="81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20</w:t>
            </w:r>
          </w:p>
        </w:tc>
        <w:tc>
          <w:tcPr>
            <w:tcW w:w="72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70</w:t>
            </w:r>
          </w:p>
        </w:tc>
        <w:tc>
          <w:tcPr>
            <w:tcW w:w="353"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T2</w:t>
            </w:r>
          </w:p>
        </w:tc>
        <w:tc>
          <w:tcPr>
            <w:tcW w:w="639"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2026</w:t>
            </w:r>
          </w:p>
        </w:tc>
        <w:tc>
          <w:tcPr>
            <w:tcW w:w="5387"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szCs w:val="18"/>
              </w:rPr>
              <w:t>Най-малко 70 гари „Cercanías“, подобрени от ADIF главно по отношение на дейности за достъпност и нови или обновени железопътни линии</w:t>
            </w:r>
          </w:p>
          <w:p>
            <w:pPr>
              <w:spacing w:after="0" w:line="240" w:lineRule="auto"/>
              <w:rPr>
                <w:rFonts w:ascii="Times New Roman" w:hAnsi="Times New Roman" w:cs="Times New Roman"/>
                <w:noProof/>
                <w:sz w:val="18"/>
                <w:szCs w:val="18"/>
              </w:rPr>
            </w:pPr>
            <w:r>
              <w:rPr>
                <w:rFonts w:ascii="Times New Roman" w:hAnsi="Times New Roman"/>
                <w:noProof/>
                <w:color w:val="000000"/>
                <w:sz w:val="18"/>
                <w:szCs w:val="18"/>
              </w:rPr>
              <w:t>(Базова линия: 31 декември 2023 г.)</w:t>
            </w:r>
          </w:p>
        </w:tc>
      </w:tr>
    </w:tbl>
    <w:p>
      <w:pPr>
        <w:rPr>
          <w:rFonts w:ascii="Times New Roman" w:hAnsi="Times New Roman" w:cs="Times New Roman"/>
          <w:noProof/>
          <w:sz w:val="24"/>
        </w:rPr>
        <w:sectPr>
          <w:headerReference w:type="even" r:id="rId25"/>
          <w:headerReference w:type="default" r:id="rId26"/>
          <w:footerReference w:type="even" r:id="rId27"/>
          <w:footerReference w:type="default" r:id="rId28"/>
          <w:headerReference w:type="first" r:id="rId29"/>
          <w:footerReference w:type="first" r:id="rId30"/>
          <w:pgSz w:w="16839" w:h="11907" w:orient="landscape"/>
          <w:pgMar w:top="1417" w:right="1134" w:bottom="1417" w:left="1134" w:header="709" w:footer="709" w:gutter="0"/>
          <w:cols w:space="720"/>
          <w:docGrid w:linePitch="360"/>
        </w:sectPr>
      </w:pPr>
      <w:r>
        <w:rPr>
          <w:noProof/>
        </w:rPr>
        <w:br w:type="page"/>
      </w:r>
    </w:p>
    <w:p>
      <w:pPr>
        <w:pStyle w:val="Heading1"/>
        <w:rPr>
          <w:noProof/>
        </w:rPr>
      </w:pPr>
      <w:r>
        <w:rPr>
          <w:noProof/>
        </w:rPr>
        <w:t>Б. КОМПОНЕНТ 2: Изпълнение на испанската програма за градовете: План за възстановяване и възстановяване на градската среда</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Този компонент от испанския план за възстановяване и устойчивост е насочен към енергийното саниране на сградите, тяхната декарбонизация и подобряването на тяхното качество и комфорт. В него се разглеждат и социалните жилища под наем, като се увеличава техният фонд и се гарантира по-справедливо и по-приобщаващо възстановяване. Освен това компонентът има за цел да се справи с енергийната бедност чрез подкрепа за социални жилища или жилища на достъпни цени за отдаване под наем. Включени са и дейности за цифровизация. Този компонент на испанския план за възстановяване и устойчивост подкрепя изпълнението на Националния план в областта на енергетиката и климата (НПЕК) на Испания, който предвижда санирането на 1 200 000 жилищни сгради до 2030 г., както и на отоплителните и охладителните системи на средно 300 000 жилищни сгради годишно. В този контекст Испания предлага:</w:t>
      </w:r>
    </w:p>
    <w:p>
      <w:pPr>
        <w:numPr>
          <w:ilvl w:val="0"/>
          <w:numId w:val="24"/>
        </w:numPr>
        <w:spacing w:before="120" w:after="0" w:line="240" w:lineRule="auto"/>
        <w:ind w:left="709" w:hanging="357"/>
        <w:contextualSpacing/>
        <w:jc w:val="both"/>
        <w:rPr>
          <w:rFonts w:ascii="Times New Roman" w:hAnsi="Times New Roman" w:cs="Times New Roman"/>
          <w:noProof/>
          <w:sz w:val="24"/>
        </w:rPr>
      </w:pPr>
      <w:r>
        <w:rPr>
          <w:rFonts w:ascii="Times New Roman" w:hAnsi="Times New Roman"/>
          <w:noProof/>
          <w:sz w:val="24"/>
        </w:rPr>
        <w:t>Разработване и прилагане на мерки за реформи, включително испанската програма за градовете, дългосрочната стратегия на Испания за саниране, закон за жилищното настаняване, закон за подобряване на архитектурния ландшафт и създаването на „обслужване на едно гише“ за саниране на сгради;</w:t>
      </w:r>
    </w:p>
    <w:p>
      <w:pPr>
        <w:numPr>
          <w:ilvl w:val="0"/>
          <w:numId w:val="24"/>
        </w:numPr>
        <w:spacing w:before="120" w:after="0" w:line="240" w:lineRule="auto"/>
        <w:ind w:left="709" w:hanging="357"/>
        <w:contextualSpacing/>
        <w:jc w:val="both"/>
        <w:rPr>
          <w:rFonts w:ascii="Times New Roman" w:hAnsi="Times New Roman" w:cs="Times New Roman"/>
          <w:noProof/>
          <w:sz w:val="24"/>
          <w:szCs w:val="24"/>
        </w:rPr>
      </w:pPr>
      <w:r>
        <w:rPr>
          <w:rFonts w:ascii="Times New Roman" w:hAnsi="Times New Roman"/>
          <w:noProof/>
          <w:sz w:val="24"/>
          <w:szCs w:val="24"/>
        </w:rPr>
        <w:t>Саниране на най-малко 355 000 отделни жилищни като част от най-малко 510 000 действия за саниране, най-малко 600 хектара градски райони, еквивалент на най-малко 40 000 жилищни сгради и 690 0000 m</w:t>
      </w:r>
      <w:r>
        <w:rPr>
          <w:rFonts w:ascii="Times New Roman" w:hAnsi="Times New Roman"/>
          <w:noProof/>
          <w:sz w:val="24"/>
          <w:szCs w:val="24"/>
          <w:vertAlign w:val="superscript"/>
        </w:rPr>
        <w:t>²</w:t>
      </w:r>
      <w:r>
        <w:rPr>
          <w:rFonts w:ascii="Times New Roman" w:hAnsi="Times New Roman"/>
          <w:noProof/>
          <w:sz w:val="24"/>
          <w:szCs w:val="24"/>
        </w:rPr>
        <w:t xml:space="preserve"> нежилищни сгради, най — малко 26 000 жилищни сгради в общини и градски райони с по-малко от 5 000 жители и най-малко 1 230 000 m</w:t>
      </w:r>
      <w:r>
        <w:rPr>
          <w:rFonts w:ascii="Times New Roman" w:hAnsi="Times New Roman"/>
          <w:noProof/>
          <w:sz w:val="24"/>
          <w:szCs w:val="24"/>
          <w:vertAlign w:val="superscript"/>
        </w:rPr>
        <w:t>²</w:t>
      </w:r>
      <w:r>
        <w:rPr>
          <w:rFonts w:ascii="Times New Roman" w:hAnsi="Times New Roman"/>
          <w:noProof/>
          <w:sz w:val="24"/>
          <w:szCs w:val="24"/>
        </w:rPr>
        <w:t xml:space="preserve"> обществени сгради до 2026 г., като се постигат средно повече от 30 % икономии на първична енергия, включително чрез саниране и модернизиране на отоплителни и охладителни системи;</w:t>
      </w:r>
    </w:p>
    <w:p>
      <w:pPr>
        <w:numPr>
          <w:ilvl w:val="0"/>
          <w:numId w:val="24"/>
        </w:numPr>
        <w:spacing w:before="120" w:after="0" w:line="240" w:lineRule="auto"/>
        <w:ind w:left="709" w:hanging="357"/>
        <w:contextualSpacing/>
        <w:jc w:val="both"/>
        <w:rPr>
          <w:rFonts w:ascii="Times New Roman" w:hAnsi="Times New Roman" w:cs="Times New Roman"/>
          <w:noProof/>
          <w:sz w:val="24"/>
          <w:szCs w:val="24"/>
        </w:rPr>
      </w:pPr>
      <w:r>
        <w:rPr>
          <w:rFonts w:ascii="Times New Roman" w:hAnsi="Times New Roman"/>
          <w:noProof/>
          <w:sz w:val="24"/>
          <w:szCs w:val="24"/>
        </w:rPr>
        <w:t>да построят най-малко 20 000 нови жилища за целите на социалното отдаване под наем или на достъпни цени, като потреблението на първична енергия е най-малко 20 % под изискванията за сгради с близко до нулево нетно потребление на енергия; и</w:t>
      </w:r>
    </w:p>
    <w:p>
      <w:pPr>
        <w:numPr>
          <w:ilvl w:val="0"/>
          <w:numId w:val="24"/>
        </w:numPr>
        <w:spacing w:before="120" w:after="0" w:line="240" w:lineRule="auto"/>
        <w:ind w:left="709" w:hanging="357"/>
        <w:contextualSpacing/>
        <w:jc w:val="both"/>
        <w:rPr>
          <w:rFonts w:ascii="Times New Roman" w:hAnsi="Times New Roman" w:cs="Times New Roman"/>
          <w:noProof/>
          <w:sz w:val="24"/>
        </w:rPr>
      </w:pPr>
      <w:r>
        <w:rPr>
          <w:rFonts w:ascii="Times New Roman" w:hAnsi="Times New Roman"/>
          <w:noProof/>
          <w:sz w:val="24"/>
        </w:rPr>
        <w:t>изпълнение на поне 100 пилотни проекта на местно равнище в подкрепа на енергийната ефективност и изпълнението на испанската програма за градовете.</w:t>
      </w:r>
    </w:p>
    <w:p>
      <w:pPr>
        <w:spacing w:before="120" w:after="120" w:line="240" w:lineRule="auto"/>
        <w:jc w:val="both"/>
        <w:rPr>
          <w:rFonts w:ascii="Times New Roman" w:hAnsi="Times New Roman" w:cs="Times New Roman"/>
          <w:noProof/>
          <w:spacing w:val="-4"/>
          <w:sz w:val="24"/>
        </w:rPr>
      </w:pPr>
      <w:r>
        <w:rPr>
          <w:rFonts w:ascii="Times New Roman" w:hAnsi="Times New Roman"/>
          <w:noProof/>
          <w:spacing w:val="-4"/>
          <w:sz w:val="24"/>
        </w:rPr>
        <w:t>Този компонент на испанския план за възстановяване и устойчивост подкрепя екологичния преход (специфична препоръка за държавата № 3 от 2019 г.) и по-специално подобренията на енергийната ефективност (специфична за държавата препоръка № 3 от 2020 г.). С него се подобрява също подкрепата за семействата (специфична за държавата препоръка № 2 от 2019 г.); специфичната за държавата препоръка № 2 от 2020 г.) и помага за приоритетното изпълнение публични инвестиционни проекти и насърчава частните инвестиции за насърчаване на икономическото възстановяване (специфичната за държавата препоръка № 3 от 2020 г.).</w:t>
      </w:r>
    </w:p>
    <w:p>
      <w:pPr>
        <w:spacing w:before="120" w:after="120" w:line="240" w:lineRule="auto"/>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Очаква се, че нито една мярка в този компонент не вреди в значителна степен на екологичните цели по смисъла на член 17 от Регламент (ЕС) 2020/852, като се вземат предвид описанието на мерките и стъпките за смекчаване на последиците, определени в плана за възстановяване и устойчивост в съответствие с Техническите насоки за спазването на „принципа за ненанасяне на съществена вреда“ (2021/C58/01).</w:t>
      </w:r>
    </w:p>
    <w:p>
      <w:pPr>
        <w:rPr>
          <w:rFonts w:ascii="Times New Roman" w:hAnsi="Times New Roman"/>
          <w:noProof/>
          <w:color w:val="000000" w:themeColor="text1"/>
          <w:sz w:val="24"/>
          <w:szCs w:val="24"/>
        </w:rPr>
      </w:pPr>
      <w:r>
        <w:rPr>
          <w:rFonts w:ascii="Times New Roman" w:hAnsi="Times New Roman"/>
          <w:noProof/>
          <w:color w:val="000000" w:themeColor="text1"/>
          <w:sz w:val="24"/>
          <w:szCs w:val="24"/>
        </w:rPr>
        <w:br w:type="page"/>
      </w:r>
    </w:p>
    <w:p>
      <w:pPr>
        <w:spacing w:before="120" w:after="120" w:line="240" w:lineRule="auto"/>
        <w:ind w:left="709"/>
        <w:jc w:val="both"/>
        <w:rPr>
          <w:rFonts w:ascii="Times New Roman" w:hAnsi="Times New Roman" w:cs="Times New Roman"/>
          <w:b/>
          <w:i/>
          <w:noProof/>
          <w:color w:val="4F81BD" w:themeColor="accent1"/>
          <w:sz w:val="24"/>
        </w:rPr>
      </w:pPr>
      <w:r>
        <w:rPr>
          <w:rFonts w:ascii="Times New Roman" w:hAnsi="Times New Roman"/>
          <w:b/>
          <w:bCs/>
          <w:noProof/>
          <w:sz w:val="24"/>
          <w:u w:val="single"/>
        </w:rPr>
        <w:t xml:space="preserve">Б.1. </w:t>
      </w:r>
      <w:r>
        <w:rPr>
          <w:rFonts w:ascii="Times New Roman" w:hAnsi="Times New Roman"/>
          <w:b/>
          <w:noProof/>
          <w:sz w:val="24"/>
          <w:u w:val="single"/>
        </w:rPr>
        <w:tab/>
      </w:r>
      <w:r>
        <w:rPr>
          <w:rFonts w:ascii="Times New Roman" w:hAnsi="Times New Roman"/>
          <w:b/>
          <w:bCs/>
          <w:noProof/>
          <w:sz w:val="24"/>
          <w:u w:val="single"/>
        </w:rPr>
        <w:t>Описание на реформите и инвестициите за безвъзмездна финансова подкрепа</w:t>
      </w:r>
    </w:p>
    <w:p>
      <w:pPr>
        <w:spacing w:before="120" w:after="120" w:line="240" w:lineRule="auto"/>
        <w:jc w:val="both"/>
        <w:rPr>
          <w:rFonts w:ascii="Times New Roman" w:hAnsi="Times New Roman" w:cs="Times New Roman"/>
          <w:noProof/>
          <w:sz w:val="24"/>
          <w:szCs w:val="24"/>
          <w:u w:val="single"/>
        </w:rPr>
      </w:pPr>
      <w:r>
        <w:rPr>
          <w:rFonts w:ascii="Times New Roman" w:hAnsi="Times New Roman"/>
          <w:noProof/>
          <w:sz w:val="24"/>
          <w:szCs w:val="24"/>
          <w:u w:val="single"/>
        </w:rPr>
        <w:t>Реформа 1 (C2.R1) – Изпълнение на испанската програма за градовете (и свързания с нея план за действие)</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Целта на тази мярка е изготвянето и одобряването на испанската програма за градовете, която ще бъде стратегически и нерегулаторен документ, който включва устойчивостта в областта на политиката за градско развитие. Тя е също така работен метод, който дава насоки на всички заинтересовани страни от публичния и частния сектор да постигнат справедливо, справедливо и устойчиво развитие в техните конкретни райони и да служат на местната администрация, градовете и селата, независимо от размера на тяхното население, като инструмент със стратегическа, интегрирана и всеобхватна перспектива, както се изисква от Програмата на ЕС за градовете и новата Лайпцигска харта.</w:t>
      </w:r>
      <w:r>
        <w:rPr>
          <w:rFonts w:ascii="Times New Roman" w:hAnsi="Times New Roman"/>
          <w:noProof/>
          <w:sz w:val="24"/>
          <w:szCs w:val="24"/>
        </w:rPr>
        <w:t xml:space="preserve">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Испанската програма за градовете включва диагностициране на слабостите и предизвикателствата, пред които са изправени испанските градове и села, за да се постигне градско развитие, което е устойчиво от екологична гледна точка, социално сплотено и икономически осъществимо. Тя включва стратегическа рамка, структурирана около следните десет стратегически предизвикателства: демография; защита на околната среда; икономическа и социална сфера; настоящото състояние на сградния фонд; уязвимост спрямо неблагоприятните последици от изменението на климата; (силна) зависимост от туризма; и рисковете, свързани със замърсяването.</w:t>
      </w:r>
      <w:r>
        <w:rPr>
          <w:rFonts w:ascii="Times New Roman" w:hAnsi="Times New Roman"/>
          <w:noProof/>
          <w:sz w:val="24"/>
          <w:szCs w:val="24"/>
        </w:rPr>
        <w:t xml:space="preserve">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Програмата за градовете включва също така конкретен план за действие за националната администрация и включва насоки за подпомагане на местните структури при изготвянето на техните собствени местни планове за действие в съответствие с методиката, предложена от общата държавна администрация, като се ангажира да подобри публичното и публично-частното управление. Инвестиция 6 допълва тази реформа, като подкрепя изготвянето на най-малко 100 местни плана за действие.</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Като част от програмата за градовете и необходимостта от спазване на Директива (ЕС) 2018/844 относно енергийните характеристики на сградите и енергийната ефективност Испания ще създаде дългосрочна стратегия за саниране в подкрепа на санирането на националния сграден фонд от жилищни и нежилищни сгради. Това ще включва както обществените, така и частните сгради и трябва да постигне високо енергийно ефективен и декарбонизиран сграден фонд до 2050 г., улеснявайки икономически ефективното преобразуване на съществуващите сгради в сгради с близко до нулево нетно потребление на енергия.</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Изпълнението на мярката приключва до 30 юни 2020 г.</w:t>
      </w:r>
    </w:p>
    <w:p>
      <w:pPr>
        <w:spacing w:before="120" w:after="120" w:line="240" w:lineRule="auto"/>
        <w:jc w:val="both"/>
        <w:rPr>
          <w:rFonts w:ascii="Times New Roman" w:hAnsi="Times New Roman" w:cs="Times New Roman"/>
          <w:noProof/>
          <w:sz w:val="24"/>
          <w:u w:val="single"/>
        </w:rPr>
      </w:pPr>
      <w:r>
        <w:rPr>
          <w:rFonts w:ascii="Times New Roman" w:hAnsi="Times New Roman"/>
          <w:noProof/>
          <w:sz w:val="24"/>
          <w:u w:val="single"/>
        </w:rPr>
        <w:t xml:space="preserve">Реформа 2 (C2.R2) – </w:t>
      </w:r>
      <w:r>
        <w:rPr>
          <w:rFonts w:ascii="Times New Roman" w:hAnsi="Times New Roman"/>
          <w:noProof/>
          <w:sz w:val="24"/>
          <w:szCs w:val="24"/>
          <w:u w:val="single"/>
        </w:rPr>
        <w:t>Актуализацията от 2020 г. на испанската дългосрочна стратегия за саниране и свързания с нея план за действие</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Целта на тази мярка е изпълнението на дългосрочната стратегия за саниране (ERESEE). Това включва действия за подготовка, обсъждане в специални работни групи, одобряване и разпространение на стратегическия документ от плана за действие относно дългосрочната стратегия за саниране.</w:t>
      </w:r>
      <w:r>
        <w:rPr>
          <w:rFonts w:ascii="Times New Roman" w:hAnsi="Times New Roman"/>
          <w:bCs/>
          <w:noProof/>
          <w:sz w:val="24"/>
          <w:szCs w:val="24"/>
        </w:rPr>
        <w:t xml:space="preserve"> </w:t>
      </w:r>
      <w:r>
        <w:rPr>
          <w:rFonts w:ascii="Times New Roman" w:hAnsi="Times New Roman"/>
          <w:noProof/>
          <w:sz w:val="24"/>
          <w:szCs w:val="24"/>
        </w:rPr>
        <w:t xml:space="preserve">Планът за действие е в съответствие с действията, включени в ERESEE. </w:t>
      </w:r>
      <w:r>
        <w:rPr>
          <w:rFonts w:ascii="Times New Roman" w:hAnsi="Times New Roman"/>
          <w:bCs/>
          <w:noProof/>
          <w:sz w:val="24"/>
          <w:szCs w:val="24"/>
        </w:rPr>
        <w:t xml:space="preserve">С цел прилагане на ERESEE се създават няколко работни групи с цел разработване на ясни препоръки за изпълнението на плана за действие за възстановяване и възстановяване на градската среда. </w:t>
      </w:r>
      <w:r>
        <w:rPr>
          <w:rFonts w:ascii="Times New Roman" w:hAnsi="Times New Roman"/>
          <w:noProof/>
          <w:sz w:val="24"/>
          <w:szCs w:val="24"/>
        </w:rPr>
        <w:t>Докладите с препоръките на работните групи се публикуват.</w:t>
      </w:r>
    </w:p>
    <w:p>
      <w:pPr>
        <w:pStyle w:val="xmsonormal"/>
        <w:jc w:val="both"/>
        <w:rPr>
          <w:rFonts w:ascii="Times New Roman" w:hAnsi="Times New Roman" w:cs="Times New Roman"/>
          <w:noProof/>
          <w:sz w:val="24"/>
          <w:szCs w:val="24"/>
        </w:rPr>
      </w:pPr>
      <w:r>
        <w:rPr>
          <w:rFonts w:ascii="Times New Roman" w:hAnsi="Times New Roman"/>
          <w:noProof/>
          <w:sz w:val="24"/>
          <w:szCs w:val="24"/>
        </w:rPr>
        <w:t xml:space="preserve">В част III от ERESEE „Прилагане“ ERESEE включва набор от действия, сред които е очертан набор от реформи като част от пътна карта за насърчаване на възстановяването и обновяването на градската среда и насърчаване на екологичния и цифровия преход. Пътната карта е структурирана около единадесет оси и действия, насочени към подобряване на управлението, регулирането и финансирането. </w:t>
      </w:r>
      <w:r>
        <w:rPr>
          <w:rFonts w:ascii="Times New Roman" w:hAnsi="Times New Roman"/>
          <w:bCs/>
          <w:noProof/>
          <w:sz w:val="24"/>
          <w:szCs w:val="24"/>
        </w:rPr>
        <w:t>Тази пътна карта се включва в стратегическия документ като основна стъпка към осъществяването на ERESEE. Най-важните действия включват:</w:t>
      </w:r>
    </w:p>
    <w:p>
      <w:pPr>
        <w:numPr>
          <w:ilvl w:val="0"/>
          <w:numId w:val="27"/>
        </w:numPr>
        <w:spacing w:before="120" w:after="160" w:line="259" w:lineRule="auto"/>
        <w:contextualSpacing/>
        <w:jc w:val="both"/>
        <w:rPr>
          <w:rFonts w:ascii="Times New Roman" w:hAnsi="Times New Roman" w:cs="Times New Roman"/>
          <w:noProof/>
          <w:sz w:val="24"/>
          <w:szCs w:val="24"/>
        </w:rPr>
      </w:pPr>
      <w:r>
        <w:rPr>
          <w:rFonts w:ascii="Times New Roman" w:hAnsi="Times New Roman"/>
          <w:noProof/>
          <w:sz w:val="24"/>
          <w:szCs w:val="24"/>
        </w:rPr>
        <w:t>обновяване на сгради на публичната администрация (приведено в съответствие с компонент 11 от испанския план за възстановяване и устойчивост);</w:t>
      </w:r>
    </w:p>
    <w:p>
      <w:pPr>
        <w:numPr>
          <w:ilvl w:val="0"/>
          <w:numId w:val="27"/>
        </w:numPr>
        <w:spacing w:before="120" w:after="160" w:line="259" w:lineRule="auto"/>
        <w:contextualSpacing/>
        <w:jc w:val="both"/>
        <w:rPr>
          <w:rFonts w:ascii="Times New Roman" w:hAnsi="Times New Roman" w:cs="Times New Roman"/>
          <w:noProof/>
          <w:sz w:val="24"/>
          <w:szCs w:val="24"/>
        </w:rPr>
      </w:pPr>
      <w:r>
        <w:rPr>
          <w:rFonts w:ascii="Times New Roman" w:hAnsi="Times New Roman"/>
          <w:noProof/>
          <w:sz w:val="24"/>
          <w:szCs w:val="24"/>
        </w:rPr>
        <w:t>финансиране в области, в които е необходимо подобрение, включително ново данъчно облагане, благоприятстващо санирането, както в жилищния, така и в третичния сектор;</w:t>
      </w:r>
    </w:p>
    <w:p>
      <w:pPr>
        <w:numPr>
          <w:ilvl w:val="0"/>
          <w:numId w:val="27"/>
        </w:numPr>
        <w:spacing w:before="120" w:after="160" w:line="259" w:lineRule="auto"/>
        <w:contextualSpacing/>
        <w:jc w:val="both"/>
        <w:rPr>
          <w:rFonts w:ascii="Times New Roman" w:hAnsi="Times New Roman" w:cs="Times New Roman"/>
          <w:noProof/>
          <w:sz w:val="24"/>
          <w:szCs w:val="24"/>
        </w:rPr>
      </w:pPr>
      <w:r>
        <w:rPr>
          <w:rFonts w:ascii="Times New Roman" w:hAnsi="Times New Roman"/>
          <w:noProof/>
          <w:sz w:val="24"/>
          <w:szCs w:val="24"/>
        </w:rPr>
        <w:t>насърчаване и мобилизиране на частно финансиране;</w:t>
      </w:r>
    </w:p>
    <w:p>
      <w:pPr>
        <w:numPr>
          <w:ilvl w:val="0"/>
          <w:numId w:val="27"/>
        </w:numPr>
        <w:spacing w:before="120" w:after="160" w:line="259" w:lineRule="auto"/>
        <w:contextualSpacing/>
        <w:jc w:val="both"/>
        <w:rPr>
          <w:rFonts w:ascii="Times New Roman" w:hAnsi="Times New Roman" w:cs="Times New Roman"/>
          <w:noProof/>
          <w:sz w:val="24"/>
          <w:szCs w:val="24"/>
        </w:rPr>
      </w:pPr>
      <w:r>
        <w:rPr>
          <w:rFonts w:ascii="Times New Roman" w:hAnsi="Times New Roman"/>
          <w:noProof/>
          <w:sz w:val="24"/>
          <w:szCs w:val="24"/>
        </w:rPr>
        <w:t>борба с енергийната бедност;</w:t>
      </w:r>
    </w:p>
    <w:p>
      <w:pPr>
        <w:numPr>
          <w:ilvl w:val="0"/>
          <w:numId w:val="27"/>
        </w:numPr>
        <w:spacing w:before="120" w:after="160" w:line="259" w:lineRule="auto"/>
        <w:contextualSpacing/>
        <w:jc w:val="both"/>
        <w:rPr>
          <w:rFonts w:ascii="Times New Roman" w:hAnsi="Times New Roman" w:cs="Times New Roman"/>
          <w:noProof/>
          <w:sz w:val="24"/>
          <w:szCs w:val="24"/>
        </w:rPr>
      </w:pPr>
      <w:r>
        <w:rPr>
          <w:rFonts w:ascii="Times New Roman" w:hAnsi="Times New Roman"/>
          <w:noProof/>
          <w:sz w:val="24"/>
          <w:szCs w:val="24"/>
        </w:rPr>
        <w:t>внедряване на нов енергиен модел в сградния сектор, за да се насърчи потреблението на енергия от възобновяеми източници в сградите;</w:t>
      </w:r>
    </w:p>
    <w:p>
      <w:pPr>
        <w:numPr>
          <w:ilvl w:val="0"/>
          <w:numId w:val="27"/>
        </w:numPr>
        <w:spacing w:before="120" w:after="160" w:line="259" w:lineRule="auto"/>
        <w:contextualSpacing/>
        <w:jc w:val="both"/>
        <w:rPr>
          <w:rFonts w:ascii="Times New Roman" w:hAnsi="Times New Roman" w:cs="Times New Roman"/>
          <w:noProof/>
          <w:sz w:val="24"/>
          <w:szCs w:val="24"/>
        </w:rPr>
      </w:pPr>
      <w:r>
        <w:rPr>
          <w:rFonts w:ascii="Times New Roman" w:hAnsi="Times New Roman"/>
          <w:noProof/>
          <w:sz w:val="24"/>
          <w:szCs w:val="24"/>
        </w:rPr>
        <w:t>активиране и агрегиране на търсенето на рехабилитация;</w:t>
      </w:r>
    </w:p>
    <w:p>
      <w:pPr>
        <w:numPr>
          <w:ilvl w:val="0"/>
          <w:numId w:val="27"/>
        </w:numPr>
        <w:spacing w:before="120" w:after="160" w:line="259" w:lineRule="auto"/>
        <w:contextualSpacing/>
        <w:jc w:val="both"/>
        <w:rPr>
          <w:rFonts w:ascii="Times New Roman" w:hAnsi="Times New Roman" w:cs="Times New Roman"/>
          <w:noProof/>
          <w:sz w:val="24"/>
          <w:szCs w:val="24"/>
        </w:rPr>
      </w:pPr>
      <w:r>
        <w:rPr>
          <w:rFonts w:ascii="Times New Roman" w:hAnsi="Times New Roman"/>
          <w:noProof/>
          <w:sz w:val="24"/>
          <w:szCs w:val="24"/>
        </w:rPr>
        <w:t>подобряване на условията по отношение на предлагането чрез засилване на модернизацията на сектора на санирането чрез научни изследвания, развойна дейност и иновации, цифровизация и наблюдение, укрепване на уменията и обученията;</w:t>
      </w:r>
    </w:p>
    <w:p>
      <w:pPr>
        <w:numPr>
          <w:ilvl w:val="0"/>
          <w:numId w:val="27"/>
        </w:numPr>
        <w:spacing w:before="120" w:after="160" w:line="259" w:lineRule="auto"/>
        <w:contextualSpacing/>
        <w:jc w:val="both"/>
        <w:rPr>
          <w:rFonts w:ascii="Times New Roman" w:hAnsi="Times New Roman" w:cs="Times New Roman"/>
          <w:noProof/>
          <w:sz w:val="24"/>
          <w:szCs w:val="24"/>
        </w:rPr>
      </w:pPr>
      <w:r>
        <w:rPr>
          <w:rFonts w:ascii="Times New Roman" w:hAnsi="Times New Roman"/>
          <w:noProof/>
          <w:sz w:val="24"/>
          <w:szCs w:val="24"/>
        </w:rPr>
        <w:t>разпространяване на информация сред гражданите и предприятията и обмен на добри практики между администрациите; и</w:t>
      </w:r>
    </w:p>
    <w:p>
      <w:pPr>
        <w:numPr>
          <w:ilvl w:val="0"/>
          <w:numId w:val="27"/>
        </w:numPr>
        <w:spacing w:before="120" w:after="120" w:line="259" w:lineRule="auto"/>
        <w:ind w:left="714" w:hanging="357"/>
        <w:jc w:val="both"/>
        <w:rPr>
          <w:rFonts w:ascii="Times New Roman" w:eastAsia="Arial" w:hAnsi="Times New Roman" w:cs="Times New Roman"/>
          <w:noProof/>
          <w:sz w:val="24"/>
          <w:szCs w:val="24"/>
        </w:rPr>
      </w:pPr>
      <w:r>
        <w:rPr>
          <w:rFonts w:ascii="Times New Roman" w:hAnsi="Times New Roman"/>
          <w:noProof/>
          <w:sz w:val="24"/>
          <w:szCs w:val="24"/>
        </w:rPr>
        <w:t>разработване на статистически данни и показатели за наблюдение на финансираните с публични средства действия, така че публичните политики да могат да бъдат правилно оценени.</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Този стратегически документ ще позволи осъществяването на ERESEE в рамките на испанската програма за градовете, като се интегрират различните администрации (централни, регионални и местни).</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Изпълнението на мярката приключва до 30 юни 2023 г.</w:t>
      </w:r>
    </w:p>
    <w:p>
      <w:pPr>
        <w:spacing w:before="120" w:after="120" w:line="240" w:lineRule="auto"/>
        <w:jc w:val="both"/>
        <w:rPr>
          <w:rFonts w:ascii="Times New Roman" w:hAnsi="Times New Roman" w:cs="Times New Roman"/>
          <w:noProof/>
          <w:sz w:val="24"/>
          <w:u w:val="single"/>
        </w:rPr>
      </w:pPr>
      <w:r>
        <w:rPr>
          <w:rFonts w:ascii="Times New Roman" w:hAnsi="Times New Roman"/>
          <w:noProof/>
          <w:sz w:val="24"/>
          <w:u w:val="single"/>
        </w:rPr>
        <w:t>Реформа 2 (C2.R3) – Закон за жилищата</w:t>
      </w:r>
    </w:p>
    <w:p>
      <w:pPr>
        <w:spacing w:before="120" w:after="120" w:line="240" w:lineRule="auto"/>
        <w:jc w:val="both"/>
        <w:rPr>
          <w:rFonts w:ascii="Times New Roman" w:hAnsi="Times New Roman" w:cs="Times New Roman"/>
          <w:noProof/>
          <w:sz w:val="24"/>
        </w:rPr>
      </w:pPr>
      <w:r>
        <w:rPr>
          <w:rFonts w:ascii="Times New Roman" w:hAnsi="Times New Roman"/>
          <w:noProof/>
          <w:sz w:val="24"/>
        </w:rPr>
        <w:t>Целта на тази мярка е чрез Закона за жилищното настаняване да се приложи първи по рода си регламент в Испания, за да се разгледат различните инструменти за публично планиране, програмиране и сътрудничество, които вече са въведени в подкрепа на правото на достойно и подходящо жилищно настаняване. В него се разглеждат санирането и подобряването на съществуващия жилищен фонд, както обществен, така и частен, както и възстановяването и обновяването на жилищните среди, в които се намират, с цел подобряване на качеството на живот. Законът разглежда постигането на достатъчен обем жилищен фонд за отдаване под наем, който да е на разположение на достъпни цени.</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Законодателството разглежда различни инструменти за планиране, програмиране и сътрудничество, за да се гарантира осъществяването на правото на достойно и подходящо жилищно настаняване, включително, като един от приоритетите, санирането и подобряването на съществуващия жилищен фонд, както и възстановяването и обновяването на жилищната среда, в които се намират.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Освен това законът насърчава увеличаването на предлагането на достъпни и социални жилища, като гарантира спазването на изискванията, които понастоящем са определени за сгради с близко до нулево нетно потребление на енергия съгласно основния документ за енергоспестяване (DB-HE) от Техническия сграден кодекс (CTE) и избягва мерки, които биха могли да възпрепятстват предлагането на жилища в средносрочен план.</w:t>
      </w:r>
    </w:p>
    <w:p>
      <w:pPr>
        <w:spacing w:before="120" w:after="120" w:line="240" w:lineRule="auto"/>
        <w:jc w:val="both"/>
        <w:rPr>
          <w:rFonts w:ascii="Times New Roman" w:hAnsi="Times New Roman" w:cs="Times New Roman"/>
          <w:noProof/>
          <w:sz w:val="24"/>
        </w:rPr>
      </w:pPr>
      <w:r>
        <w:rPr>
          <w:rFonts w:ascii="Times New Roman" w:hAnsi="Times New Roman"/>
          <w:noProof/>
          <w:sz w:val="24"/>
          <w:szCs w:val="24"/>
        </w:rPr>
        <w:t>Изпълнението на реформата приключва до 30 септември 2022 г.</w:t>
      </w:r>
    </w:p>
    <w:p>
      <w:pPr>
        <w:spacing w:before="120" w:after="120" w:line="240" w:lineRule="auto"/>
        <w:jc w:val="both"/>
        <w:rPr>
          <w:rFonts w:ascii="Times New Roman" w:hAnsi="Times New Roman" w:cs="Times New Roman"/>
          <w:noProof/>
          <w:sz w:val="24"/>
          <w:u w:val="single"/>
        </w:rPr>
      </w:pPr>
      <w:r>
        <w:rPr>
          <w:rFonts w:ascii="Times New Roman" w:hAnsi="Times New Roman"/>
          <w:noProof/>
          <w:sz w:val="24"/>
          <w:u w:val="single"/>
        </w:rPr>
        <w:t>Реформа 3 (C2.R4) – Закон за качеството на архитектурата и строителната среда и нова национална стратегия за архитектурата</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Целта на този закон е да се обяви качеството на архитектурата и сградите за обществено благо, да се подобри качеството на живот, да се насърчат социалните корени на архитектурата, да се насърчи устойчивото развитие на градските райони и центрове, да се допринесе за икономическото и социалното развитие и да се опазва и опазва културното и природното наследство.</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За тази цел законът разглежда различни инициативи и действия, тясно свързани с програмите за саниране и обновяване в този компонент на испанския план за възстановяване и устойчивост. По-специално законът урежда: i) мерки за междуадминистративно сътрудничество в областта на възлагането на поръчки за архитектурни, инженерни и градоустройствени проекти и строителни работи; ii) инструменти за разпространение на добри практики и подкрепа, обучение и публично-частни партньорства; и iii) насърчаване на санирането от всеобхватна гледна точка, като описаната по-горе. </w:t>
      </w:r>
    </w:p>
    <w:p>
      <w:pPr>
        <w:spacing w:before="120" w:after="120" w:line="240" w:lineRule="auto"/>
        <w:jc w:val="both"/>
        <w:rPr>
          <w:rFonts w:ascii="Times New Roman" w:hAnsi="Times New Roman" w:cs="Times New Roman"/>
          <w:noProof/>
          <w:sz w:val="24"/>
        </w:rPr>
      </w:pPr>
      <w:r>
        <w:rPr>
          <w:rFonts w:ascii="Times New Roman" w:hAnsi="Times New Roman"/>
          <w:noProof/>
          <w:sz w:val="24"/>
          <w:szCs w:val="24"/>
        </w:rPr>
        <w:t>Изпълнението на реформата приключва до 30 септември 2022 г.</w:t>
      </w:r>
    </w:p>
    <w:p>
      <w:pPr>
        <w:spacing w:before="120" w:after="120" w:line="240" w:lineRule="auto"/>
        <w:jc w:val="both"/>
        <w:rPr>
          <w:rFonts w:ascii="Times New Roman" w:hAnsi="Times New Roman" w:cs="Times New Roman"/>
          <w:noProof/>
          <w:sz w:val="24"/>
          <w:u w:val="single"/>
        </w:rPr>
      </w:pPr>
      <w:r>
        <w:rPr>
          <w:rFonts w:ascii="Times New Roman" w:hAnsi="Times New Roman"/>
          <w:noProof/>
          <w:sz w:val="24"/>
          <w:u w:val="single"/>
        </w:rPr>
        <w:t>Реформа 4 (C2.R5) – Служби по саниране („обслужване на едно гише“)</w:t>
      </w:r>
    </w:p>
    <w:p>
      <w:pPr>
        <w:spacing w:before="120" w:after="120" w:line="240" w:lineRule="auto"/>
        <w:jc w:val="both"/>
        <w:rPr>
          <w:rFonts w:ascii="Times New Roman" w:hAnsi="Times New Roman" w:cs="Times New Roman"/>
          <w:noProof/>
          <w:sz w:val="24"/>
        </w:rPr>
      </w:pPr>
      <w:r>
        <w:rPr>
          <w:rFonts w:ascii="Times New Roman" w:hAnsi="Times New Roman"/>
          <w:noProof/>
          <w:sz w:val="24"/>
        </w:rPr>
        <w:t>Целта на тази мярка е да се насърчат и разширят местните служби по саниране, създадени в някои общини, които да подпомагат домакинствата и общностите на собствениците в изключително сложните задачи по санирането на жилищна сграда.</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За тази цел тази мярка допълнително насърчава и разширява този подход чрез установяване на процес за осигуряване на ефективно взаимодействие и сътрудничество между централните, регионалните и/или местните органи на управление. Това включва засилване на координацията на цялата публична подкрепа (на централно, регионално или местно равнище). Всички равнища на управление участват в тези звена за обслужване на едно гише, за да се увеличи максимално ефективността на действията за саниране.</w:t>
      </w:r>
    </w:p>
    <w:p>
      <w:pPr>
        <w:spacing w:before="120" w:after="120" w:line="240" w:lineRule="auto"/>
        <w:jc w:val="both"/>
        <w:rPr>
          <w:rFonts w:ascii="Times New Roman" w:hAnsi="Times New Roman" w:cs="Times New Roman"/>
          <w:noProof/>
          <w:sz w:val="24"/>
        </w:rPr>
      </w:pPr>
      <w:r>
        <w:rPr>
          <w:rFonts w:ascii="Times New Roman" w:hAnsi="Times New Roman"/>
          <w:noProof/>
          <w:sz w:val="24"/>
          <w:szCs w:val="24"/>
        </w:rPr>
        <w:t>Изпълнението на реформата приключва до 30 септември 2021 г.</w:t>
      </w:r>
    </w:p>
    <w:p>
      <w:pPr>
        <w:spacing w:before="120" w:after="120" w:line="240" w:lineRule="auto"/>
        <w:jc w:val="both"/>
        <w:rPr>
          <w:rFonts w:ascii="Times New Roman" w:hAnsi="Times New Roman" w:cs="Times New Roman"/>
          <w:noProof/>
          <w:sz w:val="24"/>
          <w:u w:val="single"/>
        </w:rPr>
      </w:pPr>
      <w:r>
        <w:rPr>
          <w:rFonts w:ascii="Times New Roman" w:hAnsi="Times New Roman"/>
          <w:noProof/>
          <w:sz w:val="24"/>
          <w:u w:val="single"/>
        </w:rPr>
        <w:t>Реформа 5 (C2.R6) – Подобрено финансиране за дейности по саниране</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Целта на тази мярка е да се преодолеят една от основните пречки пред започването на дейността по саниране, а именно достъпът до финансиране при благоприятни условия. За получаването на одобрен заем за обновяване, понякога е необходимо да се предостави индивидуален личен заем на всеки отделен собственик в рамките на дадена сграда. Това представлява пречка за основното и интегрирано саниране на сградите.</w:t>
      </w:r>
    </w:p>
    <w:p>
      <w:pPr>
        <w:spacing w:before="120" w:after="120" w:line="240" w:lineRule="auto"/>
        <w:jc w:val="both"/>
        <w:rPr>
          <w:rFonts w:ascii="Times New Roman" w:hAnsi="Times New Roman" w:cs="Times New Roman"/>
          <w:noProof/>
          <w:sz w:val="24"/>
        </w:rPr>
      </w:pPr>
      <w:r>
        <w:rPr>
          <w:rFonts w:ascii="Times New Roman" w:hAnsi="Times New Roman"/>
          <w:noProof/>
          <w:sz w:val="24"/>
        </w:rPr>
        <w:t>За да бъде отстранен този проблем, с мярката:</w:t>
      </w:r>
    </w:p>
    <w:p>
      <w:pPr>
        <w:numPr>
          <w:ilvl w:val="0"/>
          <w:numId w:val="28"/>
        </w:numPr>
        <w:autoSpaceDE w:val="0"/>
        <w:autoSpaceDN w:val="0"/>
        <w:adjustRightInd w:val="0"/>
        <w:spacing w:before="120" w:after="120" w:line="240" w:lineRule="auto"/>
        <w:ind w:left="714" w:hanging="357"/>
        <w:contextualSpacing/>
        <w:jc w:val="both"/>
        <w:rPr>
          <w:rFonts w:ascii="Times New Roman" w:eastAsia="Arial" w:hAnsi="Times New Roman" w:cs="Times New Roman"/>
          <w:noProof/>
          <w:sz w:val="24"/>
          <w:szCs w:val="24"/>
        </w:rPr>
      </w:pPr>
      <w:r>
        <w:rPr>
          <w:rFonts w:ascii="Times New Roman" w:hAnsi="Times New Roman"/>
          <w:noProof/>
          <w:sz w:val="24"/>
          <w:szCs w:val="24"/>
        </w:rPr>
        <w:t xml:space="preserve">се създава нов гаранционен ред </w:t>
      </w:r>
      <w:r>
        <w:rPr>
          <w:rFonts w:ascii="Times New Roman" w:hAnsi="Times New Roman"/>
          <w:i/>
          <w:noProof/>
          <w:sz w:val="24"/>
          <w:szCs w:val="24"/>
        </w:rPr>
        <w:t>Instituto de Crédito Oficial</w:t>
      </w:r>
      <w:r>
        <w:rPr>
          <w:rFonts w:ascii="Times New Roman" w:hAnsi="Times New Roman"/>
          <w:noProof/>
          <w:sz w:val="24"/>
          <w:szCs w:val="24"/>
        </w:rPr>
        <w:t xml:space="preserve"> (ICO) за частично покриване на риска от заеми, отпуснати от частни финансови институции за саниране на жилищни сгради;</w:t>
      </w:r>
    </w:p>
    <w:p>
      <w:pPr>
        <w:numPr>
          <w:ilvl w:val="0"/>
          <w:numId w:val="28"/>
        </w:numPr>
        <w:autoSpaceDE w:val="0"/>
        <w:autoSpaceDN w:val="0"/>
        <w:adjustRightInd w:val="0"/>
        <w:spacing w:before="120" w:after="120" w:line="240" w:lineRule="auto"/>
        <w:ind w:left="714" w:hanging="357"/>
        <w:contextualSpacing/>
        <w:jc w:val="both"/>
        <w:rPr>
          <w:rFonts w:ascii="Times New Roman" w:eastAsia="Arial" w:hAnsi="Times New Roman" w:cs="Times New Roman"/>
          <w:noProof/>
          <w:sz w:val="24"/>
          <w:szCs w:val="24"/>
        </w:rPr>
      </w:pPr>
      <w:r>
        <w:rPr>
          <w:rFonts w:ascii="Times New Roman" w:hAnsi="Times New Roman"/>
          <w:noProof/>
          <w:sz w:val="24"/>
          <w:szCs w:val="24"/>
        </w:rPr>
        <w:t>насърчава се приемането на специфични регулаторни разпоредби, включително реформата на хоризонталното право на собственост, за да се подобри достъпът до финансиране за общностите на собствениците; и</w:t>
      </w:r>
    </w:p>
    <w:p>
      <w:pPr>
        <w:numPr>
          <w:ilvl w:val="0"/>
          <w:numId w:val="28"/>
        </w:numPr>
        <w:autoSpaceDE w:val="0"/>
        <w:autoSpaceDN w:val="0"/>
        <w:adjustRightInd w:val="0"/>
        <w:spacing w:before="120" w:after="120" w:line="240" w:lineRule="auto"/>
        <w:jc w:val="both"/>
        <w:rPr>
          <w:rFonts w:ascii="Times New Roman" w:eastAsia="Arial" w:hAnsi="Times New Roman" w:cs="Times New Roman"/>
          <w:noProof/>
          <w:sz w:val="24"/>
          <w:szCs w:val="24"/>
        </w:rPr>
      </w:pPr>
      <w:r>
        <w:rPr>
          <w:rFonts w:ascii="Times New Roman" w:hAnsi="Times New Roman"/>
          <w:noProof/>
          <w:color w:val="000000"/>
          <w:sz w:val="24"/>
          <w:szCs w:val="24"/>
        </w:rPr>
        <w:t>насърчава се въвеждането на екологосъобразно финансиране от страна на финансовите институции.</w:t>
      </w:r>
    </w:p>
    <w:p>
      <w:pPr>
        <w:autoSpaceDE w:val="0"/>
        <w:autoSpaceDN w:val="0"/>
        <w:adjustRightInd w:val="0"/>
        <w:spacing w:before="120" w:after="120" w:line="240" w:lineRule="auto"/>
        <w:jc w:val="both"/>
        <w:rPr>
          <w:rFonts w:ascii="Times New Roman" w:eastAsia="Arial" w:hAnsi="Times New Roman" w:cs="Times New Roman"/>
          <w:noProof/>
          <w:sz w:val="24"/>
          <w:szCs w:val="24"/>
        </w:rPr>
      </w:pPr>
      <w:r>
        <w:rPr>
          <w:rFonts w:ascii="Times New Roman" w:hAnsi="Times New Roman"/>
          <w:noProof/>
          <w:sz w:val="24"/>
          <w:szCs w:val="24"/>
        </w:rPr>
        <w:t>Изпълнението на реформата приключва до 30 септември 2022 г.</w:t>
      </w:r>
    </w:p>
    <w:p>
      <w:pPr>
        <w:spacing w:before="120" w:after="120" w:line="240" w:lineRule="auto"/>
        <w:jc w:val="both"/>
        <w:rPr>
          <w:rFonts w:ascii="Times New Roman" w:hAnsi="Times New Roman" w:cs="Times New Roman"/>
          <w:noProof/>
          <w:sz w:val="24"/>
          <w:u w:val="single"/>
        </w:rPr>
      </w:pPr>
      <w:r>
        <w:rPr>
          <w:rFonts w:ascii="Times New Roman" w:hAnsi="Times New Roman"/>
          <w:noProof/>
          <w:sz w:val="24"/>
          <w:u w:val="single"/>
        </w:rPr>
        <w:t>Инвестиция 1 (C2.I1) – Програма за възстановяване за икономическо и социално възстановяване в жилищна среда</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Целта на тази мярка е да се подпомогне санирането с цел повишаване на енергийната ефективност в жилищни сгради и квартали. С действията по тази мярка се изпълняват най-малко 510 000 действия за саниране в най-малко 355 000 отделни жилища, като се постига средно намаление на потреблението на първична енергия с най-малко 30 %, потвърдено със сертификати за енергийни характеристики. Подкрепят се следните действия:</w:t>
      </w:r>
    </w:p>
    <w:p>
      <w:pPr>
        <w:numPr>
          <w:ilvl w:val="0"/>
          <w:numId w:val="25"/>
        </w:numPr>
        <w:spacing w:before="120" w:after="120" w:line="240" w:lineRule="auto"/>
        <w:ind w:left="714" w:hanging="357"/>
        <w:contextualSpacing/>
        <w:jc w:val="both"/>
        <w:rPr>
          <w:rFonts w:ascii="Times New Roman" w:hAnsi="Times New Roman" w:cs="Times New Roman"/>
          <w:noProof/>
          <w:sz w:val="24"/>
          <w:szCs w:val="24"/>
        </w:rPr>
      </w:pPr>
      <w:r>
        <w:rPr>
          <w:rFonts w:ascii="Times New Roman" w:hAnsi="Times New Roman"/>
          <w:noProof/>
          <w:sz w:val="24"/>
          <w:szCs w:val="24"/>
        </w:rPr>
        <w:t xml:space="preserve">Програма за подпомагане на енергийното саниране на равнището на кварталите чрез предоставяне на безвъзмездни средства и друга подкрепа със средно 20 000 EUR на жилище. С програмата се санират най-малко 600 хектара градски райони, като се постига средно намаление на потреблението на първична енергия с най-малко 30 %, потвърдено със сертификати за енергийни характеристики. Действията включват подобряване на енергийната ефективност, разгръщане на инфраструктура за електрическа мобилност, подобряване на достъпността на сградите и премахване на опасните вещества. Най-много 15 % от мярката са предназначени за подобрения на равнището на кварталите, като например подобряване на осветлението на открито, велосипедни алеи, екологосъобразна инфраструктура и дренажни системи, като се отчита социално-икономическата характеристика на квартала. </w:t>
      </w:r>
    </w:p>
    <w:p>
      <w:pPr>
        <w:numPr>
          <w:ilvl w:val="0"/>
          <w:numId w:val="25"/>
        </w:numPr>
        <w:spacing w:before="120" w:after="120" w:line="240" w:lineRule="auto"/>
        <w:ind w:left="714" w:hanging="357"/>
        <w:contextualSpacing/>
        <w:jc w:val="both"/>
        <w:rPr>
          <w:rFonts w:ascii="Times New Roman" w:hAnsi="Times New Roman" w:cs="Times New Roman"/>
          <w:noProof/>
          <w:sz w:val="24"/>
          <w:szCs w:val="24"/>
        </w:rPr>
      </w:pPr>
      <w:r>
        <w:rPr>
          <w:rFonts w:ascii="Times New Roman" w:hAnsi="Times New Roman"/>
          <w:noProof/>
          <w:sz w:val="24"/>
          <w:szCs w:val="24"/>
        </w:rPr>
        <w:t>Програма за подпомагане на енергийното саниране на жилищни сгради чрез предоставяне на безвъзмездни средства в размер средно на 15 000 EUR на жилище. Равнището на подкрепа е по-високо за онези действия, за които намаляването на търсенето на първична енергия е по-голямо, и за домакинствата с ниски доходи. Действията включват подобряване на енергийната ефективност, разгръщане на инфраструктура за електрическа мобилност, подобряване на достъпността на сградите и премахване на опасните вещества.</w:t>
      </w:r>
    </w:p>
    <w:p>
      <w:pPr>
        <w:numPr>
          <w:ilvl w:val="0"/>
          <w:numId w:val="25"/>
        </w:numPr>
        <w:spacing w:before="120" w:after="120" w:line="240" w:lineRule="auto"/>
        <w:ind w:left="709"/>
        <w:jc w:val="both"/>
        <w:rPr>
          <w:rFonts w:ascii="Times New Roman" w:hAnsi="Times New Roman" w:cs="Times New Roman"/>
          <w:noProof/>
          <w:sz w:val="24"/>
          <w:szCs w:val="24"/>
        </w:rPr>
      </w:pPr>
      <w:r>
        <w:rPr>
          <w:rFonts w:ascii="Times New Roman" w:hAnsi="Times New Roman"/>
          <w:noProof/>
          <w:sz w:val="24"/>
          <w:szCs w:val="24"/>
        </w:rPr>
        <w:t>В набор от дейности се разглеждат стимулите за енергийно саниране. Това включва, наред с другото, i) възможността за приспадане на санирането от данъка върху доходите на физическите лица, ако е постигнато поне 30 % намаление на търсенето на първична енергия и ii) подобряването на рамката за финансиране чрез насърчаване на публично-частни партньорства.</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С кралски указ се определят техническите изисквания за осигуряване на съответствие със средното намаление от 30 % на потреблението на първична енергия. Измененията на данъка върху доходите на физическите лица се одобряват с кралски указ-закон и имат за цел да определят данъчните стимули за дейностите по обновяване на сградите с цел подобряване на енергийната ефективност.</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Изпълнението на инвестицията приключва до 30 юни 2026 г.</w:t>
      </w:r>
    </w:p>
    <w:p>
      <w:pPr>
        <w:spacing w:before="120" w:after="120" w:line="240" w:lineRule="auto"/>
        <w:jc w:val="both"/>
        <w:rPr>
          <w:rFonts w:ascii="Times New Roman" w:hAnsi="Times New Roman" w:cs="Times New Roman"/>
          <w:noProof/>
          <w:sz w:val="24"/>
          <w:u w:val="single"/>
        </w:rPr>
      </w:pPr>
      <w:r>
        <w:rPr>
          <w:rFonts w:ascii="Times New Roman" w:hAnsi="Times New Roman"/>
          <w:noProof/>
          <w:sz w:val="24"/>
          <w:u w:val="single"/>
        </w:rPr>
        <w:t>Инвестиция 2 (C2.I2) – Програма за строителство на социални жилища под наем в енергийно ефективни сгради</w:t>
      </w:r>
    </w:p>
    <w:p>
      <w:pPr>
        <w:spacing w:before="120" w:after="120" w:line="240" w:lineRule="auto"/>
        <w:jc w:val="both"/>
        <w:rPr>
          <w:rFonts w:ascii="Times New Roman" w:hAnsi="Times New Roman" w:cs="Times New Roman"/>
          <w:noProof/>
          <w:sz w:val="24"/>
        </w:rPr>
      </w:pPr>
      <w:r>
        <w:rPr>
          <w:rFonts w:ascii="Times New Roman" w:hAnsi="Times New Roman"/>
          <w:noProof/>
          <w:sz w:val="24"/>
        </w:rPr>
        <w:t>Целта на тази мярка е да се построят най-малко 20 000 нови жилища за целите на социалното отдаване под наем на достъпни цени в съответствие с критериите за енергийна ефективност. Те се изграждат по-специално в райони, в които социалното жилищно настаняване понастоящем е недостатъчно, и на земя, която е публична собственост.</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Потреблението на първична енергия на социалните жилища трябва да бъде най-малко с 20 % по-ниско от изискванията за сгради с близко до нулево нетно потребление на енергия. За тази цел кралски указ определя техническите изисквания за ограничаване на потреблението на първична енергия до 80 % от лимита, определен в раздел HE 0 от основния документ за енергоспестяване (DB-HE) от Техническия сграден кодекс (CTE).</w:t>
      </w:r>
    </w:p>
    <w:p>
      <w:pPr>
        <w:spacing w:before="120" w:after="120" w:line="240" w:lineRule="auto"/>
        <w:jc w:val="both"/>
        <w:rPr>
          <w:rFonts w:ascii="Times New Roman" w:hAnsi="Times New Roman" w:cs="Times New Roman"/>
          <w:noProof/>
          <w:sz w:val="24"/>
        </w:rPr>
      </w:pPr>
      <w:r>
        <w:rPr>
          <w:rFonts w:ascii="Times New Roman" w:hAnsi="Times New Roman"/>
          <w:noProof/>
          <w:sz w:val="24"/>
        </w:rPr>
        <w:t>Изпълнението на инвестицията приключва до 30 юни 2026 г.</w:t>
      </w:r>
    </w:p>
    <w:p>
      <w:pPr>
        <w:spacing w:before="120" w:after="120" w:line="240" w:lineRule="auto"/>
        <w:jc w:val="both"/>
        <w:rPr>
          <w:rFonts w:ascii="Times New Roman" w:hAnsi="Times New Roman" w:cs="Times New Roman"/>
          <w:noProof/>
          <w:sz w:val="24"/>
          <w:u w:val="single"/>
        </w:rPr>
      </w:pPr>
      <w:r>
        <w:rPr>
          <w:rFonts w:ascii="Times New Roman" w:hAnsi="Times New Roman"/>
          <w:noProof/>
          <w:sz w:val="24"/>
          <w:u w:val="single"/>
        </w:rPr>
        <w:t>Инвестиция 3 (C2.I3) – Програма за енергийно саниране на сгради</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Целта на тази мярка е да се подпомогне енергийното саниране на еквивалент на най-малко 40 000 жилищни сгради и 690 000 m</w:t>
      </w:r>
      <w:r>
        <w:rPr>
          <w:rFonts w:ascii="Times New Roman" w:hAnsi="Times New Roman"/>
          <w:noProof/>
          <w:sz w:val="24"/>
          <w:szCs w:val="24"/>
          <w:vertAlign w:val="superscript"/>
        </w:rPr>
        <w:t>²</w:t>
      </w:r>
      <w:r>
        <w:rPr>
          <w:rFonts w:ascii="Times New Roman" w:hAnsi="Times New Roman"/>
          <w:noProof/>
          <w:sz w:val="24"/>
          <w:szCs w:val="24"/>
        </w:rPr>
        <w:t xml:space="preserve"> нежилищни сгради, както и чрез подобряване на енергийната ефективност и интегриране на енергията от възобновяеми източници. Програмата подпомага само енергията от възобновяеми източници, с изключение на изкопаемите горива, осигурява по-висок интензитет на помощта за енергийните общности и дава възможност за предварително финансиране на дейностите по саниране. Конкретните действия обхващат подобряването на енергийната ефективност чрез топлинна изолация, използването на енергия от възобновяеми източници в отоплителните и охладителните системи и подобряването на осветителната система. Предвиден е критерий за допустимост, съгласно който средно намаление на потреблението на първична енергия с най-малко 30 % се удостоверява чрез сертификати за енергийни характеристики.</w:t>
      </w:r>
    </w:p>
    <w:p>
      <w:pPr>
        <w:spacing w:before="120" w:after="120" w:line="240" w:lineRule="auto"/>
        <w:jc w:val="both"/>
        <w:rPr>
          <w:rFonts w:ascii="Times New Roman" w:hAnsi="Times New Roman" w:cs="Times New Roman"/>
          <w:noProof/>
          <w:sz w:val="24"/>
        </w:rPr>
      </w:pPr>
      <w:r>
        <w:rPr>
          <w:rFonts w:ascii="Times New Roman" w:hAnsi="Times New Roman"/>
          <w:noProof/>
          <w:sz w:val="24"/>
        </w:rPr>
        <w:t>Изпълнението на инвестицията приключва до 30 юни 2026 г.</w:t>
      </w:r>
    </w:p>
    <w:p>
      <w:pPr>
        <w:spacing w:before="120" w:after="120" w:line="240" w:lineRule="auto"/>
        <w:jc w:val="both"/>
        <w:rPr>
          <w:rFonts w:ascii="Times New Roman" w:hAnsi="Times New Roman" w:cs="Times New Roman"/>
          <w:noProof/>
          <w:sz w:val="24"/>
          <w:u w:val="single"/>
        </w:rPr>
      </w:pPr>
      <w:r>
        <w:rPr>
          <w:rFonts w:ascii="Times New Roman" w:hAnsi="Times New Roman"/>
          <w:noProof/>
          <w:sz w:val="24"/>
          <w:u w:val="single"/>
        </w:rPr>
        <w:t>Инвестиция 4 (C2.I4) – Програма за обновяване и демографско предизвикателство</w:t>
      </w:r>
    </w:p>
    <w:p>
      <w:pPr>
        <w:spacing w:before="120" w:after="120" w:line="240" w:lineRule="auto"/>
        <w:jc w:val="both"/>
        <w:rPr>
          <w:rFonts w:ascii="Times New Roman" w:hAnsi="Times New Roman" w:cs="Times New Roman"/>
          <w:noProof/>
          <w:sz w:val="24"/>
        </w:rPr>
      </w:pPr>
      <w:r>
        <w:rPr>
          <w:rFonts w:ascii="Times New Roman" w:hAnsi="Times New Roman"/>
          <w:noProof/>
          <w:sz w:val="24"/>
        </w:rPr>
        <w:t>Целта на тази мярка е да се подпомогне санирането на сгради в общини и градски райони с по-малко от 5 000 жители. Действията включват подобряване на енергийната ефективност на сградите, публичното оборудване и инфраструктура, производството и потреблението на енергия от възобновяеми източници, потреблението на собствена енергия и местните енергийни общности на собственици, както и устойчивата мобилност (като например електрически станции за зареждане). Ще се провеждат се два вида действия:</w:t>
      </w:r>
    </w:p>
    <w:p>
      <w:pPr>
        <w:numPr>
          <w:ilvl w:val="0"/>
          <w:numId w:val="26"/>
        </w:numPr>
        <w:spacing w:before="120" w:after="120" w:line="240" w:lineRule="auto"/>
        <w:ind w:left="714" w:hanging="357"/>
        <w:contextualSpacing/>
        <w:jc w:val="both"/>
        <w:rPr>
          <w:rFonts w:ascii="Times New Roman" w:hAnsi="Times New Roman" w:cs="Times New Roman"/>
          <w:noProof/>
          <w:sz w:val="24"/>
          <w:szCs w:val="24"/>
        </w:rPr>
      </w:pPr>
      <w:r>
        <w:rPr>
          <w:rFonts w:ascii="Times New Roman" w:hAnsi="Times New Roman"/>
          <w:noProof/>
          <w:sz w:val="24"/>
          <w:szCs w:val="24"/>
        </w:rPr>
        <w:t xml:space="preserve">Що се отнася до енергийната ефективност, най-малко 26 000 енергийни санирания ще се извършват в жилищни сгради, като се постига средно намаление на потреблението на първична енергия с най-малко 30 %, потвърдено със сертификати за енергийни характеристики. </w:t>
      </w:r>
    </w:p>
    <w:p>
      <w:pPr>
        <w:numPr>
          <w:ilvl w:val="0"/>
          <w:numId w:val="26"/>
        </w:num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Най-малко 250 отделни проекта за чиста енергия се изпълняват чрез конкурентни тръжни процедури или инвестиции от местните органи в следните области: i) инсталиране на електрическа енергия, топлинна енергия и енергия за охлаждане от възобновяеми източници за обществени сгради или инфраструктура (включително поне 80 % собствено потребление); ii) енергийно саниране на обществени сгради или инфраструктура (постигане на най-малко 30 % икономии на първична енергия, потвърдени със сертификати за енергийни характеристики); iii) устойчива мобилност (проекти за преминаване към други видове транспорт или за електрическа мобилност); iv) намаляване на светлинното замърсяване чрез подобряване на общественото осветление; и v) местни енергийни общности или други ръководени от общностите проекти в тези общини.</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За тази цел регулаторните основи и поканата за предоставяне на инвестиционна помощ, предназначена за местните органи, се публикуват в Официален вестник. </w:t>
      </w:r>
    </w:p>
    <w:p>
      <w:pPr>
        <w:spacing w:before="120" w:after="120" w:line="240" w:lineRule="auto"/>
        <w:jc w:val="both"/>
        <w:rPr>
          <w:rFonts w:ascii="Times New Roman" w:hAnsi="Times New Roman" w:cs="Times New Roman"/>
          <w:noProof/>
          <w:sz w:val="24"/>
        </w:rPr>
      </w:pPr>
      <w:r>
        <w:rPr>
          <w:rFonts w:ascii="Times New Roman" w:hAnsi="Times New Roman"/>
          <w:noProof/>
          <w:sz w:val="24"/>
        </w:rPr>
        <w:t>Изпълнението на инвестицията приключва до 30 юни 2026 г.</w:t>
      </w:r>
    </w:p>
    <w:p>
      <w:pPr>
        <w:spacing w:before="120" w:after="120" w:line="240" w:lineRule="auto"/>
        <w:jc w:val="both"/>
        <w:rPr>
          <w:rFonts w:ascii="Times New Roman" w:hAnsi="Times New Roman" w:cs="Times New Roman"/>
          <w:noProof/>
          <w:sz w:val="24"/>
          <w:u w:val="single"/>
        </w:rPr>
      </w:pPr>
      <w:r>
        <w:rPr>
          <w:rFonts w:ascii="Times New Roman" w:hAnsi="Times New Roman"/>
          <w:noProof/>
          <w:sz w:val="24"/>
          <w:u w:val="single"/>
        </w:rPr>
        <w:t>Инвестиция 5 (C2.I5) – Програма за саниране на обществени сгради</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Целта на тази мярка е да се подпомогне енергийното саниране на обществени сгради, включително в публичната администрация, образованието, социалните грижи, спорта, здравеопазването, културата или обществените услуги. Ще бъдат санирани най-малко 1 230 000 m</w:t>
      </w:r>
      <w:r>
        <w:rPr>
          <w:rFonts w:ascii="Times New Roman" w:hAnsi="Times New Roman"/>
          <w:noProof/>
          <w:sz w:val="24"/>
          <w:szCs w:val="24"/>
          <w:vertAlign w:val="superscript"/>
        </w:rPr>
        <w:t>²</w:t>
      </w:r>
      <w:r>
        <w:rPr>
          <w:rFonts w:ascii="Times New Roman" w:hAnsi="Times New Roman"/>
          <w:noProof/>
          <w:sz w:val="24"/>
          <w:szCs w:val="24"/>
        </w:rPr>
        <w:t xml:space="preserve"> обществени сгради, като се постига средно намаление на потреблението на първична енергия с най-малко 30 %, потвърдено със сертификати за енергийни характеристики. Мярката подкрепя: i) подобрения в използването на вода, материали, управление на отпадъците и адаптиране към изменението на климата; ii) подобрения в достъпността на сградите; iii) отстраняване на опасни вещества и подобряване на качеството на въздуха в помещенията; и iv) опазването на сградите. </w:t>
      </w:r>
    </w:p>
    <w:p>
      <w:pPr>
        <w:spacing w:before="120" w:after="120" w:line="240" w:lineRule="auto"/>
        <w:jc w:val="both"/>
        <w:rPr>
          <w:rFonts w:ascii="Times New Roman" w:hAnsi="Times New Roman" w:cs="Times New Roman"/>
          <w:noProof/>
          <w:sz w:val="24"/>
        </w:rPr>
      </w:pPr>
      <w:r>
        <w:rPr>
          <w:rFonts w:ascii="Times New Roman" w:hAnsi="Times New Roman"/>
          <w:noProof/>
          <w:sz w:val="24"/>
        </w:rPr>
        <w:t>Изпълнението на инвестицията приключва до 30 юни 2026 г.</w:t>
      </w:r>
    </w:p>
    <w:p>
      <w:pPr>
        <w:spacing w:before="120" w:after="120" w:line="240" w:lineRule="auto"/>
        <w:jc w:val="both"/>
        <w:rPr>
          <w:rFonts w:ascii="Times New Roman" w:hAnsi="Times New Roman" w:cs="Times New Roman"/>
          <w:noProof/>
          <w:sz w:val="24"/>
          <w:u w:val="single"/>
        </w:rPr>
      </w:pPr>
      <w:r>
        <w:rPr>
          <w:rFonts w:ascii="Times New Roman" w:hAnsi="Times New Roman"/>
          <w:noProof/>
          <w:sz w:val="24"/>
          <w:u w:val="single"/>
        </w:rPr>
        <w:t>Инвестиция 6 (C2.I6) – Програма за подкрепа на разработването на пилотни проекти за местни планове за действие на испанската програма за градовете</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Целта на тази мярка е да се подпомогнат местните органи при изпълнението на десетте стратегически цели на испанската програма за градовете чрез одобряване на най-малко 100 местни плана за действие. Десетте стратегически цели на испанската програма за градовете са: i) планиране на земеползването и използването му по-рационално, като се опазва и защитава; ii) избягване на стихийната урбанизация и съживяване на съществуващите градове; iii) предотвратяване и намаляване на въздействието на изменението на климата и устойчивост; iv) устойчиво използване на ресурсите и насърчаване на кръговата икономика; v) насърчаване на близостта и устойчивата мобилност; vi) насърчаване на социалното сближаване и стремеж към равенство; vii) популяризиране и насърчаване на градската икономика; viii) осигуряване на достъп до жилищно настаняване; ix) ръководене и насърчаване на цифровите иновации; и x) подобряване на инструментите за участие и управление.</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Мярката служи i) като модел за подражание и ръководство за други местни органи при разработването на техните собствени планове за действие; ii) изпълнение на испанската програма за градовете с планове за действие на местно равнище; и iii) изпълнение на конкретни проекти като част от местните планове за действие, за да се изпъкне потенциалът на испанската програма за градовете. Подкрепата се предоставя чрез конкурентни тръжни процедури и включва по-специално междусекторни и интегрирани проекти със стратегическа визия и чрез модел на управление, който гарантира възможно най-широко участие.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Инвестициите по тази мярка приключват до 31 декември 2022 г.</w:t>
      </w:r>
    </w:p>
    <w:p>
      <w:pPr>
        <w:spacing w:before="120" w:after="120" w:line="240" w:lineRule="auto"/>
        <w:ind w:left="709"/>
        <w:jc w:val="both"/>
        <w:rPr>
          <w:rFonts w:ascii="Times New Roman" w:hAnsi="Times New Roman" w:cs="Times New Roman"/>
          <w:b/>
          <w:noProof/>
          <w:sz w:val="24"/>
          <w:u w:val="single"/>
        </w:rPr>
      </w:pPr>
      <w:r>
        <w:rPr>
          <w:rFonts w:ascii="Times New Roman" w:hAnsi="Times New Roman"/>
          <w:b/>
          <w:bCs/>
          <w:noProof/>
          <w:sz w:val="24"/>
          <w:u w:val="single"/>
        </w:rPr>
        <w:t xml:space="preserve">Б.2. </w:t>
      </w:r>
      <w:r>
        <w:rPr>
          <w:rFonts w:ascii="Times New Roman" w:hAnsi="Times New Roman"/>
          <w:b/>
          <w:noProof/>
          <w:sz w:val="24"/>
          <w:u w:val="single"/>
        </w:rPr>
        <w:tab/>
      </w:r>
      <w:r>
        <w:rPr>
          <w:rFonts w:ascii="Times New Roman" w:hAnsi="Times New Roman"/>
          <w:b/>
          <w:bCs/>
          <w:noProof/>
          <w:sz w:val="24"/>
          <w:u w:val="single"/>
        </w:rPr>
        <w:t>Ключови етапи, цели, показатели и график за мониторинг и изпълнение на безвъзмездната финансова подкрепа</w:t>
      </w:r>
    </w:p>
    <w:p>
      <w:pPr>
        <w:spacing w:before="120" w:after="120" w:line="240" w:lineRule="auto"/>
        <w:jc w:val="both"/>
        <w:rPr>
          <w:rFonts w:ascii="Times New Roman" w:hAnsi="Times New Roman" w:cs="Times New Roman"/>
          <w:noProof/>
          <w:sz w:val="24"/>
          <w:szCs w:val="24"/>
        </w:rPr>
        <w:sectPr>
          <w:headerReference w:type="even" r:id="rId31"/>
          <w:headerReference w:type="default" r:id="rId32"/>
          <w:footerReference w:type="even" r:id="rId33"/>
          <w:footerReference w:type="default" r:id="rId34"/>
          <w:headerReference w:type="first" r:id="rId35"/>
          <w:footerReference w:type="first" r:id="rId36"/>
          <w:pgSz w:w="11907" w:h="16839"/>
          <w:pgMar w:top="1134" w:right="1417" w:bottom="1134" w:left="1417" w:header="709" w:footer="709" w:gutter="0"/>
          <w:cols w:space="720"/>
          <w:docGrid w:linePitch="360"/>
        </w:sectPr>
      </w:pPr>
      <w:r>
        <w:rPr>
          <w:rFonts w:ascii="Times New Roman" w:hAnsi="Times New Roman"/>
          <w:i/>
          <w:noProof/>
          <w:color w:val="000000"/>
          <w:sz w:val="24"/>
          <w:szCs w:val="24"/>
        </w:rPr>
        <w:t>Вж. таблицата по-долу.</w:t>
      </w:r>
      <w:r>
        <w:rPr>
          <w:rFonts w:ascii="Times New Roman" w:hAnsi="Times New Roman"/>
          <w:noProof/>
          <w:color w:val="1F497D"/>
          <w:sz w:val="24"/>
          <w:szCs w:val="24"/>
        </w:rPr>
        <w:t xml:space="preserve"> </w:t>
      </w:r>
      <w:r>
        <w:rPr>
          <w:rFonts w:ascii="Times New Roman" w:hAnsi="Times New Roman"/>
          <w:i/>
          <w:noProof/>
          <w:color w:val="000000"/>
          <w:sz w:val="24"/>
          <w:szCs w:val="24"/>
        </w:rPr>
        <w:t>Датата на базовата линия за всички показатели е 1 февруари 2020 г., освен ако не е посочено друго в описанието на действието. Сумите в таблицата не включват ДДС.</w:t>
      </w:r>
    </w:p>
    <w:tbl>
      <w:tblPr>
        <w:tblW w:w="15310"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09"/>
        <w:gridCol w:w="851"/>
        <w:gridCol w:w="850"/>
        <w:gridCol w:w="1985"/>
        <w:gridCol w:w="1134"/>
        <w:gridCol w:w="850"/>
        <w:gridCol w:w="709"/>
        <w:gridCol w:w="851"/>
        <w:gridCol w:w="303"/>
        <w:gridCol w:w="689"/>
        <w:gridCol w:w="6379"/>
      </w:tblGrid>
      <w:tr>
        <w:trPr>
          <w:trHeight w:val="309"/>
          <w:tblHeader/>
        </w:trPr>
        <w:tc>
          <w:tcPr>
            <w:tcW w:w="709"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szCs w:val="18"/>
              </w:rPr>
              <w:t>Номер</w:t>
            </w:r>
          </w:p>
        </w:tc>
        <w:tc>
          <w:tcPr>
            <w:tcW w:w="851"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szCs w:val="18"/>
              </w:rPr>
              <w:t>Мярка</w:t>
            </w:r>
          </w:p>
        </w:tc>
        <w:tc>
          <w:tcPr>
            <w:tcW w:w="850"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szCs w:val="18"/>
              </w:rPr>
              <w:t>Ключов етап / Цел</w:t>
            </w:r>
          </w:p>
        </w:tc>
        <w:tc>
          <w:tcPr>
            <w:tcW w:w="1985"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szCs w:val="18"/>
              </w:rPr>
              <w:t>Наименование</w:t>
            </w:r>
          </w:p>
        </w:tc>
        <w:tc>
          <w:tcPr>
            <w:tcW w:w="1134"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szCs w:val="18"/>
              </w:rPr>
              <w:t>Качествени показатели за ключовите етапи</w:t>
            </w:r>
          </w:p>
        </w:tc>
        <w:tc>
          <w:tcPr>
            <w:tcW w:w="2410" w:type="dxa"/>
            <w:gridSpan w:val="3"/>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szCs w:val="18"/>
              </w:rPr>
              <w:t>Количествени показатели за целите</w:t>
            </w:r>
          </w:p>
        </w:tc>
        <w:tc>
          <w:tcPr>
            <w:tcW w:w="992" w:type="dxa"/>
            <w:gridSpan w:val="2"/>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szCs w:val="18"/>
              </w:rPr>
              <w:t>Време</w:t>
            </w:r>
          </w:p>
        </w:tc>
        <w:tc>
          <w:tcPr>
            <w:tcW w:w="6379"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bCs/>
                <w:noProof/>
                <w:sz w:val="18"/>
                <w:szCs w:val="18"/>
              </w:rPr>
              <w:t>Описание на всеки ключов етап и всяка цел</w:t>
            </w:r>
          </w:p>
        </w:tc>
      </w:tr>
      <w:tr>
        <w:trPr>
          <w:trHeight w:val="309"/>
          <w:tblHeader/>
        </w:trPr>
        <w:tc>
          <w:tcPr>
            <w:tcW w:w="709"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851"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850"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1985" w:type="dxa"/>
            <w:tcBorders>
              <w:top w:val="nil"/>
            </w:tcBorders>
            <w:shd w:val="clear" w:color="auto" w:fill="C6D9F1" w:themeFill="text2" w:themeFillTint="33"/>
            <w:noWrap/>
          </w:tcPr>
          <w:p>
            <w:pPr>
              <w:spacing w:after="0" w:line="240" w:lineRule="auto"/>
              <w:rPr>
                <w:rFonts w:ascii="Times New Roman" w:hAnsi="Times New Roman" w:cs="Times New Roman"/>
                <w:b/>
                <w:noProof/>
                <w:color w:val="000000"/>
                <w:sz w:val="18"/>
                <w:szCs w:val="18"/>
              </w:rPr>
            </w:pPr>
          </w:p>
        </w:tc>
        <w:tc>
          <w:tcPr>
            <w:tcW w:w="1134"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850" w:type="dxa"/>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szCs w:val="18"/>
              </w:rPr>
              <w:t>Мерна единица</w:t>
            </w:r>
          </w:p>
        </w:tc>
        <w:tc>
          <w:tcPr>
            <w:tcW w:w="709" w:type="dxa"/>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szCs w:val="18"/>
              </w:rPr>
              <w:t>Базова линия</w:t>
            </w:r>
          </w:p>
        </w:tc>
        <w:tc>
          <w:tcPr>
            <w:tcW w:w="851" w:type="dxa"/>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szCs w:val="18"/>
              </w:rPr>
              <w:t>Цел</w:t>
            </w:r>
          </w:p>
        </w:tc>
        <w:tc>
          <w:tcPr>
            <w:tcW w:w="303" w:type="dxa"/>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szCs w:val="18"/>
              </w:rPr>
              <w:t>T</w:t>
            </w:r>
          </w:p>
        </w:tc>
        <w:tc>
          <w:tcPr>
            <w:tcW w:w="689" w:type="dxa"/>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szCs w:val="18"/>
              </w:rPr>
              <w:t>Година</w:t>
            </w:r>
          </w:p>
        </w:tc>
        <w:tc>
          <w:tcPr>
            <w:tcW w:w="6379" w:type="dxa"/>
            <w:tcBorders>
              <w:top w:val="nil"/>
            </w:tcBorders>
            <w:shd w:val="clear" w:color="auto" w:fill="C6D9F1" w:themeFill="text2" w:themeFillTint="33"/>
            <w:noWrap/>
          </w:tcPr>
          <w:p>
            <w:pPr>
              <w:spacing w:after="0" w:line="240" w:lineRule="auto"/>
              <w:rPr>
                <w:rFonts w:ascii="Times New Roman" w:hAnsi="Times New Roman" w:cs="Times New Roman"/>
                <w:b/>
                <w:noProof/>
                <w:color w:val="000000"/>
                <w:sz w:val="18"/>
                <w:szCs w:val="18"/>
                <w:lang w:val="en-IE"/>
              </w:rPr>
            </w:pP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21</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C2.R1</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1985"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Влизане в сила на испанската програма за градовете и на дългосрочната стратегия за енергийно саниране в строителния сектор в Испания </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Публикуване в Официален вестник</w:t>
            </w:r>
          </w:p>
        </w:tc>
        <w:tc>
          <w:tcPr>
            <w:tcW w:w="85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w:t>
            </w:r>
          </w:p>
        </w:tc>
        <w:tc>
          <w:tcPr>
            <w:tcW w:w="851"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w:t>
            </w:r>
          </w:p>
        </w:tc>
        <w:tc>
          <w:tcPr>
            <w:tcW w:w="303"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T2</w:t>
            </w:r>
          </w:p>
        </w:tc>
        <w:tc>
          <w:tcPr>
            <w:tcW w:w="68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2020</w:t>
            </w:r>
          </w:p>
        </w:tc>
        <w:tc>
          <w:tcPr>
            <w:tcW w:w="6379"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Влизането в сила на испанската програма за градовете като национална политика за градовете, която ще гарантира интегрирано и всеобхватно стратегическо планиране на градовете, и актуализацията от 2020 г. на дългосрочната стратегия за саниране (LTRS) за енергийно възстановяване в строителния сектор в Испания (ERESEE). Целта на стратегията ERESEE е да се направи диагноза на сградния фонд в Испания, да се премахнат пречките и да се създадат нови подходи за увеличаване на санирането на сгради, да се насърчат инвестициите в сектора, да се увеличат икономиите на енергия и да се намалят въглеродните емисии в съответствие с целите в областта на климата.</w:t>
            </w:r>
          </w:p>
        </w:tc>
      </w:tr>
      <w:tr>
        <w:trPr>
          <w:trHeight w:val="309"/>
        </w:trPr>
        <w:tc>
          <w:tcPr>
            <w:tcW w:w="709"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21bis</w:t>
            </w:r>
          </w:p>
        </w:tc>
        <w:tc>
          <w:tcPr>
            <w:tcW w:w="851"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C2.R2</w:t>
            </w:r>
          </w:p>
        </w:tc>
        <w:tc>
          <w:tcPr>
            <w:tcW w:w="850"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M</w:t>
            </w:r>
          </w:p>
        </w:tc>
        <w:tc>
          <w:tcPr>
            <w:tcW w:w="1985" w:type="dxa"/>
            <w:shd w:val="clear" w:color="auto" w:fill="C6EFCE"/>
            <w:noWrap/>
          </w:tcPr>
          <w:p>
            <w:pPr>
              <w:spacing w:after="0" w:line="240" w:lineRule="auto"/>
              <w:rPr>
                <w:rFonts w:ascii="Times New Roman" w:hAnsi="Times New Roman" w:cs="Times New Roman"/>
                <w:noProof/>
                <w:color w:val="000000"/>
                <w:sz w:val="18"/>
                <w:szCs w:val="18"/>
                <w:highlight w:val="yellow"/>
              </w:rPr>
            </w:pPr>
            <w:r>
              <w:rPr>
                <w:rFonts w:ascii="Times New Roman" w:hAnsi="Times New Roman"/>
                <w:noProof/>
                <w:color w:val="000000"/>
                <w:sz w:val="18"/>
                <w:szCs w:val="18"/>
              </w:rPr>
              <w:t>Публикуване на препоръките на работните групи за изпълнение на дългосрочната стратегия за саниране в Испания</w:t>
            </w:r>
          </w:p>
        </w:tc>
        <w:tc>
          <w:tcPr>
            <w:tcW w:w="1134" w:type="dxa"/>
            <w:shd w:val="clear" w:color="auto" w:fill="C6EFCE"/>
            <w:noWrap/>
          </w:tcPr>
          <w:p>
            <w:pPr>
              <w:spacing w:after="0" w:line="240" w:lineRule="auto"/>
              <w:jc w:val="center"/>
              <w:rPr>
                <w:rFonts w:ascii="Times New Roman" w:hAnsi="Times New Roman" w:cs="Times New Roman"/>
                <w:noProof/>
                <w:color w:val="000000"/>
                <w:sz w:val="18"/>
                <w:szCs w:val="18"/>
                <w:highlight w:val="yellow"/>
              </w:rPr>
            </w:pPr>
            <w:r>
              <w:rPr>
                <w:rFonts w:ascii="Times New Roman" w:hAnsi="Times New Roman"/>
                <w:noProof/>
                <w:color w:val="000000"/>
                <w:sz w:val="18"/>
                <w:szCs w:val="18"/>
              </w:rPr>
              <w:t>Публикуване на препоръките на работните групи</w:t>
            </w:r>
          </w:p>
        </w:tc>
        <w:tc>
          <w:tcPr>
            <w:tcW w:w="850" w:type="dxa"/>
            <w:shd w:val="clear" w:color="auto" w:fill="C6EFCE"/>
            <w:noWrap/>
          </w:tcPr>
          <w:p>
            <w:pPr>
              <w:spacing w:after="0" w:line="240" w:lineRule="auto"/>
              <w:jc w:val="right"/>
              <w:rPr>
                <w:rFonts w:ascii="Times New Roman" w:hAnsi="Times New Roman" w:cs="Times New Roman"/>
                <w:noProof/>
                <w:color w:val="000000"/>
                <w:sz w:val="18"/>
                <w:szCs w:val="18"/>
              </w:rPr>
            </w:pPr>
          </w:p>
        </w:tc>
        <w:tc>
          <w:tcPr>
            <w:tcW w:w="709" w:type="dxa"/>
            <w:shd w:val="clear" w:color="auto" w:fill="C6EFCE"/>
            <w:noWrap/>
          </w:tcPr>
          <w:p>
            <w:pPr>
              <w:spacing w:after="0" w:line="240" w:lineRule="auto"/>
              <w:jc w:val="right"/>
              <w:rPr>
                <w:rFonts w:ascii="Times New Roman" w:hAnsi="Times New Roman" w:cs="Times New Roman"/>
                <w:noProof/>
                <w:color w:val="000000"/>
                <w:sz w:val="18"/>
                <w:szCs w:val="18"/>
              </w:rPr>
            </w:pPr>
          </w:p>
        </w:tc>
        <w:tc>
          <w:tcPr>
            <w:tcW w:w="851" w:type="dxa"/>
            <w:shd w:val="clear" w:color="auto" w:fill="C6EFCE"/>
            <w:noWrap/>
          </w:tcPr>
          <w:p>
            <w:pPr>
              <w:spacing w:after="0" w:line="240" w:lineRule="auto"/>
              <w:jc w:val="right"/>
              <w:rPr>
                <w:rFonts w:ascii="Times New Roman" w:hAnsi="Times New Roman" w:cs="Times New Roman"/>
                <w:noProof/>
                <w:color w:val="000000"/>
                <w:sz w:val="18"/>
                <w:szCs w:val="18"/>
              </w:rPr>
            </w:pPr>
          </w:p>
        </w:tc>
        <w:tc>
          <w:tcPr>
            <w:tcW w:w="303"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Q2</w:t>
            </w:r>
          </w:p>
        </w:tc>
        <w:tc>
          <w:tcPr>
            <w:tcW w:w="689"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2023</w:t>
            </w:r>
          </w:p>
        </w:tc>
        <w:tc>
          <w:tcPr>
            <w:tcW w:w="6379"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szCs w:val="18"/>
              </w:rPr>
              <w:t>Публикуване на подробни препоръки на работните групи за изпълнение на актуализираната през 2020 г. дългосрочна стратегия за саниране (LTRS) за енергийно рехабилитация в строителния сектор в Испания (ERESEE). Целта на стратегията ERESEE е да се направи диагноза на сградния фонд в Испания, да се премахнат пречките и да се създадат нови подходи за увеличаване на саниранията на сгради, да се насърчат инвестициите в сектора, да се увеличат икономиите на енергия и да се намалят въглеродните емисии в съответствие с целите в областта на климата. С цел прилагане на ERESEE се създават няколко работни групи с цел разработване на ясни препоръки за изпълнението на плана за действие за възстановяване и възстановяване на градската среда. Подробните препоръки включват пътна карта и методологични ръководства за всяка мярка, която трябва да бъде предприета и адресирана до всеки участващ служител (публична администрация, заинтересовани страни и т.н.).</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22</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C2.R3</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1985"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Влизане в сила на Закона за жилищното настаняване, включително действия в подкрепа на увеличаването на предлагането на жилища в съответствие с нормите за сгради с почти нулево потребление на енергия </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Разпоредба от Закона за жилищата относно влизането му в сила</w:t>
            </w:r>
          </w:p>
        </w:tc>
        <w:tc>
          <w:tcPr>
            <w:tcW w:w="85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w:t>
            </w:r>
          </w:p>
        </w:tc>
        <w:tc>
          <w:tcPr>
            <w:tcW w:w="851"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w:t>
            </w:r>
          </w:p>
        </w:tc>
        <w:tc>
          <w:tcPr>
            <w:tcW w:w="303"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T3</w:t>
            </w:r>
          </w:p>
        </w:tc>
        <w:tc>
          <w:tcPr>
            <w:tcW w:w="68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2022</w:t>
            </w:r>
          </w:p>
        </w:tc>
        <w:tc>
          <w:tcPr>
            <w:tcW w:w="6379"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В Закона за жилищата се разглеждат различни инструменти за планиране, програмиране и сътрудничество, за да се гарантира правилното упражняване на правото на достойно и подходящо жилищно настаняване, включително, като един от приоритетите, санирането и подобряването на съществуващия жилищен фонд, както и възстановяването и обновяването на жилищните помещения, в които се намират. Законът насърчава увеличаването на предлагането на достъпни и социални жилища, като гарантира спазването на изискванията, които понастоящем са определени за сгради с близко до нулево нетно потребление на енергия съгласно основния документ за енергоспестяване (DB-HE) от Техническия сграден фонд (CTE). </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23</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C2.R4</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1985"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Влизане в сила на Закона за качеството на архитектурата и строителната среда </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Разпоредба от Закона за качеството на архитектурата и строителната среда относно влизането му в сила</w:t>
            </w:r>
          </w:p>
        </w:tc>
        <w:tc>
          <w:tcPr>
            <w:tcW w:w="85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w:t>
            </w:r>
          </w:p>
        </w:tc>
        <w:tc>
          <w:tcPr>
            <w:tcW w:w="851"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w:t>
            </w:r>
          </w:p>
        </w:tc>
        <w:tc>
          <w:tcPr>
            <w:tcW w:w="303"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T3</w:t>
            </w:r>
          </w:p>
        </w:tc>
        <w:tc>
          <w:tcPr>
            <w:tcW w:w="68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2022</w:t>
            </w:r>
          </w:p>
        </w:tc>
        <w:tc>
          <w:tcPr>
            <w:tcW w:w="6379"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Приемане на Закона за качеството на архитектурата и на строителната среда, включващ интегриран подход към санирането, който ще стимулира растежа на сградния фонд с близко до нулево нетно потребление на енергия, не само сред новите сгради, но и между съществуващите сгради. Законът определя принципа за качество на архитектурата и архитектурната среда, установява екологичната устойчивост и приноса за постигането на целите за енергийна ефективност като един от ключовите критерии за оценка и насочва необходимото възстановяване на парка към интегриран подход към санирането. </w:t>
            </w:r>
          </w:p>
        </w:tc>
      </w:tr>
      <w:tr>
        <w:trPr>
          <w:trHeight w:val="309"/>
        </w:trPr>
        <w:tc>
          <w:tcPr>
            <w:tcW w:w="709"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24</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C2.R5</w:t>
            </w:r>
          </w:p>
        </w:tc>
        <w:tc>
          <w:tcPr>
            <w:tcW w:w="850"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M</w:t>
            </w:r>
          </w:p>
        </w:tc>
        <w:tc>
          <w:tcPr>
            <w:tcW w:w="1985" w:type="dxa"/>
            <w:shd w:val="clear" w:color="auto" w:fill="C6EFCE"/>
            <w:noWrap/>
          </w:tcPr>
          <w:p>
            <w:pPr>
              <w:spacing w:after="0" w:line="240" w:lineRule="auto"/>
              <w:rPr>
                <w:rFonts w:ascii="Times New Roman" w:hAnsi="Times New Roman" w:cs="Times New Roman"/>
                <w:noProof/>
                <w:sz w:val="18"/>
                <w:szCs w:val="18"/>
              </w:rPr>
            </w:pPr>
            <w:r>
              <w:rPr>
                <w:rFonts w:ascii="Times New Roman" w:hAnsi="Times New Roman"/>
                <w:noProof/>
                <w:color w:val="000000"/>
                <w:sz w:val="18"/>
                <w:szCs w:val="18"/>
              </w:rPr>
              <w:t xml:space="preserve">Влизане в сила на Кралския указ за службите по саниране („обслужване на едно гише“) </w:t>
            </w:r>
          </w:p>
        </w:tc>
        <w:tc>
          <w:tcPr>
            <w:tcW w:w="1134"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Разпоредба в Кралския указ за службите по саниране относно влизането му в сила</w:t>
            </w:r>
          </w:p>
        </w:tc>
        <w:tc>
          <w:tcPr>
            <w:tcW w:w="85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w:t>
            </w:r>
          </w:p>
        </w:tc>
        <w:tc>
          <w:tcPr>
            <w:tcW w:w="851"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w:t>
            </w:r>
          </w:p>
        </w:tc>
        <w:tc>
          <w:tcPr>
            <w:tcW w:w="303"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T3</w:t>
            </w:r>
          </w:p>
        </w:tc>
        <w:tc>
          <w:tcPr>
            <w:tcW w:w="689"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2021</w:t>
            </w:r>
          </w:p>
        </w:tc>
        <w:tc>
          <w:tcPr>
            <w:tcW w:w="6379" w:type="dxa"/>
            <w:shd w:val="clear" w:color="auto" w:fill="C6EFCE"/>
            <w:noWrap/>
          </w:tcPr>
          <w:p>
            <w:pPr>
              <w:spacing w:after="0" w:line="240" w:lineRule="auto"/>
              <w:rPr>
                <w:rFonts w:ascii="Times New Roman" w:hAnsi="Times New Roman" w:cs="Times New Roman"/>
                <w:noProof/>
                <w:sz w:val="18"/>
                <w:szCs w:val="18"/>
              </w:rPr>
            </w:pPr>
            <w:r>
              <w:rPr>
                <w:rFonts w:ascii="Times New Roman" w:hAnsi="Times New Roman"/>
                <w:noProof/>
                <w:color w:val="000000"/>
                <w:sz w:val="18"/>
                <w:szCs w:val="18"/>
              </w:rPr>
              <w:t xml:space="preserve">Приемане на Кралски указ за определяне на обхвата на бюрата за обновяване („обслужване на едно гише“) и тяхното финансиране. Ще бъде проведена секторната конференция по въпросите на жилищната политика, а фазата на информиране на обществеността и други правни процедури приключват преди финализирането на кралския указ. </w:t>
            </w:r>
          </w:p>
        </w:tc>
      </w:tr>
      <w:tr>
        <w:trPr>
          <w:trHeight w:val="309"/>
        </w:trPr>
        <w:tc>
          <w:tcPr>
            <w:tcW w:w="709"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25</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C2.R6</w:t>
            </w:r>
          </w:p>
        </w:tc>
        <w:tc>
          <w:tcPr>
            <w:tcW w:w="850"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M</w:t>
            </w:r>
          </w:p>
        </w:tc>
        <w:tc>
          <w:tcPr>
            <w:tcW w:w="1985" w:type="dxa"/>
            <w:shd w:val="clear" w:color="auto" w:fill="C6EFCE"/>
            <w:noWrap/>
          </w:tcPr>
          <w:p>
            <w:pPr>
              <w:spacing w:after="0" w:line="240" w:lineRule="auto"/>
              <w:rPr>
                <w:rFonts w:ascii="Times New Roman" w:hAnsi="Times New Roman" w:cs="Times New Roman"/>
                <w:noProof/>
                <w:sz w:val="18"/>
                <w:szCs w:val="18"/>
              </w:rPr>
            </w:pPr>
            <w:r>
              <w:rPr>
                <w:rFonts w:ascii="Times New Roman" w:hAnsi="Times New Roman"/>
                <w:noProof/>
                <w:color w:val="000000"/>
                <w:sz w:val="18"/>
                <w:szCs w:val="18"/>
              </w:rPr>
              <w:t xml:space="preserve">Влизане в сила на измененията на хоризонталното право в областта на недвижимото имущество с цел улесняване на финансирането за саниране </w:t>
            </w:r>
          </w:p>
        </w:tc>
        <w:tc>
          <w:tcPr>
            <w:tcW w:w="1134"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Разпоредба от Хоризонталния закон за собствеността относно влизането му в сила</w:t>
            </w:r>
          </w:p>
        </w:tc>
        <w:tc>
          <w:tcPr>
            <w:tcW w:w="85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w:t>
            </w:r>
          </w:p>
        </w:tc>
        <w:tc>
          <w:tcPr>
            <w:tcW w:w="851"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w:t>
            </w:r>
          </w:p>
        </w:tc>
        <w:tc>
          <w:tcPr>
            <w:tcW w:w="303"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T3</w:t>
            </w:r>
          </w:p>
        </w:tc>
        <w:tc>
          <w:tcPr>
            <w:tcW w:w="689"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2022</w:t>
            </w:r>
          </w:p>
        </w:tc>
        <w:tc>
          <w:tcPr>
            <w:tcW w:w="6379" w:type="dxa"/>
            <w:shd w:val="clear" w:color="auto" w:fill="C6EFCE"/>
            <w:noWrap/>
          </w:tcPr>
          <w:p>
            <w:pPr>
              <w:spacing w:after="0" w:line="240" w:lineRule="auto"/>
              <w:rPr>
                <w:rFonts w:ascii="Times New Roman" w:hAnsi="Times New Roman" w:cs="Times New Roman"/>
                <w:noProof/>
                <w:sz w:val="18"/>
                <w:szCs w:val="18"/>
              </w:rPr>
            </w:pPr>
            <w:r>
              <w:rPr>
                <w:rFonts w:ascii="Times New Roman" w:hAnsi="Times New Roman"/>
                <w:noProof/>
                <w:color w:val="000000"/>
                <w:sz w:val="18"/>
                <w:szCs w:val="18"/>
              </w:rPr>
              <w:t>Изменения на Закон 49/1960 (Закон за хоризонталната собственост) от 21 юли относно съсобствеността с цел насърчаване на обновяването и подобренията в сградите от общностите на собствениците и достъпа до финансиране. Целта на изменението е да се улесни вземането на решения от общностите от собственици за извършване на ремонтни дейности на сгради, които допринасят за подобряване на енергийната ефективност, и с цел да се улесни достъпът до банково финансиране.</w:t>
            </w:r>
          </w:p>
        </w:tc>
      </w:tr>
      <w:tr>
        <w:trPr>
          <w:trHeight w:val="309"/>
        </w:trPr>
        <w:tc>
          <w:tcPr>
            <w:tcW w:w="709"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26</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C2.I1</w:t>
            </w:r>
          </w:p>
        </w:tc>
        <w:tc>
          <w:tcPr>
            <w:tcW w:w="850"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M</w:t>
            </w:r>
          </w:p>
        </w:tc>
        <w:tc>
          <w:tcPr>
            <w:tcW w:w="1985" w:type="dxa"/>
            <w:shd w:val="clear" w:color="auto" w:fill="C6EFCE"/>
            <w:noWrap/>
          </w:tcPr>
          <w:p>
            <w:pPr>
              <w:spacing w:after="0" w:line="240" w:lineRule="auto"/>
              <w:rPr>
                <w:rFonts w:ascii="Times New Roman" w:hAnsi="Times New Roman" w:cs="Times New Roman"/>
                <w:noProof/>
                <w:sz w:val="18"/>
                <w:szCs w:val="18"/>
              </w:rPr>
            </w:pPr>
            <w:r>
              <w:rPr>
                <w:rFonts w:ascii="Times New Roman" w:hAnsi="Times New Roman"/>
                <w:noProof/>
                <w:color w:val="000000"/>
                <w:sz w:val="18"/>
                <w:szCs w:val="18"/>
              </w:rPr>
              <w:t xml:space="preserve">Влизане в сила на кралския указ относно регулаторната рамка за изпълнение на програмата за обновяване; и Кралски указ-закон за регулиране на стимулите за данъка върху доходите на физическите лица в подкрепа на програмата </w:t>
            </w:r>
          </w:p>
        </w:tc>
        <w:tc>
          <w:tcPr>
            <w:tcW w:w="1134"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Разпоредба от Кралския указ и кралските укази-закони относно влизането им в сила</w:t>
            </w:r>
          </w:p>
        </w:tc>
        <w:tc>
          <w:tcPr>
            <w:tcW w:w="85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w:t>
            </w:r>
          </w:p>
        </w:tc>
        <w:tc>
          <w:tcPr>
            <w:tcW w:w="851"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w:t>
            </w:r>
          </w:p>
        </w:tc>
        <w:tc>
          <w:tcPr>
            <w:tcW w:w="303"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T3</w:t>
            </w:r>
          </w:p>
        </w:tc>
        <w:tc>
          <w:tcPr>
            <w:tcW w:w="689"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2021</w:t>
            </w:r>
          </w:p>
        </w:tc>
        <w:tc>
          <w:tcPr>
            <w:tcW w:w="6379" w:type="dxa"/>
            <w:shd w:val="clear" w:color="auto" w:fill="C6EFCE"/>
            <w:noWrap/>
          </w:tcPr>
          <w:p>
            <w:pPr>
              <w:spacing w:after="0" w:line="240" w:lineRule="auto"/>
              <w:rPr>
                <w:rFonts w:ascii="Times New Roman" w:hAnsi="Times New Roman" w:cs="Times New Roman"/>
                <w:noProof/>
                <w:sz w:val="18"/>
                <w:szCs w:val="18"/>
              </w:rPr>
            </w:pPr>
            <w:r>
              <w:rPr>
                <w:rFonts w:ascii="Times New Roman" w:hAnsi="Times New Roman"/>
                <w:noProof/>
                <w:color w:val="000000"/>
                <w:sz w:val="18"/>
                <w:szCs w:val="18"/>
              </w:rPr>
              <w:t>Приемане на кралски указ за определяне на регулаторната рамка за изпълнението на програмата за обновяване; и Кралски указ-закон за регулиране на стимулите за данъка върху доходите на физическите лица в подкрепа на програмата. Кралският указ, определящ регулаторната рамка, определя техническите изисквания за осигуряване на съответствие със средното намаление от 30 % на потреблението на първична енергия от невъзобновяеми източници. Ще се проведе секторна конференция по въпросите на жилищното настаняване, а етапът на информиране на обществеността и други правни процедури приключват преди финализирането на кралския указ.</w:t>
            </w:r>
          </w:p>
        </w:tc>
      </w:tr>
      <w:tr>
        <w:trPr>
          <w:trHeight w:val="309"/>
        </w:trPr>
        <w:tc>
          <w:tcPr>
            <w:tcW w:w="709"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27</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C2.I1</w:t>
            </w:r>
          </w:p>
        </w:tc>
        <w:tc>
          <w:tcPr>
            <w:tcW w:w="850"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T</w:t>
            </w:r>
          </w:p>
        </w:tc>
        <w:tc>
          <w:tcPr>
            <w:tcW w:w="1985" w:type="dxa"/>
            <w:shd w:val="clear" w:color="auto" w:fill="C6EFCE"/>
            <w:noWrap/>
          </w:tcPr>
          <w:p>
            <w:pPr>
              <w:spacing w:after="0" w:line="240" w:lineRule="auto"/>
              <w:rPr>
                <w:rFonts w:ascii="Times New Roman" w:hAnsi="Times New Roman" w:cs="Times New Roman"/>
                <w:noProof/>
                <w:sz w:val="18"/>
                <w:szCs w:val="18"/>
              </w:rPr>
            </w:pPr>
            <w:r>
              <w:rPr>
                <w:rFonts w:ascii="Times New Roman" w:hAnsi="Times New Roman"/>
                <w:noProof/>
                <w:color w:val="000000"/>
                <w:sz w:val="18"/>
                <w:szCs w:val="18"/>
              </w:rPr>
              <w:t>Приключване на дейности по саниране на жилищни сгради, постигане на средно намаление от най-малко 30 % в търсенето на първична енергия (най-малко 231 000 действия в най-малко 160 000 отделни жилища)</w:t>
            </w:r>
          </w:p>
        </w:tc>
        <w:tc>
          <w:tcPr>
            <w:tcW w:w="1134"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 </w:t>
            </w:r>
          </w:p>
        </w:tc>
        <w:tc>
          <w:tcPr>
            <w:tcW w:w="85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Номер</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0</w:t>
            </w:r>
          </w:p>
        </w:tc>
        <w:tc>
          <w:tcPr>
            <w:tcW w:w="851"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231 000</w:t>
            </w:r>
          </w:p>
        </w:tc>
        <w:tc>
          <w:tcPr>
            <w:tcW w:w="303"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T4</w:t>
            </w:r>
          </w:p>
        </w:tc>
        <w:tc>
          <w:tcPr>
            <w:tcW w:w="689"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2023</w:t>
            </w:r>
          </w:p>
        </w:tc>
        <w:tc>
          <w:tcPr>
            <w:tcW w:w="6379" w:type="dxa"/>
            <w:shd w:val="clear" w:color="auto" w:fill="C6EFCE"/>
            <w:noWrap/>
          </w:tcPr>
          <w:p>
            <w:pPr>
              <w:spacing w:after="0" w:line="240" w:lineRule="auto"/>
              <w:rPr>
                <w:rFonts w:ascii="Times New Roman" w:hAnsi="Times New Roman" w:cs="Times New Roman"/>
                <w:noProof/>
                <w:sz w:val="18"/>
                <w:szCs w:val="18"/>
              </w:rPr>
            </w:pPr>
            <w:r>
              <w:rPr>
                <w:rFonts w:ascii="Times New Roman" w:hAnsi="Times New Roman"/>
                <w:noProof/>
                <w:color w:val="000000"/>
                <w:sz w:val="18"/>
                <w:szCs w:val="18"/>
              </w:rPr>
              <w:t>Изпълнени са най-малко 231 000 действия за саниране на жилища в най-малко 160 000 отделни жилища, като се постига средно намаление от най-малко 30 % на търсенето на първична енергия (кумулативно). За целите на показателя понятието „жилище“ е съвместимо с определението на Евростат (“жилище е стая или апартамент – включително аксесоарите, антретата и коридорите – в масивна сграда или структурно отделена част от същата, която по начина, по който е построена, реконструирана или преобразувана, е предназначена за жилищно обитаване от едно домакинство през цялата година) и може да включва, когато е уместно, социални или обществени жилища. Използваните показатели за подобряване на енергийните характеристики се акредитират чрез съответния сертификат за енергийни характеристики в рамките на Директива 2010/31/ЕС на Европейския парламент и на Съвета от 19 май 2010 г. относно енергийните характеристики на сградите. Броят на действията за възстановяване на жилища се определя като сбор от всички действия за подобряване и саниране (в рамките на обособените квартали, на равнище сгради или жилища), извършени чрез прилагането на една от линиите за помощ (пълно саниране или сградни компоненти) или чрез данъчни стимули. Средният процент на спестяване на първична енергия от невъзобновяеми източници за целите на спазването на минималната стойност от 30 % се получава чрез претегляне на набора от действия за саниране с размера на помощта или финансирането, прилагани съгласно плана за възстановяване и устойчивост. Този показател включва действия за подобряване и саниране във всички общини, независимо от тяхната големина. За да се обоснове съответствието с постигнатите икономии на енергия, сертификатите за енергийни характеристики на извършеното саниране се изискват и сумират, за да се потвърдят постигнатите средни икономии на енергия.</w:t>
            </w:r>
          </w:p>
        </w:tc>
      </w:tr>
      <w:tr>
        <w:trPr>
          <w:trHeight w:val="309"/>
        </w:trPr>
        <w:tc>
          <w:tcPr>
            <w:tcW w:w="709"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28</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C2.I1</w:t>
            </w:r>
          </w:p>
        </w:tc>
        <w:tc>
          <w:tcPr>
            <w:tcW w:w="850"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T</w:t>
            </w:r>
          </w:p>
        </w:tc>
        <w:tc>
          <w:tcPr>
            <w:tcW w:w="1985" w:type="dxa"/>
            <w:shd w:val="clear" w:color="auto" w:fill="C6EFCE"/>
            <w:noWrap/>
          </w:tcPr>
          <w:p>
            <w:pPr>
              <w:spacing w:after="0" w:line="240" w:lineRule="auto"/>
              <w:rPr>
                <w:rFonts w:ascii="Times New Roman" w:hAnsi="Times New Roman" w:cs="Times New Roman"/>
                <w:noProof/>
                <w:sz w:val="18"/>
                <w:szCs w:val="18"/>
              </w:rPr>
            </w:pPr>
            <w:r>
              <w:rPr>
                <w:rFonts w:ascii="Times New Roman" w:hAnsi="Times New Roman"/>
                <w:noProof/>
                <w:color w:val="000000"/>
                <w:sz w:val="18"/>
                <w:szCs w:val="18"/>
              </w:rPr>
              <w:t>Хектари земя в райони или квартали, които подлежат на обновяване, със средно намаление от най-малко 30 % на търсенето на първична енергия</w:t>
            </w:r>
          </w:p>
        </w:tc>
        <w:tc>
          <w:tcPr>
            <w:tcW w:w="1134"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 </w:t>
            </w:r>
          </w:p>
        </w:tc>
        <w:tc>
          <w:tcPr>
            <w:tcW w:w="85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Брой (хектари)</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0</w:t>
            </w:r>
          </w:p>
        </w:tc>
        <w:tc>
          <w:tcPr>
            <w:tcW w:w="851"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600</w:t>
            </w:r>
          </w:p>
        </w:tc>
        <w:tc>
          <w:tcPr>
            <w:tcW w:w="303"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T2</w:t>
            </w:r>
          </w:p>
        </w:tc>
        <w:tc>
          <w:tcPr>
            <w:tcW w:w="689"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2026</w:t>
            </w:r>
          </w:p>
        </w:tc>
        <w:tc>
          <w:tcPr>
            <w:tcW w:w="6379" w:type="dxa"/>
            <w:shd w:val="clear" w:color="auto" w:fill="C6EFCE"/>
            <w:noWrap/>
          </w:tcPr>
          <w:p>
            <w:pPr>
              <w:spacing w:after="0" w:line="240" w:lineRule="auto"/>
              <w:rPr>
                <w:rFonts w:ascii="Times New Roman" w:hAnsi="Times New Roman" w:cs="Times New Roman"/>
                <w:noProof/>
                <w:sz w:val="18"/>
                <w:szCs w:val="18"/>
              </w:rPr>
            </w:pPr>
            <w:r>
              <w:rPr>
                <w:rFonts w:ascii="Times New Roman" w:hAnsi="Times New Roman"/>
                <w:noProof/>
                <w:color w:val="000000"/>
                <w:sz w:val="18"/>
                <w:szCs w:val="18"/>
              </w:rPr>
              <w:t>Най-малко 600 хектара земя в райони или квартали, които подлежат на обновяване. Тази цифра включва площта на районите или градските райони, които са били обект на действия въз основа на споразумения по програмата. Действията се осъществяват, като се гарантират техническите изисквания за осигуряване на съответствие със средното намаление от 30 % на потреблението на първична енергия от невъзобновяеми източници при санирането на сгради. За да се обоснове съответствието с постигнатите икономии на енергия, сертификатите за енергийни характеристики на извършеното саниране се изискват и сумират, за да се потвърдят постигнатите средни икономии на енергия.</w:t>
            </w:r>
          </w:p>
        </w:tc>
      </w:tr>
      <w:tr>
        <w:trPr>
          <w:trHeight w:val="309"/>
        </w:trPr>
        <w:tc>
          <w:tcPr>
            <w:tcW w:w="709"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29</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C2.I1</w:t>
            </w:r>
          </w:p>
        </w:tc>
        <w:tc>
          <w:tcPr>
            <w:tcW w:w="850"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T</w:t>
            </w:r>
          </w:p>
        </w:tc>
        <w:tc>
          <w:tcPr>
            <w:tcW w:w="1985" w:type="dxa"/>
            <w:shd w:val="clear" w:color="auto" w:fill="C6EFCE"/>
            <w:noWrap/>
          </w:tcPr>
          <w:p>
            <w:pPr>
              <w:spacing w:after="0" w:line="240" w:lineRule="auto"/>
              <w:rPr>
                <w:rFonts w:ascii="Times New Roman" w:hAnsi="Times New Roman" w:cs="Times New Roman"/>
                <w:noProof/>
                <w:sz w:val="18"/>
                <w:szCs w:val="18"/>
              </w:rPr>
            </w:pPr>
            <w:r>
              <w:rPr>
                <w:rFonts w:ascii="Times New Roman" w:hAnsi="Times New Roman"/>
                <w:noProof/>
                <w:color w:val="000000"/>
                <w:sz w:val="18"/>
                <w:szCs w:val="18"/>
              </w:rPr>
              <w:t xml:space="preserve">Приключване на дейности по саниране на жилищни сгради, постигане на средно намаление от най-малко 30 % на търсенето на първична енергия (най-малко 510 000 действия в най-малко 355 000 отделни жилища) </w:t>
            </w:r>
          </w:p>
        </w:tc>
        <w:tc>
          <w:tcPr>
            <w:tcW w:w="1134"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 </w:t>
            </w:r>
          </w:p>
        </w:tc>
        <w:tc>
          <w:tcPr>
            <w:tcW w:w="85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Номер</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231 000</w:t>
            </w:r>
          </w:p>
        </w:tc>
        <w:tc>
          <w:tcPr>
            <w:tcW w:w="851"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510 000</w:t>
            </w:r>
          </w:p>
        </w:tc>
        <w:tc>
          <w:tcPr>
            <w:tcW w:w="303"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T2</w:t>
            </w:r>
          </w:p>
        </w:tc>
        <w:tc>
          <w:tcPr>
            <w:tcW w:w="689"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2026</w:t>
            </w:r>
          </w:p>
        </w:tc>
        <w:tc>
          <w:tcPr>
            <w:tcW w:w="6379" w:type="dxa"/>
            <w:shd w:val="clear" w:color="auto" w:fill="C6EFCE"/>
            <w:noWrap/>
          </w:tcPr>
          <w:p>
            <w:pPr>
              <w:spacing w:after="0" w:line="240" w:lineRule="auto"/>
              <w:rPr>
                <w:rFonts w:ascii="Times New Roman" w:hAnsi="Times New Roman" w:cs="Times New Roman"/>
                <w:noProof/>
                <w:sz w:val="18"/>
                <w:szCs w:val="18"/>
              </w:rPr>
            </w:pPr>
            <w:r>
              <w:rPr>
                <w:rFonts w:ascii="Times New Roman" w:hAnsi="Times New Roman"/>
                <w:noProof/>
                <w:color w:val="000000"/>
                <w:sz w:val="18"/>
                <w:szCs w:val="18"/>
              </w:rPr>
              <w:t>Изпълнени са най-малко 510 000 действия за саниране на жилища в най-малко 355 000 отделни жилища, като се постига средно намаление от най-малко 30 % на търсенето на първична енергия (кумулативно). За целите на показателя понятието „жилище“ е съвместимо с определението на Евростат (“жилище е стая или апартамент – включително аксесоарите, антретата и коридорите – в масивна сграда или структурно отделена част от същата, която по начина, по който е построена, реконструирана или преобразувана, е предназначена за жилищно обитаване от едно домакинство през цялата година) и може да включва, когато е уместно, социални или обществени жилища. Използваните показатели за подобряване на енергийните характеристики се акредитират чрез съответния сертификат за енергийни характеристики в рамките на Директива 2010/31/ЕС на Европейския парламент и на Съвета от 19 май 2010 г. относно енергийните характеристики на сградите. Броят на санираните жилища се определя като сбор от всички действия за подобряване и саниране (в рамките на обособените квартали, на равнище сгради или жилища), извършени чрез прилагането на един от линиите за помощ (пълна рехабилитация или сградни компоненти) или чрез данъчни стимули. Средният процент на спестяване на първична енергия от невъзобновяеми източници за целите на спазването на минималната стойност от 30 % се получава чрез претегляне на набора от действия за саниране с размера на помощта или финансирането, прилагани съгласно плана за възстановяване и устойчивост. Този показател включва действия за подобряване и саниране във всички общини, независимо от техния размер. За да се обоснове съответствието с постигнатите икономии на енергия, сертификатите за енергийни характеристики на извършеното саниране се изискват и сумират, за да се потвърдят постигнатите средни икономии на енергия. (Базова линия: 31 декември 2023 г.</w:t>
            </w:r>
          </w:p>
        </w:tc>
      </w:tr>
      <w:tr>
        <w:trPr>
          <w:trHeight w:val="309"/>
        </w:trPr>
        <w:tc>
          <w:tcPr>
            <w:tcW w:w="709"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30</w:t>
            </w:r>
          </w:p>
        </w:tc>
        <w:tc>
          <w:tcPr>
            <w:tcW w:w="851"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C2.I2</w:t>
            </w:r>
          </w:p>
        </w:tc>
        <w:tc>
          <w:tcPr>
            <w:tcW w:w="850"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M</w:t>
            </w:r>
          </w:p>
        </w:tc>
        <w:tc>
          <w:tcPr>
            <w:tcW w:w="1985"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szCs w:val="18"/>
              </w:rPr>
              <w:t xml:space="preserve">Влизане в сила на кралския указ за определяне на регулаторната уредба за изпълнение на програмата за енергийно ефективни социални жилища под наем, отговарящи на критериите за енергийна ефективност </w:t>
            </w:r>
          </w:p>
        </w:tc>
        <w:tc>
          <w:tcPr>
            <w:tcW w:w="1134"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Разпоредба от Кралския указ относно влизането му в сила</w:t>
            </w:r>
          </w:p>
        </w:tc>
        <w:tc>
          <w:tcPr>
            <w:tcW w:w="850"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 </w:t>
            </w:r>
          </w:p>
        </w:tc>
        <w:tc>
          <w:tcPr>
            <w:tcW w:w="709"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 xml:space="preserve"> </w:t>
            </w:r>
          </w:p>
        </w:tc>
        <w:tc>
          <w:tcPr>
            <w:tcW w:w="851"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 xml:space="preserve"> </w:t>
            </w:r>
          </w:p>
        </w:tc>
        <w:tc>
          <w:tcPr>
            <w:tcW w:w="303"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T3</w:t>
            </w:r>
          </w:p>
        </w:tc>
        <w:tc>
          <w:tcPr>
            <w:tcW w:w="689"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2021</w:t>
            </w:r>
          </w:p>
        </w:tc>
        <w:tc>
          <w:tcPr>
            <w:tcW w:w="6379"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szCs w:val="18"/>
              </w:rPr>
              <w:t>Приемане на кралски указ за определяне на регулаторната рамка за изпълнението на Програмата за енергийно ефективни социални жилища под наем, отговарящи на критериите за енергийна ефективност. Кралският указ определя техническите изисквания, за да се гарантира, че при строителството на сгради целта за постигане на търсене на първична енергия е най-малко с 20 % по-ниско от изискването за сгради с близко до нулево нетно потребление на енергия съгласно националните насоки. За тази цел изискването е да се ограничи стойността на потреблението на първична енергия от невъзобновяеми източници до 80 % от пределната стойност, определена в раздел HE 0 от основния документ за енергоспестяване (DB-HE) от Техническия сграден кодекс (CTE). Ще се проведе секторна конференция по въпросите на жилищното настаняване, а етапът на информиране на обществеността и други правни процедури приключват преди финализирането на кралския указ.</w:t>
            </w:r>
          </w:p>
        </w:tc>
      </w:tr>
      <w:tr>
        <w:trPr>
          <w:trHeight w:val="309"/>
        </w:trPr>
        <w:tc>
          <w:tcPr>
            <w:tcW w:w="709"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31</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C2.I2</w:t>
            </w:r>
          </w:p>
        </w:tc>
        <w:tc>
          <w:tcPr>
            <w:tcW w:w="850"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T</w:t>
            </w:r>
          </w:p>
        </w:tc>
        <w:tc>
          <w:tcPr>
            <w:tcW w:w="1985" w:type="dxa"/>
            <w:shd w:val="clear" w:color="auto" w:fill="C6EFCE"/>
            <w:noWrap/>
          </w:tcPr>
          <w:p>
            <w:pPr>
              <w:spacing w:after="0" w:line="240" w:lineRule="auto"/>
              <w:rPr>
                <w:rFonts w:ascii="Times New Roman" w:hAnsi="Times New Roman" w:cs="Times New Roman"/>
                <w:noProof/>
                <w:sz w:val="18"/>
                <w:szCs w:val="18"/>
              </w:rPr>
            </w:pPr>
            <w:r>
              <w:rPr>
                <w:rFonts w:ascii="Times New Roman" w:hAnsi="Times New Roman"/>
                <w:noProof/>
                <w:color w:val="000000"/>
                <w:sz w:val="18"/>
                <w:szCs w:val="18"/>
              </w:rPr>
              <w:t>Нови жилища, построени за социални жилища, или на достъпни цени в съответствие с критериите за енергийна ефективност</w:t>
            </w:r>
          </w:p>
        </w:tc>
        <w:tc>
          <w:tcPr>
            <w:tcW w:w="1134"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 </w:t>
            </w:r>
          </w:p>
        </w:tc>
        <w:tc>
          <w:tcPr>
            <w:tcW w:w="85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Номер</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0</w:t>
            </w:r>
          </w:p>
        </w:tc>
        <w:tc>
          <w:tcPr>
            <w:tcW w:w="851"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20 000</w:t>
            </w:r>
          </w:p>
        </w:tc>
        <w:tc>
          <w:tcPr>
            <w:tcW w:w="303"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T2</w:t>
            </w:r>
          </w:p>
        </w:tc>
        <w:tc>
          <w:tcPr>
            <w:tcW w:w="689"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2026</w:t>
            </w:r>
          </w:p>
        </w:tc>
        <w:tc>
          <w:tcPr>
            <w:tcW w:w="6379" w:type="dxa"/>
            <w:shd w:val="clear" w:color="auto" w:fill="C6EFCE"/>
            <w:noWrap/>
          </w:tcPr>
          <w:p>
            <w:pPr>
              <w:spacing w:after="0" w:line="240" w:lineRule="auto"/>
              <w:rPr>
                <w:rFonts w:ascii="Times New Roman" w:hAnsi="Times New Roman" w:cs="Times New Roman"/>
                <w:noProof/>
                <w:sz w:val="18"/>
                <w:szCs w:val="18"/>
              </w:rPr>
            </w:pPr>
            <w:r>
              <w:rPr>
                <w:rFonts w:ascii="Times New Roman" w:hAnsi="Times New Roman"/>
                <w:noProof/>
                <w:color w:val="000000"/>
                <w:sz w:val="18"/>
                <w:szCs w:val="18"/>
              </w:rPr>
              <w:t>Най-малко 20 000 жилища, построени за социални жилища или на достъпни цени в съответствие с критериите за енергийна ефективност. Тази цифра съответства на броя на жилищата, чието строителство трябва да бъде завършено, и се отнася до социалния наем на достъпни цени, както е удостоверено със сертификат или доказателство за завършване и ползване на жилищата от компетентния орган. Освен това спазването на изискването за ограничаване на стойността на потреблението на първична енергия от невъзобновяеми източници до 80 % от пределната стойност, определена в раздел HE 0 от основния документ за енергоспестяване (DB-HE) на Техническия сграден кодекс (CTE), се гарантира чрез сертификат за енергийни характеристики.</w:t>
            </w:r>
          </w:p>
        </w:tc>
      </w:tr>
      <w:tr>
        <w:trPr>
          <w:trHeight w:val="309"/>
        </w:trPr>
        <w:tc>
          <w:tcPr>
            <w:tcW w:w="709"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32</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C2.I3</w:t>
            </w:r>
          </w:p>
        </w:tc>
        <w:tc>
          <w:tcPr>
            <w:tcW w:w="850"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M</w:t>
            </w:r>
          </w:p>
        </w:tc>
        <w:tc>
          <w:tcPr>
            <w:tcW w:w="1985" w:type="dxa"/>
            <w:shd w:val="clear" w:color="auto" w:fill="C6EFCE"/>
            <w:noWrap/>
          </w:tcPr>
          <w:p>
            <w:pPr>
              <w:spacing w:after="0" w:line="240" w:lineRule="auto"/>
              <w:rPr>
                <w:rFonts w:ascii="Times New Roman" w:hAnsi="Times New Roman" w:cs="Times New Roman"/>
                <w:noProof/>
                <w:sz w:val="18"/>
                <w:szCs w:val="18"/>
              </w:rPr>
            </w:pPr>
            <w:r>
              <w:rPr>
                <w:rFonts w:ascii="Times New Roman" w:hAnsi="Times New Roman"/>
                <w:noProof/>
                <w:color w:val="000000"/>
                <w:sz w:val="18"/>
                <w:szCs w:val="18"/>
              </w:rPr>
              <w:t>Възлагане на саниране на жилищни и нежилищни сгради, постигане на средно намаление от най-малко 30 % на търсенето на първична енергия</w:t>
            </w:r>
          </w:p>
        </w:tc>
        <w:tc>
          <w:tcPr>
            <w:tcW w:w="1134"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Съвкупни решения за концесия от автономните области</w:t>
            </w:r>
          </w:p>
        </w:tc>
        <w:tc>
          <w:tcPr>
            <w:tcW w:w="85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w:t>
            </w:r>
          </w:p>
        </w:tc>
        <w:tc>
          <w:tcPr>
            <w:tcW w:w="851"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w:t>
            </w:r>
          </w:p>
        </w:tc>
        <w:tc>
          <w:tcPr>
            <w:tcW w:w="303"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T4</w:t>
            </w:r>
          </w:p>
        </w:tc>
        <w:tc>
          <w:tcPr>
            <w:tcW w:w="689"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2023</w:t>
            </w:r>
          </w:p>
        </w:tc>
        <w:tc>
          <w:tcPr>
            <w:tcW w:w="6379" w:type="dxa"/>
            <w:shd w:val="clear" w:color="auto" w:fill="C6EFCE"/>
            <w:noWrap/>
          </w:tcPr>
          <w:p>
            <w:pPr>
              <w:spacing w:after="0" w:line="240" w:lineRule="auto"/>
              <w:rPr>
                <w:rFonts w:ascii="Times New Roman" w:hAnsi="Times New Roman" w:cs="Times New Roman"/>
                <w:noProof/>
                <w:sz w:val="18"/>
                <w:szCs w:val="18"/>
              </w:rPr>
            </w:pPr>
            <w:r>
              <w:rPr>
                <w:rFonts w:ascii="Times New Roman" w:hAnsi="Times New Roman"/>
                <w:noProof/>
                <w:color w:val="000000"/>
                <w:sz w:val="18"/>
                <w:szCs w:val="18"/>
              </w:rPr>
              <w:t>Еквивалент на възложени най-малко 40 000 санирания на жилищни сгради и 690 000 m² и на нежилищни сгради, като по този начин се постига средно намаление от най-малко 30 % на търсенето на първична енергия. Еквивалентността се определя във връзка със съответните средни икономии на енергия, постигнати на m</w:t>
            </w:r>
            <w:r>
              <w:rPr>
                <w:rFonts w:ascii="Times New Roman" w:hAnsi="Times New Roman"/>
                <w:noProof/>
                <w:color w:val="000000"/>
                <w:sz w:val="18"/>
                <w:szCs w:val="18"/>
                <w:vertAlign w:val="superscript"/>
              </w:rPr>
              <w:t>²</w:t>
            </w:r>
            <w:r>
              <w:rPr>
                <w:rFonts w:ascii="Times New Roman" w:hAnsi="Times New Roman"/>
                <w:noProof/>
                <w:color w:val="000000"/>
                <w:sz w:val="18"/>
                <w:szCs w:val="18"/>
              </w:rPr>
              <w:t xml:space="preserve"> за всеки вид интервенция. За целите на показателя понятието „жилище“ е съвместимо с определението на Евростат (“жилище е стая или апартамент – включително аксесоарите, антретата и коридорите – в масивна сграда или структурно отделена част от същата, която по начина, по който е построена, реконструирана или преобразувана, е предназначена за жилищно обитаване от едно домакинство през цялата година) и може да включва, когато е уместно, социални или обществени жилища. Използваните показатели за подобряване на енергийните характеристики се акредитират чрез съответния сертификат за енергийни характеристики в рамките на Директива 2010/31/ЕС на Европейския парламент и на Съвета от 19 май 2010 г. относно енергийните характеристики на сградите.</w:t>
            </w:r>
          </w:p>
        </w:tc>
      </w:tr>
      <w:tr>
        <w:trPr>
          <w:trHeight w:val="309"/>
        </w:trPr>
        <w:tc>
          <w:tcPr>
            <w:tcW w:w="709"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33</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C2.I3</w:t>
            </w:r>
          </w:p>
        </w:tc>
        <w:tc>
          <w:tcPr>
            <w:tcW w:w="850"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M</w:t>
            </w:r>
          </w:p>
        </w:tc>
        <w:tc>
          <w:tcPr>
            <w:tcW w:w="1985" w:type="dxa"/>
            <w:shd w:val="clear" w:color="auto" w:fill="C6EFCE"/>
            <w:noWrap/>
          </w:tcPr>
          <w:p>
            <w:pPr>
              <w:spacing w:after="0" w:line="240" w:lineRule="auto"/>
              <w:rPr>
                <w:rFonts w:ascii="Times New Roman" w:hAnsi="Times New Roman" w:cs="Times New Roman"/>
                <w:noProof/>
                <w:sz w:val="18"/>
                <w:szCs w:val="18"/>
              </w:rPr>
            </w:pPr>
            <w:r>
              <w:rPr>
                <w:rFonts w:ascii="Times New Roman" w:hAnsi="Times New Roman"/>
                <w:noProof/>
                <w:color w:val="000000"/>
                <w:sz w:val="18"/>
                <w:szCs w:val="18"/>
              </w:rPr>
              <w:t xml:space="preserve">Приключване на санирането на жилищни и нежилищни сгради, постигане на средно намаление от най-малко 30 % на търсенето на първична енергия </w:t>
            </w:r>
          </w:p>
        </w:tc>
        <w:tc>
          <w:tcPr>
            <w:tcW w:w="1134"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Съвкупни сертификати за енергийни характеристики на завършените работи-</w:t>
            </w:r>
          </w:p>
        </w:tc>
        <w:tc>
          <w:tcPr>
            <w:tcW w:w="85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w:t>
            </w:r>
          </w:p>
        </w:tc>
        <w:tc>
          <w:tcPr>
            <w:tcW w:w="851"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w:t>
            </w:r>
          </w:p>
        </w:tc>
        <w:tc>
          <w:tcPr>
            <w:tcW w:w="303"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T2</w:t>
            </w:r>
          </w:p>
        </w:tc>
        <w:tc>
          <w:tcPr>
            <w:tcW w:w="689"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2026</w:t>
            </w:r>
          </w:p>
        </w:tc>
        <w:tc>
          <w:tcPr>
            <w:tcW w:w="6379" w:type="dxa"/>
            <w:shd w:val="clear" w:color="auto" w:fill="C6EFCE"/>
            <w:noWrap/>
          </w:tcPr>
          <w:p>
            <w:pPr>
              <w:spacing w:after="0" w:line="240" w:lineRule="auto"/>
              <w:rPr>
                <w:rFonts w:ascii="Times New Roman" w:hAnsi="Times New Roman" w:cs="Times New Roman"/>
                <w:noProof/>
                <w:sz w:val="18"/>
                <w:szCs w:val="18"/>
              </w:rPr>
            </w:pPr>
            <w:r>
              <w:rPr>
                <w:rFonts w:ascii="Times New Roman" w:hAnsi="Times New Roman"/>
                <w:noProof/>
                <w:color w:val="000000"/>
                <w:sz w:val="18"/>
                <w:szCs w:val="18"/>
              </w:rPr>
              <w:t>Еквивалент на санирани най-малко 40 000 жилищни сгради и на 690 000 m</w:t>
            </w:r>
            <w:r>
              <w:rPr>
                <w:rFonts w:ascii="Times New Roman" w:hAnsi="Times New Roman"/>
                <w:noProof/>
                <w:color w:val="000000"/>
                <w:sz w:val="18"/>
                <w:szCs w:val="18"/>
                <w:vertAlign w:val="superscript"/>
              </w:rPr>
              <w:t>²</w:t>
            </w:r>
            <w:r>
              <w:rPr>
                <w:rFonts w:ascii="Times New Roman" w:hAnsi="Times New Roman"/>
                <w:noProof/>
                <w:color w:val="000000"/>
                <w:sz w:val="18"/>
                <w:szCs w:val="18"/>
              </w:rPr>
              <w:t xml:space="preserve"> нежилищни сгради, като по този начин се постига средно намаление от най-малко 30 % на търсенето на първична енергия. Еквивалентността се определя във връзка със съответните средни икономии на енергия, постигнати на m</w:t>
            </w:r>
            <w:r>
              <w:rPr>
                <w:rFonts w:ascii="Times New Roman" w:hAnsi="Times New Roman"/>
                <w:noProof/>
                <w:color w:val="000000"/>
                <w:sz w:val="18"/>
                <w:szCs w:val="18"/>
                <w:vertAlign w:val="superscript"/>
              </w:rPr>
              <w:t>²</w:t>
            </w:r>
            <w:r>
              <w:rPr>
                <w:rFonts w:ascii="Times New Roman" w:hAnsi="Times New Roman"/>
                <w:noProof/>
                <w:color w:val="000000"/>
                <w:sz w:val="18"/>
                <w:szCs w:val="18"/>
              </w:rPr>
              <w:t xml:space="preserve"> за всеки вид намеса. За целите на показателя понятието „жилище“ е съвместимо с определението на Евростат (“жилище е стая или апартамент – включително аксесоарите, антретата и коридорите – в масивна сграда или структурно отделена част от същата, която по начина, по който е построена, реконструирана или преобразувана, е предназначена за жилищно обитаване от едно домакинство през цялата година) и може да включва, когато е уместно, социални или обществени жилища. Използваните показатели за подобряване на енергийните характеристики се акредитират чрез съответния сертификат за енергийни характеристики в рамките на Директива 2010/31/ЕС на Европейския парламент и на Съвета от 19 май 2010 г. относно енергийните характеристики на сградите. За да се обоснове съответствието с постигнатите икономии на енергия, сертификатите за енергийни характеристики на извършеното саниране се изискват и сумират, за да се потвърдят постигнатите средни икономии на енергия.</w:t>
            </w:r>
          </w:p>
        </w:tc>
      </w:tr>
      <w:tr>
        <w:trPr>
          <w:trHeight w:val="309"/>
        </w:trPr>
        <w:tc>
          <w:tcPr>
            <w:tcW w:w="709"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34</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C2.I4</w:t>
            </w:r>
          </w:p>
        </w:tc>
        <w:tc>
          <w:tcPr>
            <w:tcW w:w="850"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T</w:t>
            </w:r>
          </w:p>
        </w:tc>
        <w:tc>
          <w:tcPr>
            <w:tcW w:w="1985" w:type="dxa"/>
            <w:shd w:val="clear" w:color="auto" w:fill="C6EFCE"/>
            <w:noWrap/>
          </w:tcPr>
          <w:p>
            <w:pPr>
              <w:spacing w:after="0" w:line="240" w:lineRule="auto"/>
              <w:rPr>
                <w:rFonts w:ascii="Times New Roman" w:hAnsi="Times New Roman" w:cs="Times New Roman"/>
                <w:noProof/>
                <w:sz w:val="18"/>
                <w:szCs w:val="18"/>
              </w:rPr>
            </w:pPr>
            <w:r>
              <w:rPr>
                <w:rFonts w:ascii="Times New Roman" w:hAnsi="Times New Roman"/>
                <w:noProof/>
                <w:color w:val="000000"/>
                <w:sz w:val="18"/>
                <w:szCs w:val="18"/>
              </w:rPr>
              <w:t xml:space="preserve">Саниране на жилищни сгради в общини с по-малко от 5 000 жители, като се постигне средно намаление от най-малко 30 % на търсенето на първична енергия </w:t>
            </w:r>
          </w:p>
        </w:tc>
        <w:tc>
          <w:tcPr>
            <w:tcW w:w="1134"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 </w:t>
            </w:r>
          </w:p>
        </w:tc>
        <w:tc>
          <w:tcPr>
            <w:tcW w:w="85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Номер</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0</w:t>
            </w:r>
          </w:p>
        </w:tc>
        <w:tc>
          <w:tcPr>
            <w:tcW w:w="851"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26 000</w:t>
            </w:r>
          </w:p>
        </w:tc>
        <w:tc>
          <w:tcPr>
            <w:tcW w:w="303"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T2</w:t>
            </w:r>
          </w:p>
        </w:tc>
        <w:tc>
          <w:tcPr>
            <w:tcW w:w="689"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2026</w:t>
            </w:r>
          </w:p>
        </w:tc>
        <w:tc>
          <w:tcPr>
            <w:tcW w:w="6379" w:type="dxa"/>
            <w:shd w:val="clear" w:color="auto" w:fill="C6EFCE"/>
            <w:noWrap/>
          </w:tcPr>
          <w:p>
            <w:pPr>
              <w:spacing w:after="0" w:line="240" w:lineRule="auto"/>
              <w:rPr>
                <w:rFonts w:ascii="Times New Roman" w:hAnsi="Times New Roman" w:cs="Times New Roman"/>
                <w:noProof/>
                <w:sz w:val="18"/>
                <w:szCs w:val="18"/>
              </w:rPr>
            </w:pPr>
            <w:r>
              <w:rPr>
                <w:rFonts w:ascii="Times New Roman" w:hAnsi="Times New Roman"/>
                <w:noProof/>
                <w:color w:val="000000"/>
                <w:sz w:val="18"/>
                <w:szCs w:val="18"/>
              </w:rPr>
              <w:t>Най-малко 26 000 санирани жилищни сгради в общини с по-малко от 5 000 жители, като се постига средно най-малко 30 % намаление на потреблението на първична енергия. За да се обоснове съответствието с постигнатите икономии на енергия, сертификатите за енергийни характеристики на извършеното саниране се изискват и сумират, за да се потвърдят постигнатите средни икономии на енергия.</w:t>
            </w:r>
          </w:p>
        </w:tc>
      </w:tr>
      <w:tr>
        <w:trPr>
          <w:trHeight w:val="309"/>
        </w:trPr>
        <w:tc>
          <w:tcPr>
            <w:tcW w:w="709"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35</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C2.I4</w:t>
            </w:r>
          </w:p>
        </w:tc>
        <w:tc>
          <w:tcPr>
            <w:tcW w:w="850"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T</w:t>
            </w:r>
          </w:p>
        </w:tc>
        <w:tc>
          <w:tcPr>
            <w:tcW w:w="1985" w:type="dxa"/>
            <w:shd w:val="clear" w:color="auto" w:fill="C6EFCE"/>
            <w:noWrap/>
          </w:tcPr>
          <w:p>
            <w:pPr>
              <w:spacing w:after="0" w:line="240" w:lineRule="auto"/>
              <w:rPr>
                <w:rFonts w:ascii="Times New Roman" w:hAnsi="Times New Roman" w:cs="Times New Roman"/>
                <w:noProof/>
                <w:sz w:val="18"/>
                <w:szCs w:val="18"/>
              </w:rPr>
            </w:pPr>
            <w:r>
              <w:rPr>
                <w:rFonts w:ascii="Times New Roman" w:hAnsi="Times New Roman"/>
                <w:noProof/>
                <w:color w:val="000000"/>
                <w:sz w:val="18"/>
                <w:szCs w:val="18"/>
              </w:rPr>
              <w:t xml:space="preserve">Проекти за чиста енергия в общини с по-малко от 5 000 жители </w:t>
            </w:r>
          </w:p>
        </w:tc>
        <w:tc>
          <w:tcPr>
            <w:tcW w:w="1134"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 </w:t>
            </w:r>
          </w:p>
        </w:tc>
        <w:tc>
          <w:tcPr>
            <w:tcW w:w="85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Номер</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0</w:t>
            </w:r>
          </w:p>
        </w:tc>
        <w:tc>
          <w:tcPr>
            <w:tcW w:w="851"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250</w:t>
            </w:r>
          </w:p>
        </w:tc>
        <w:tc>
          <w:tcPr>
            <w:tcW w:w="303"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Т2</w:t>
            </w:r>
          </w:p>
        </w:tc>
        <w:tc>
          <w:tcPr>
            <w:tcW w:w="689"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2026</w:t>
            </w:r>
          </w:p>
        </w:tc>
        <w:tc>
          <w:tcPr>
            <w:tcW w:w="6379" w:type="dxa"/>
            <w:shd w:val="clear" w:color="auto" w:fill="C6EFCE"/>
            <w:noWrap/>
          </w:tcPr>
          <w:p>
            <w:pPr>
              <w:spacing w:after="0" w:line="240" w:lineRule="auto"/>
              <w:rPr>
                <w:rFonts w:ascii="Times New Roman" w:hAnsi="Times New Roman" w:cs="Times New Roman"/>
                <w:noProof/>
                <w:sz w:val="18"/>
                <w:szCs w:val="18"/>
              </w:rPr>
            </w:pPr>
            <w:r>
              <w:rPr>
                <w:rFonts w:ascii="Times New Roman" w:hAnsi="Times New Roman"/>
                <w:noProof/>
                <w:color w:val="000000"/>
                <w:sz w:val="18"/>
                <w:szCs w:val="18"/>
              </w:rPr>
              <w:t>Най-малко 250 отделни проекта за чиста енергия, завършени на местно равнище в общини с по-малко от 5 000 жители. Характеристики: Проекти, включително проекти, възложени чрез конкурентни тръжни процедури или инвестиции от местни органи, в подбор или комбинация от следните: - монтиране на електрически или отоплителни и охладителни системи за обществени сгради или инфраструктура (включително най-малко 80 % собствено потребление). Може да включва централно отопление/охлаждане. — Обновяване на енергията на обществени сгради или инфраструктура (постигащи най-малко 30 % икономии на първична енергия) – Устойчива мобилност (проекти за преминаване към други видове транспорт или електрическа мобилност) – Намаляване на светлинното замърсяване чрез подобряване на общественото осветление – Местна енергийна общност или други проекти, ръководени от общността, в тези общини.</w:t>
            </w:r>
          </w:p>
        </w:tc>
      </w:tr>
      <w:tr>
        <w:trPr>
          <w:trHeight w:val="309"/>
        </w:trPr>
        <w:tc>
          <w:tcPr>
            <w:tcW w:w="709"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36</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C2.I5</w:t>
            </w:r>
          </w:p>
        </w:tc>
        <w:tc>
          <w:tcPr>
            <w:tcW w:w="850"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T</w:t>
            </w:r>
          </w:p>
        </w:tc>
        <w:tc>
          <w:tcPr>
            <w:tcW w:w="1985" w:type="dxa"/>
            <w:shd w:val="clear" w:color="auto" w:fill="C6EFCE"/>
            <w:noWrap/>
          </w:tcPr>
          <w:p>
            <w:pPr>
              <w:spacing w:after="0" w:line="240" w:lineRule="auto"/>
              <w:rPr>
                <w:rFonts w:ascii="Times New Roman" w:hAnsi="Times New Roman" w:cs="Times New Roman"/>
                <w:noProof/>
                <w:sz w:val="18"/>
                <w:szCs w:val="18"/>
              </w:rPr>
            </w:pPr>
            <w:r>
              <w:rPr>
                <w:rFonts w:ascii="Times New Roman" w:hAnsi="Times New Roman"/>
                <w:noProof/>
                <w:color w:val="000000"/>
                <w:sz w:val="18"/>
                <w:szCs w:val="18"/>
              </w:rPr>
              <w:t>Завършване на санирането на обществени сгради, постигане на средно намаление от най-малко 30 % на търсенето на първична енергия (най-малко 290 000 m</w:t>
            </w:r>
            <w:r>
              <w:rPr>
                <w:rFonts w:ascii="Times New Roman" w:hAnsi="Times New Roman"/>
                <w:noProof/>
                <w:color w:val="000000"/>
                <w:sz w:val="18"/>
                <w:szCs w:val="18"/>
                <w:vertAlign w:val="superscript"/>
              </w:rPr>
              <w:t>²</w:t>
            </w:r>
            <w:r>
              <w:rPr>
                <w:rFonts w:ascii="Times New Roman" w:hAnsi="Times New Roman"/>
                <w:noProof/>
                <w:color w:val="000000"/>
                <w:sz w:val="18"/>
                <w:szCs w:val="18"/>
              </w:rPr>
              <w:t>)</w:t>
            </w:r>
          </w:p>
        </w:tc>
        <w:tc>
          <w:tcPr>
            <w:tcW w:w="1134"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 </w:t>
            </w:r>
          </w:p>
        </w:tc>
        <w:tc>
          <w:tcPr>
            <w:tcW w:w="85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Брой (m</w:t>
            </w:r>
            <w:r>
              <w:rPr>
                <w:rFonts w:ascii="Times New Roman" w:hAnsi="Times New Roman"/>
                <w:noProof/>
                <w:color w:val="000000"/>
                <w:sz w:val="18"/>
                <w:szCs w:val="18"/>
                <w:vertAlign w:val="superscript"/>
              </w:rPr>
              <w:t>²</w:t>
            </w:r>
            <w:r>
              <w:rPr>
                <w:rFonts w:ascii="Times New Roman" w:hAnsi="Times New Roman"/>
                <w:noProof/>
                <w:color w:val="000000"/>
                <w:sz w:val="18"/>
                <w:szCs w:val="18"/>
              </w:rPr>
              <w:t>)</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0</w:t>
            </w:r>
          </w:p>
        </w:tc>
        <w:tc>
          <w:tcPr>
            <w:tcW w:w="851"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290 000</w:t>
            </w:r>
          </w:p>
        </w:tc>
        <w:tc>
          <w:tcPr>
            <w:tcW w:w="303"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T4</w:t>
            </w:r>
          </w:p>
        </w:tc>
        <w:tc>
          <w:tcPr>
            <w:tcW w:w="689"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2024</w:t>
            </w:r>
          </w:p>
        </w:tc>
        <w:tc>
          <w:tcPr>
            <w:tcW w:w="6379" w:type="dxa"/>
            <w:shd w:val="clear" w:color="auto" w:fill="C6EFCE"/>
            <w:noWrap/>
          </w:tcPr>
          <w:p>
            <w:pPr>
              <w:spacing w:after="0" w:line="240" w:lineRule="auto"/>
              <w:rPr>
                <w:rFonts w:ascii="Times New Roman" w:hAnsi="Times New Roman" w:cs="Times New Roman"/>
                <w:noProof/>
                <w:sz w:val="18"/>
                <w:szCs w:val="18"/>
              </w:rPr>
            </w:pPr>
            <w:r>
              <w:rPr>
                <w:rFonts w:ascii="Times New Roman" w:hAnsi="Times New Roman"/>
                <w:noProof/>
                <w:color w:val="000000"/>
                <w:sz w:val="18"/>
                <w:szCs w:val="18"/>
              </w:rPr>
              <w:t>Най-малко 290 000 m</w:t>
            </w:r>
            <w:r>
              <w:rPr>
                <w:rFonts w:ascii="Times New Roman" w:hAnsi="Times New Roman"/>
                <w:noProof/>
                <w:color w:val="000000"/>
                <w:sz w:val="18"/>
                <w:szCs w:val="18"/>
                <w:vertAlign w:val="superscript"/>
              </w:rPr>
              <w:t>²</w:t>
            </w:r>
            <w:r>
              <w:rPr>
                <w:rFonts w:ascii="Times New Roman" w:hAnsi="Times New Roman"/>
                <w:noProof/>
                <w:color w:val="000000"/>
                <w:sz w:val="18"/>
                <w:szCs w:val="18"/>
              </w:rPr>
              <w:t xml:space="preserve"> (кумулативно) санирани обществени сгради, постигащи средно намаление от най-малко 30 % на потреблението на първична енергия. Проверката на сертификатите за приключване на работите или на удостоверенията за приемане на строителните работи (автономни общности) или придружаващи документи от всяка от общините, които ги получават, както е предвидено в член 30 от Закона за субсидиите (38/2003), се проверява след завършването на проекта (бил). За да се обоснове съответствието с постигнатите икономии на енергия, енергийното сертифициране на завършените работи се изисква и сумира, за да се потвърдят постигнатите средни икономии на енергия. </w:t>
            </w:r>
          </w:p>
        </w:tc>
      </w:tr>
      <w:tr>
        <w:trPr>
          <w:trHeight w:val="309"/>
        </w:trPr>
        <w:tc>
          <w:tcPr>
            <w:tcW w:w="709"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37</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C2.I5</w:t>
            </w:r>
          </w:p>
        </w:tc>
        <w:tc>
          <w:tcPr>
            <w:tcW w:w="850"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T</w:t>
            </w:r>
          </w:p>
        </w:tc>
        <w:tc>
          <w:tcPr>
            <w:tcW w:w="1985" w:type="dxa"/>
            <w:shd w:val="clear" w:color="auto" w:fill="C6EFCE"/>
            <w:noWrap/>
          </w:tcPr>
          <w:p>
            <w:pPr>
              <w:spacing w:after="0" w:line="240" w:lineRule="auto"/>
              <w:rPr>
                <w:rFonts w:ascii="Times New Roman" w:hAnsi="Times New Roman" w:cs="Times New Roman"/>
                <w:noProof/>
                <w:sz w:val="18"/>
                <w:szCs w:val="18"/>
              </w:rPr>
            </w:pPr>
            <w:r>
              <w:rPr>
                <w:rFonts w:ascii="Times New Roman" w:hAnsi="Times New Roman"/>
                <w:noProof/>
                <w:color w:val="000000"/>
                <w:sz w:val="18"/>
                <w:szCs w:val="18"/>
              </w:rPr>
              <w:t>Завършване на санирането на обществени сгради, постигане на средно намаление от най-малко 30 % на търсенето на първична енергия (най-малко 1 230 000 m</w:t>
            </w:r>
            <w:r>
              <w:rPr>
                <w:rFonts w:ascii="Times New Roman" w:hAnsi="Times New Roman"/>
                <w:noProof/>
                <w:color w:val="000000"/>
                <w:sz w:val="18"/>
                <w:szCs w:val="18"/>
                <w:vertAlign w:val="superscript"/>
              </w:rPr>
              <w:t>²</w:t>
            </w:r>
            <w:r>
              <w:rPr>
                <w:rFonts w:ascii="Times New Roman" w:hAnsi="Times New Roman"/>
                <w:noProof/>
                <w:color w:val="000000"/>
                <w:sz w:val="18"/>
                <w:szCs w:val="18"/>
              </w:rPr>
              <w:t xml:space="preserve">) </w:t>
            </w:r>
          </w:p>
        </w:tc>
        <w:tc>
          <w:tcPr>
            <w:tcW w:w="1134"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 </w:t>
            </w:r>
          </w:p>
        </w:tc>
        <w:tc>
          <w:tcPr>
            <w:tcW w:w="85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Брой (m</w:t>
            </w:r>
            <w:r>
              <w:rPr>
                <w:rFonts w:ascii="Times New Roman" w:hAnsi="Times New Roman"/>
                <w:noProof/>
                <w:color w:val="000000"/>
                <w:sz w:val="18"/>
                <w:szCs w:val="18"/>
                <w:vertAlign w:val="superscript"/>
              </w:rPr>
              <w:t>²</w:t>
            </w:r>
            <w:r>
              <w:rPr>
                <w:rFonts w:ascii="Times New Roman" w:hAnsi="Times New Roman"/>
                <w:noProof/>
                <w:color w:val="000000"/>
                <w:sz w:val="18"/>
                <w:szCs w:val="18"/>
              </w:rPr>
              <w:t>)</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290 000</w:t>
            </w:r>
          </w:p>
        </w:tc>
        <w:tc>
          <w:tcPr>
            <w:tcW w:w="851"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1 230 000</w:t>
            </w:r>
          </w:p>
        </w:tc>
        <w:tc>
          <w:tcPr>
            <w:tcW w:w="303"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T2</w:t>
            </w:r>
          </w:p>
        </w:tc>
        <w:tc>
          <w:tcPr>
            <w:tcW w:w="689"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2026</w:t>
            </w:r>
          </w:p>
        </w:tc>
        <w:tc>
          <w:tcPr>
            <w:tcW w:w="6379" w:type="dxa"/>
            <w:shd w:val="clear" w:color="auto" w:fill="C6EFCE"/>
            <w:noWrap/>
          </w:tcPr>
          <w:p>
            <w:pPr>
              <w:spacing w:after="0" w:line="240" w:lineRule="auto"/>
              <w:rPr>
                <w:rFonts w:ascii="Times New Roman" w:hAnsi="Times New Roman" w:cs="Times New Roman"/>
                <w:noProof/>
                <w:sz w:val="18"/>
                <w:szCs w:val="18"/>
              </w:rPr>
            </w:pPr>
            <w:r>
              <w:rPr>
                <w:rFonts w:ascii="Times New Roman" w:hAnsi="Times New Roman"/>
                <w:noProof/>
                <w:color w:val="000000"/>
                <w:sz w:val="18"/>
                <w:szCs w:val="18"/>
              </w:rPr>
              <w:t xml:space="preserve">Най-малко 1 230 000 m² ( кумулативно) реновирани обществени сгради, постигащи средно намаление от най-малко 30 % на потреблението на първична енергия. Проверката на сертификатите за приключване на работите или на удостоверенията за приемане на строителните работи (автономни общности) или придружаващи документи от всяка от общините, които ги получават, както е предвидено в член 30 от Закона за субсидиите (38/2003), се проверява след завършването на проекта (бил). За да се обоснове съответствието с постигнатите икономии на енергия, енергийното сертифициране на завършените работи се изисква и сумира, за да се потвърдят постигнатите средни икономии на енергия. (Базово равнище: 31 декември 2024 г. </w:t>
            </w:r>
          </w:p>
        </w:tc>
      </w:tr>
      <w:tr>
        <w:trPr>
          <w:trHeight w:val="309"/>
        </w:trPr>
        <w:tc>
          <w:tcPr>
            <w:tcW w:w="709"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38</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C2.I6</w:t>
            </w:r>
          </w:p>
        </w:tc>
        <w:tc>
          <w:tcPr>
            <w:tcW w:w="850"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T</w:t>
            </w:r>
          </w:p>
        </w:tc>
        <w:tc>
          <w:tcPr>
            <w:tcW w:w="1985" w:type="dxa"/>
            <w:shd w:val="clear" w:color="auto" w:fill="C6EFCE"/>
            <w:noWrap/>
          </w:tcPr>
          <w:p>
            <w:pPr>
              <w:spacing w:after="0" w:line="240" w:lineRule="auto"/>
              <w:rPr>
                <w:rFonts w:ascii="Times New Roman" w:hAnsi="Times New Roman" w:cs="Times New Roman"/>
                <w:noProof/>
                <w:sz w:val="18"/>
                <w:szCs w:val="18"/>
              </w:rPr>
            </w:pPr>
            <w:r>
              <w:rPr>
                <w:rFonts w:ascii="Times New Roman" w:hAnsi="Times New Roman"/>
                <w:noProof/>
                <w:color w:val="000000"/>
                <w:sz w:val="18"/>
                <w:szCs w:val="18"/>
              </w:rPr>
              <w:t xml:space="preserve">Планове за действие в рамките на испанската програма за градовете </w:t>
            </w:r>
          </w:p>
        </w:tc>
        <w:tc>
          <w:tcPr>
            <w:tcW w:w="1134"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 </w:t>
            </w:r>
          </w:p>
        </w:tc>
        <w:tc>
          <w:tcPr>
            <w:tcW w:w="85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Номер</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0</w:t>
            </w:r>
          </w:p>
        </w:tc>
        <w:tc>
          <w:tcPr>
            <w:tcW w:w="851"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100</w:t>
            </w:r>
          </w:p>
        </w:tc>
        <w:tc>
          <w:tcPr>
            <w:tcW w:w="303"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T4</w:t>
            </w:r>
          </w:p>
        </w:tc>
        <w:tc>
          <w:tcPr>
            <w:tcW w:w="689" w:type="dxa"/>
            <w:shd w:val="clear" w:color="auto" w:fill="C6EFCE"/>
            <w:noWrap/>
          </w:tcPr>
          <w:p>
            <w:pPr>
              <w:spacing w:after="0" w:line="240" w:lineRule="auto"/>
              <w:jc w:val="center"/>
              <w:rPr>
                <w:rFonts w:ascii="Times New Roman" w:hAnsi="Times New Roman" w:cs="Times New Roman"/>
                <w:noProof/>
                <w:sz w:val="18"/>
                <w:szCs w:val="18"/>
              </w:rPr>
            </w:pPr>
            <w:r>
              <w:rPr>
                <w:rFonts w:ascii="Times New Roman" w:hAnsi="Times New Roman"/>
                <w:noProof/>
                <w:color w:val="000000"/>
                <w:sz w:val="18"/>
                <w:szCs w:val="18"/>
              </w:rPr>
              <w:t>2022</w:t>
            </w:r>
          </w:p>
        </w:tc>
        <w:tc>
          <w:tcPr>
            <w:tcW w:w="6379" w:type="dxa"/>
            <w:shd w:val="clear" w:color="auto" w:fill="C6EFCE"/>
            <w:noWrap/>
          </w:tcPr>
          <w:p>
            <w:pPr>
              <w:spacing w:after="0" w:line="240" w:lineRule="auto"/>
              <w:rPr>
                <w:rFonts w:ascii="Times New Roman" w:hAnsi="Times New Roman" w:cs="Times New Roman"/>
                <w:noProof/>
                <w:sz w:val="18"/>
                <w:szCs w:val="18"/>
              </w:rPr>
            </w:pPr>
            <w:r>
              <w:rPr>
                <w:rFonts w:ascii="Times New Roman" w:hAnsi="Times New Roman"/>
                <w:noProof/>
                <w:color w:val="000000"/>
                <w:sz w:val="18"/>
                <w:szCs w:val="18"/>
              </w:rPr>
              <w:t xml:space="preserve">Най-малко 100 общини трябва да имат свой местен план за действие (стратегия за градовете), който да е одобрен и да отговаря на критериите, определени в испанската програма за градовете, включващи оценка и насоки за действие в съответствие с нейните десет стратегически цели. </w:t>
            </w:r>
          </w:p>
        </w:tc>
      </w:tr>
    </w:tbl>
    <w:p>
      <w:pPr>
        <w:spacing w:before="120" w:after="120" w:line="240" w:lineRule="auto"/>
        <w:jc w:val="both"/>
        <w:rPr>
          <w:rFonts w:ascii="Times New Roman" w:hAnsi="Times New Roman" w:cs="Times New Roman"/>
          <w:noProof/>
          <w:sz w:val="24"/>
          <w:szCs w:val="24"/>
        </w:rPr>
      </w:pPr>
    </w:p>
    <w:p>
      <w:pPr>
        <w:spacing w:before="120" w:after="120" w:line="240" w:lineRule="auto"/>
        <w:jc w:val="both"/>
        <w:rPr>
          <w:rFonts w:ascii="Times New Roman" w:hAnsi="Times New Roman" w:cs="Times New Roman"/>
          <w:noProof/>
          <w:sz w:val="24"/>
        </w:rPr>
      </w:pPr>
    </w:p>
    <w:p>
      <w:pPr>
        <w:spacing w:before="120" w:after="120" w:line="240" w:lineRule="auto"/>
        <w:jc w:val="both"/>
        <w:rPr>
          <w:rFonts w:ascii="Times New Roman" w:hAnsi="Times New Roman" w:cs="Times New Roman"/>
          <w:noProof/>
          <w:sz w:val="24"/>
        </w:rPr>
      </w:pPr>
    </w:p>
    <w:p>
      <w:pPr>
        <w:spacing w:before="120" w:after="120" w:line="240" w:lineRule="auto"/>
        <w:jc w:val="both"/>
        <w:rPr>
          <w:rFonts w:ascii="Times New Roman" w:hAnsi="Times New Roman" w:cs="Times New Roman"/>
          <w:noProof/>
          <w:sz w:val="24"/>
        </w:rPr>
        <w:sectPr>
          <w:headerReference w:type="even" r:id="rId37"/>
          <w:headerReference w:type="default" r:id="rId38"/>
          <w:footerReference w:type="even" r:id="rId39"/>
          <w:footerReference w:type="default" r:id="rId40"/>
          <w:headerReference w:type="first" r:id="rId41"/>
          <w:footerReference w:type="first" r:id="rId42"/>
          <w:pgSz w:w="16839" w:h="11907" w:orient="landscape"/>
          <w:pgMar w:top="1417" w:right="1134" w:bottom="1417" w:left="1134" w:header="709" w:footer="709" w:gutter="0"/>
          <w:cols w:space="720"/>
          <w:docGrid w:linePitch="360"/>
        </w:sectPr>
      </w:pPr>
    </w:p>
    <w:p>
      <w:pPr>
        <w:pStyle w:val="Heading1"/>
        <w:rPr>
          <w:noProof/>
        </w:rPr>
      </w:pPr>
      <w:r>
        <w:rPr>
          <w:noProof/>
        </w:rPr>
        <w:t>В. КОМПОНЕНТ 3: Екологична и цифрова трансформация на системата за земеделие и рибарство</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Този компонент на испанския план за възстановяване и устойчивост подобрява устойчивостта, конкурентоспособността и устойчивостта на хранително-вкусовия сектор и сектора на рибарството в икономически, екологичен и социален аспект. За постигането на тази цел инвестициите и реформите, включени в този компонент на испанския план за възстановяване и устойчивост, са съсредоточени върху следните елементи:</w:t>
      </w:r>
    </w:p>
    <w:p>
      <w:pPr>
        <w:numPr>
          <w:ilvl w:val="0"/>
          <w:numId w:val="29"/>
        </w:numPr>
        <w:spacing w:before="120" w:after="120" w:line="240" w:lineRule="auto"/>
        <w:ind w:left="425" w:hanging="425"/>
        <w:contextualSpacing/>
        <w:jc w:val="both"/>
        <w:rPr>
          <w:rFonts w:ascii="Times New Roman" w:hAnsi="Times New Roman" w:cs="Times New Roman"/>
          <w:noProof/>
          <w:sz w:val="24"/>
          <w:szCs w:val="24"/>
        </w:rPr>
      </w:pPr>
      <w:r>
        <w:rPr>
          <w:rFonts w:ascii="Times New Roman" w:hAnsi="Times New Roman"/>
          <w:noProof/>
          <w:sz w:val="24"/>
          <w:szCs w:val="24"/>
        </w:rPr>
        <w:t>подобряване на ефикасността и устойчивостта на напояването;</w:t>
      </w:r>
    </w:p>
    <w:p>
      <w:pPr>
        <w:numPr>
          <w:ilvl w:val="0"/>
          <w:numId w:val="29"/>
        </w:numPr>
        <w:spacing w:before="120" w:after="120" w:line="240" w:lineRule="auto"/>
        <w:ind w:left="425" w:hanging="425"/>
        <w:contextualSpacing/>
        <w:jc w:val="both"/>
        <w:rPr>
          <w:rFonts w:ascii="Times New Roman" w:hAnsi="Times New Roman" w:cs="Times New Roman"/>
          <w:noProof/>
          <w:sz w:val="24"/>
        </w:rPr>
      </w:pPr>
      <w:r>
        <w:rPr>
          <w:rFonts w:ascii="Times New Roman" w:hAnsi="Times New Roman"/>
          <w:noProof/>
          <w:sz w:val="24"/>
        </w:rPr>
        <w:t>повишаване на устойчивостта и конкурентоспособността на селското стопанство и животновъдството;</w:t>
      </w:r>
    </w:p>
    <w:p>
      <w:pPr>
        <w:numPr>
          <w:ilvl w:val="0"/>
          <w:numId w:val="29"/>
        </w:numPr>
        <w:spacing w:before="120" w:after="120" w:line="240" w:lineRule="auto"/>
        <w:ind w:left="425" w:hanging="425"/>
        <w:contextualSpacing/>
        <w:jc w:val="both"/>
        <w:rPr>
          <w:rFonts w:ascii="Times New Roman" w:hAnsi="Times New Roman" w:cs="Times New Roman"/>
          <w:noProof/>
          <w:sz w:val="24"/>
          <w:szCs w:val="24"/>
        </w:rPr>
      </w:pPr>
      <w:r>
        <w:rPr>
          <w:rFonts w:ascii="Times New Roman" w:hAnsi="Times New Roman"/>
          <w:noProof/>
          <w:sz w:val="24"/>
          <w:szCs w:val="24"/>
        </w:rPr>
        <w:t>прилагане на стратегия за насърчаване на цифровизацията в секторите на хранително-вкусовата промишленост и селските райони като цяло; и</w:t>
      </w:r>
    </w:p>
    <w:p>
      <w:pPr>
        <w:numPr>
          <w:ilvl w:val="0"/>
          <w:numId w:val="29"/>
        </w:numPr>
        <w:spacing w:before="120" w:after="120" w:line="240" w:lineRule="auto"/>
        <w:ind w:left="426" w:hanging="426"/>
        <w:jc w:val="both"/>
        <w:rPr>
          <w:rFonts w:ascii="Times New Roman" w:hAnsi="Times New Roman" w:cs="Times New Roman"/>
          <w:noProof/>
          <w:sz w:val="24"/>
        </w:rPr>
      </w:pPr>
      <w:r>
        <w:rPr>
          <w:rFonts w:ascii="Times New Roman" w:hAnsi="Times New Roman"/>
          <w:noProof/>
          <w:sz w:val="24"/>
        </w:rPr>
        <w:t>насърчаване на устойчивостта, научните изследвания, иновациите и цифровизацията на сектора на рибарството.</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Компонентът е насочен към специфичните за всяка държава препоръки за насърчаване на инвестициите в иновации и енергийна ефективност (специфична за държавата препоръка № 3 от 2019 г.), за подобряване на достъпа до цифрово обучение (специфична за държавата препоръка № 2 от 2020 г.), за насърчаване на публичните и частните инвестиции и за насърчаване на екологичния преход (специфична за държавата препоръка № 3 от 2020 г.).</w:t>
      </w:r>
    </w:p>
    <w:p>
      <w:pPr>
        <w:spacing w:before="120" w:after="120" w:line="240" w:lineRule="auto"/>
        <w:jc w:val="both"/>
        <w:rPr>
          <w:rFonts w:ascii="Times New Roman" w:hAnsi="Times New Roman" w:cs="Times New Roman"/>
          <w:noProof/>
          <w:sz w:val="24"/>
          <w:szCs w:val="24"/>
        </w:rPr>
      </w:pPr>
      <w:r>
        <w:rPr>
          <w:rFonts w:ascii="Times New Roman" w:hAnsi="Times New Roman"/>
          <w:noProof/>
          <w:color w:val="000000" w:themeColor="text1"/>
          <w:sz w:val="24"/>
          <w:szCs w:val="24"/>
        </w:rPr>
        <w:t xml:space="preserve">Очаква се, че нито една мярка в този компонент не вреди в значителна степен на екологичните цели по смисъла на член 17 от Регламент (ЕС) 2020/852, като се вземат предвид описанието на мерките и стъпките за смекчаване на последиците, определени в плана за възстановяване и устойчивост в съответствие с Техническите насоки за спазването на „принципа за ненанасяне на съществена вреда“ (2021/C58/01). </w:t>
      </w:r>
    </w:p>
    <w:p>
      <w:pPr>
        <w:spacing w:before="120" w:after="120" w:line="240" w:lineRule="auto"/>
        <w:ind w:left="720"/>
        <w:jc w:val="both"/>
        <w:rPr>
          <w:rFonts w:ascii="Times New Roman" w:hAnsi="Times New Roman" w:cs="Times New Roman"/>
          <w:b/>
          <w:bCs/>
          <w:i/>
          <w:iCs/>
          <w:noProof/>
          <w:color w:val="4F81BD" w:themeColor="accent1"/>
          <w:sz w:val="24"/>
        </w:rPr>
      </w:pPr>
      <w:r>
        <w:rPr>
          <w:rFonts w:ascii="Times New Roman" w:hAnsi="Times New Roman"/>
          <w:b/>
          <w:bCs/>
          <w:noProof/>
          <w:sz w:val="24"/>
          <w:u w:val="single"/>
        </w:rPr>
        <w:t xml:space="preserve">В.1. </w:t>
      </w:r>
      <w:r>
        <w:rPr>
          <w:rFonts w:ascii="Times New Roman" w:hAnsi="Times New Roman"/>
          <w:b/>
          <w:noProof/>
          <w:sz w:val="24"/>
          <w:u w:val="single"/>
        </w:rPr>
        <w:tab/>
      </w:r>
      <w:r>
        <w:rPr>
          <w:rFonts w:ascii="Times New Roman" w:hAnsi="Times New Roman"/>
          <w:b/>
          <w:bCs/>
          <w:noProof/>
          <w:sz w:val="24"/>
          <w:u w:val="single"/>
        </w:rPr>
        <w:t>Описание на реформите и инвестициите за безвъзмездна финансова подкрепа</w:t>
      </w:r>
    </w:p>
    <w:p>
      <w:pPr>
        <w:spacing w:before="120" w:after="120" w:line="240" w:lineRule="auto"/>
        <w:jc w:val="both"/>
        <w:rPr>
          <w:rFonts w:ascii="Times New Roman" w:hAnsi="Times New Roman" w:cs="Times New Roman"/>
          <w:noProof/>
          <w:sz w:val="24"/>
          <w:szCs w:val="24"/>
          <w:u w:val="single"/>
        </w:rPr>
      </w:pPr>
      <w:r>
        <w:rPr>
          <w:rFonts w:ascii="Times New Roman" w:hAnsi="Times New Roman"/>
          <w:noProof/>
          <w:sz w:val="24"/>
          <w:szCs w:val="24"/>
          <w:u w:val="single"/>
        </w:rPr>
        <w:t>Реформа 1 (C3.R1) – Изменение на правилата, уреждащи търговските отношения по хранителната верига, включително изменение на Закон 12/2013 от 2 август 2007 г. относно мерките за подобряване на функционирането на хранителната верига</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Целта на тази мярка е да се подобри функционирането на хранителната верига чрез изменение на националното законодателство, уреждащо търговските отношения по хранителната верига (Закон 12/2013), включително, но надхвърляйки транспонирането на Директива (ЕС) 2019/633. Мярката обхваща най-малко:</w:t>
      </w:r>
    </w:p>
    <w:p>
      <w:pPr>
        <w:numPr>
          <w:ilvl w:val="0"/>
          <w:numId w:val="30"/>
        </w:numPr>
        <w:spacing w:before="120" w:after="120" w:line="240" w:lineRule="auto"/>
        <w:ind w:left="425" w:hanging="425"/>
        <w:contextualSpacing/>
        <w:jc w:val="both"/>
        <w:rPr>
          <w:rFonts w:ascii="Times New Roman" w:hAnsi="Times New Roman" w:cs="Times New Roman"/>
          <w:noProof/>
          <w:sz w:val="24"/>
          <w:szCs w:val="24"/>
        </w:rPr>
      </w:pPr>
      <w:r>
        <w:rPr>
          <w:rFonts w:ascii="Times New Roman" w:hAnsi="Times New Roman"/>
          <w:noProof/>
          <w:sz w:val="24"/>
          <w:szCs w:val="24"/>
        </w:rPr>
        <w:t>разширяване на приложното поле на законодателството чрез включване на i) търговските отношения както на държави членки, така и на трети държави, когато даден оператор се намира в Испания, и ii) суровини и други продукти, обхванати от приложение I към Договора за функционирането на Европейския съюз;</w:t>
      </w:r>
    </w:p>
    <w:p>
      <w:pPr>
        <w:numPr>
          <w:ilvl w:val="0"/>
          <w:numId w:val="30"/>
        </w:numPr>
        <w:spacing w:before="120" w:after="120" w:line="240" w:lineRule="auto"/>
        <w:ind w:left="425" w:hanging="425"/>
        <w:contextualSpacing/>
        <w:jc w:val="both"/>
        <w:rPr>
          <w:rFonts w:ascii="Times New Roman" w:hAnsi="Times New Roman" w:cs="Times New Roman"/>
          <w:noProof/>
          <w:sz w:val="24"/>
          <w:szCs w:val="24"/>
        </w:rPr>
      </w:pPr>
      <w:r>
        <w:rPr>
          <w:rFonts w:ascii="Times New Roman" w:hAnsi="Times New Roman"/>
          <w:noProof/>
          <w:sz w:val="24"/>
          <w:szCs w:val="24"/>
        </w:rPr>
        <w:t>разширяване на минималното съдържание на договорите за храни чрез включване на i) договорни санкции, ii) изключения поради форсмажорни обстоятелства и iii) позоваване на искането за медиация от участващите страни за разглеждане на случаи на липса на споразумение;</w:t>
      </w:r>
    </w:p>
    <w:p>
      <w:pPr>
        <w:numPr>
          <w:ilvl w:val="0"/>
          <w:numId w:val="30"/>
        </w:numPr>
        <w:spacing w:before="120" w:after="120" w:line="240" w:lineRule="auto"/>
        <w:ind w:left="425" w:hanging="425"/>
        <w:contextualSpacing/>
        <w:jc w:val="both"/>
        <w:rPr>
          <w:rFonts w:ascii="Times New Roman" w:hAnsi="Times New Roman" w:cs="Times New Roman"/>
          <w:noProof/>
          <w:sz w:val="24"/>
        </w:rPr>
      </w:pPr>
      <w:r>
        <w:rPr>
          <w:rFonts w:ascii="Times New Roman" w:hAnsi="Times New Roman"/>
          <w:noProof/>
          <w:sz w:val="24"/>
        </w:rPr>
        <w:t>разширяване на списъка с нелоялните търговски практики, като едностранно изменение на договорите по отношение на обема или връщането на непродадени продукти; и</w:t>
      </w:r>
    </w:p>
    <w:p>
      <w:pPr>
        <w:numPr>
          <w:ilvl w:val="0"/>
          <w:numId w:val="30"/>
        </w:numPr>
        <w:spacing w:before="120" w:after="120" w:line="240" w:lineRule="auto"/>
        <w:ind w:left="426" w:hanging="426"/>
        <w:jc w:val="both"/>
        <w:rPr>
          <w:rFonts w:ascii="Times New Roman" w:hAnsi="Times New Roman" w:cs="Times New Roman"/>
          <w:noProof/>
          <w:sz w:val="24"/>
        </w:rPr>
      </w:pPr>
      <w:r>
        <w:rPr>
          <w:rFonts w:ascii="Times New Roman" w:hAnsi="Times New Roman"/>
          <w:noProof/>
          <w:sz w:val="24"/>
        </w:rPr>
        <w:t>признаване на Агенцията за информация и контрол на храните като орган, отговарящ за създаването и развитието на системата за контрол, необходима за проверка на спазването на законодателството на национално равнище, и като звено за контакт за сътрудничество между правоприлагащите органи, както и с Европейската комисия и автономните области в съответните им териториални области.</w:t>
      </w:r>
      <w:r>
        <w:rPr>
          <w:rFonts w:ascii="Times New Roman" w:hAnsi="Times New Roman"/>
          <w:noProof/>
          <w:sz w:val="24"/>
        </w:rPr>
        <w:tab/>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Мярката допълва i) Кралски законодателен указ 5/2020 от 25 февруари 2020 г., с който бяха приети спешни мерки по отношение на селското стопанство и храните, и ii) Закон 8/2020 за изменение на Закон 12/2013 относно спешните мерки за подобряване на функционирането на хранителната верига.</w:t>
      </w:r>
    </w:p>
    <w:p>
      <w:pPr>
        <w:spacing w:before="120" w:after="120" w:line="240" w:lineRule="auto"/>
        <w:jc w:val="both"/>
        <w:rPr>
          <w:rFonts w:ascii="Times New Roman" w:hAnsi="Times New Roman" w:cs="Times New Roman"/>
          <w:noProof/>
          <w:sz w:val="24"/>
        </w:rPr>
      </w:pPr>
      <w:r>
        <w:rPr>
          <w:rFonts w:ascii="Times New Roman" w:hAnsi="Times New Roman"/>
          <w:noProof/>
          <w:sz w:val="24"/>
        </w:rPr>
        <w:t>Изпълнението на мярката приключва до 31 декември 2021 г.</w:t>
      </w:r>
    </w:p>
    <w:p>
      <w:pPr>
        <w:spacing w:before="120" w:after="120" w:line="240" w:lineRule="auto"/>
        <w:jc w:val="both"/>
        <w:rPr>
          <w:rFonts w:ascii="Times New Roman" w:hAnsi="Times New Roman" w:cs="Times New Roman"/>
          <w:noProof/>
          <w:sz w:val="24"/>
          <w:u w:val="single"/>
        </w:rPr>
      </w:pPr>
      <w:r>
        <w:rPr>
          <w:rFonts w:ascii="Times New Roman" w:hAnsi="Times New Roman"/>
          <w:noProof/>
          <w:sz w:val="24"/>
          <w:u w:val="single"/>
        </w:rPr>
        <w:t>Реформа 2 (C3.R2) – Разработване и преразглеждане на регулаторната рамка за екологичната устойчивост на животновъдството</w:t>
      </w:r>
    </w:p>
    <w:p>
      <w:pPr>
        <w:spacing w:before="120" w:after="120" w:line="240" w:lineRule="auto"/>
        <w:jc w:val="both"/>
        <w:rPr>
          <w:rFonts w:ascii="Times New Roman" w:hAnsi="Times New Roman" w:cs="Times New Roman"/>
          <w:noProof/>
          <w:sz w:val="24"/>
        </w:rPr>
      </w:pPr>
      <w:r>
        <w:rPr>
          <w:rFonts w:ascii="Times New Roman" w:hAnsi="Times New Roman"/>
          <w:noProof/>
          <w:sz w:val="24"/>
        </w:rPr>
        <w:t>Тази мярка подобрява екологичната устойчивост на животновъдството чрез разработване и преразглеждане на законодателната рамка, както следва:</w:t>
      </w:r>
    </w:p>
    <w:p>
      <w:pPr>
        <w:numPr>
          <w:ilvl w:val="0"/>
          <w:numId w:val="31"/>
        </w:numPr>
        <w:spacing w:before="120" w:after="120" w:line="240" w:lineRule="auto"/>
        <w:ind w:left="425" w:hanging="425"/>
        <w:contextualSpacing/>
        <w:jc w:val="both"/>
        <w:rPr>
          <w:rFonts w:ascii="Times New Roman" w:hAnsi="Times New Roman" w:cs="Times New Roman"/>
          <w:noProof/>
          <w:sz w:val="24"/>
          <w:szCs w:val="24"/>
        </w:rPr>
      </w:pPr>
      <w:r>
        <w:rPr>
          <w:rFonts w:ascii="Times New Roman" w:hAnsi="Times New Roman"/>
          <w:noProof/>
          <w:sz w:val="24"/>
          <w:szCs w:val="24"/>
        </w:rPr>
        <w:t>разработване на общ регистър на най-добрите налични техники (НДНТ), за да се улесни изчисляването на емисиите на замърсители и парникови газове (ПГ) в свиневъдните и птицевъдните стопанства, както и включването на други данни за околната среда. Мярката предоставя по-добра оценка на спазването от страна на животновъдите на ангажиментите за емисии на парникови газове и замърсители.</w:t>
      </w:r>
    </w:p>
    <w:p>
      <w:pPr>
        <w:numPr>
          <w:ilvl w:val="0"/>
          <w:numId w:val="31"/>
        </w:numPr>
        <w:spacing w:before="120" w:after="120" w:line="240" w:lineRule="auto"/>
        <w:ind w:left="426" w:hanging="426"/>
        <w:jc w:val="both"/>
        <w:rPr>
          <w:rFonts w:ascii="Times New Roman" w:hAnsi="Times New Roman" w:cs="Times New Roman"/>
          <w:noProof/>
          <w:sz w:val="24"/>
          <w:szCs w:val="24"/>
        </w:rPr>
      </w:pPr>
      <w:r>
        <w:rPr>
          <w:rFonts w:ascii="Times New Roman" w:hAnsi="Times New Roman"/>
          <w:noProof/>
          <w:sz w:val="24"/>
          <w:szCs w:val="24"/>
        </w:rPr>
        <w:t>постепенно преразглеждане на законодателството в областта на планирането в секторите на животновъдството, в което се определят изисквания относно местоположението, разстоянието, размера, здравните условия, биологичната сигурност и инфраструктурата в областта на околната среда и хуманното отношение към животните в стопанствата в сектори, които вече разполагат с такова (свиневъдство), както и създаване на нова регулаторна рамка в сектори (птицевъдство), които все още не са регулирани. Тя установява индивидуални секторни ангажименти за намаляване на емисиите, като определя изисквания в зависимост от техния принос за генерирането на замърсители, в съответствие с принципа на пропорционалност.</w:t>
      </w:r>
    </w:p>
    <w:p>
      <w:pPr>
        <w:spacing w:before="120" w:after="120" w:line="240" w:lineRule="auto"/>
        <w:jc w:val="both"/>
        <w:rPr>
          <w:rFonts w:ascii="Times New Roman" w:hAnsi="Times New Roman" w:cs="Times New Roman"/>
          <w:noProof/>
          <w:sz w:val="24"/>
        </w:rPr>
      </w:pPr>
      <w:r>
        <w:rPr>
          <w:rFonts w:ascii="Times New Roman" w:hAnsi="Times New Roman"/>
          <w:noProof/>
          <w:sz w:val="24"/>
        </w:rPr>
        <w:t>Мярката включва и двете законодателни разпоредби, които ще бъдат публикувани до края на 2022 г. В него се предвижда също, че до 31 декември 2023 г. ще започне да функционира общият регистър на НДНТ за свинефермите и птицефермите. Прилагането на преразгледаното законодателство в областта на планирането се извършва постепенно в рамките на приблизително две години от публикуването му.</w:t>
      </w:r>
    </w:p>
    <w:p>
      <w:pPr>
        <w:spacing w:before="120" w:after="120" w:line="240" w:lineRule="auto"/>
        <w:jc w:val="both"/>
        <w:rPr>
          <w:rFonts w:ascii="Times New Roman" w:hAnsi="Times New Roman" w:cs="Times New Roman"/>
          <w:noProof/>
          <w:sz w:val="24"/>
        </w:rPr>
      </w:pPr>
      <w:r>
        <w:rPr>
          <w:rFonts w:ascii="Times New Roman" w:hAnsi="Times New Roman"/>
          <w:noProof/>
          <w:sz w:val="24"/>
        </w:rPr>
        <w:t>Изпълнението на мярката приключва до 31 декември 2022 г.</w:t>
      </w:r>
    </w:p>
    <w:p>
      <w:pPr>
        <w:spacing w:before="120" w:after="120" w:line="240" w:lineRule="auto"/>
        <w:jc w:val="both"/>
        <w:rPr>
          <w:rFonts w:ascii="Times New Roman" w:hAnsi="Times New Roman" w:cs="Times New Roman"/>
          <w:noProof/>
          <w:sz w:val="24"/>
          <w:u w:val="single"/>
        </w:rPr>
      </w:pPr>
      <w:r>
        <w:rPr>
          <w:rFonts w:ascii="Times New Roman" w:hAnsi="Times New Roman"/>
          <w:noProof/>
          <w:sz w:val="24"/>
          <w:u w:val="single"/>
        </w:rPr>
        <w:t>Реформа 3 (C3.R3) – Законодателна рамка за устойчиво хранене в земеделските почви и законодателство относно замърсяването от земеделски произход</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Целта на тази мярка е да се регулира наторяването в селското стопанство, за да се обърне внимание на различните източници на внасяне на хранителни вещества в земеделските почви по последователен начин. Освен това по нея се предоставят технически съвети на земеделските стопани, за да им помогне да спазват правните изисквания и да рационализират наторяването. Това включва: i) да се справи с неблагоприятните последици от изменението на климата; i) намаляване на замърсяването на водите с нитрати и фосфати от земеделски произход; и iii) подобряване на качеството на въздуха.</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Предложената законодателна рамка е свързана с друг правен инструмент: проекта на кралски указ за опазване на водите от дифузно замърсяване, причинено от нитрати от селскостопански източници (който заменя Кралски указ 261/1996 от 16 февруари). То също така е свързано с изготвянето на план за действие за предотвратяване, коригиране и намаляване на дифузното замърсяване, причинено от нитрати, особено от селскостопански източници. С тази мярка се въвежда кралски указ, с който се транспонира Директива 91/676/ЕИО от 12 декември 1991 г. за опазване на водите от замърсяване с нитрати от селскостопански източници, като се поставят по-амбициозни цели от Директивата за нитратите и се засилва сближаването с целите за планиране на водите съгласно Рамковата директива за водите.</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Изпълнението на </w:t>
      </w:r>
      <w:r>
        <w:rPr>
          <w:rFonts w:ascii="Times New Roman" w:hAnsi="Times New Roman"/>
          <w:noProof/>
          <w:sz w:val="24"/>
        </w:rPr>
        <w:t xml:space="preserve">мярката </w:t>
      </w:r>
      <w:r>
        <w:rPr>
          <w:rFonts w:ascii="Times New Roman" w:hAnsi="Times New Roman"/>
          <w:noProof/>
          <w:sz w:val="24"/>
          <w:szCs w:val="24"/>
        </w:rPr>
        <w:t xml:space="preserve">приключва до 31 март 2023 г. </w:t>
      </w:r>
    </w:p>
    <w:p>
      <w:pPr>
        <w:spacing w:before="120" w:after="120" w:line="240" w:lineRule="auto"/>
        <w:jc w:val="both"/>
        <w:rPr>
          <w:rFonts w:ascii="Times New Roman" w:hAnsi="Times New Roman" w:cs="Times New Roman"/>
          <w:noProof/>
          <w:sz w:val="24"/>
          <w:u w:val="single"/>
        </w:rPr>
      </w:pPr>
      <w:r>
        <w:rPr>
          <w:rFonts w:ascii="Times New Roman" w:hAnsi="Times New Roman"/>
          <w:noProof/>
          <w:sz w:val="24"/>
          <w:u w:val="single"/>
        </w:rPr>
        <w:t>Реформа 4 (C3.R4) – Насърчаване на управлението и устойчивото управление на напояването в Испания</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Целта на тази мярка е да се създаде механизъм за управление на национално равнище, който да позволи на всички сектори и равнища на съответните публични органи да си сътрудничат в областта на напояването. Това включва екологична устойчивост, критерии за изпълнение и аспекти, свързани с приложимото законодателство. С мярката се създава обсерватория за устойчивостта на напояването в Испания, която да предоставя данни за икономическото, социалното и екологичното въздействие на напояването на територията.</w:t>
      </w:r>
    </w:p>
    <w:p>
      <w:pPr>
        <w:spacing w:before="120" w:after="120" w:line="240" w:lineRule="auto"/>
        <w:jc w:val="both"/>
        <w:rPr>
          <w:rFonts w:ascii="Times New Roman" w:hAnsi="Times New Roman" w:cs="Times New Roman"/>
          <w:noProof/>
          <w:sz w:val="24"/>
          <w:u w:val="single"/>
        </w:rPr>
      </w:pPr>
      <w:r>
        <w:rPr>
          <w:rFonts w:ascii="Times New Roman" w:hAnsi="Times New Roman"/>
          <w:noProof/>
          <w:sz w:val="24"/>
        </w:rPr>
        <w:t>Изпълнението на реформата приключва до 31 декември 2022 г.</w:t>
      </w:r>
    </w:p>
    <w:p>
      <w:pPr>
        <w:spacing w:before="120" w:after="120" w:line="240" w:lineRule="auto"/>
        <w:jc w:val="both"/>
        <w:rPr>
          <w:rFonts w:ascii="Times New Roman" w:hAnsi="Times New Roman" w:cs="Times New Roman"/>
          <w:noProof/>
          <w:sz w:val="24"/>
          <w:u w:val="single"/>
        </w:rPr>
      </w:pPr>
      <w:r>
        <w:rPr>
          <w:rFonts w:ascii="Times New Roman" w:hAnsi="Times New Roman"/>
          <w:noProof/>
          <w:sz w:val="24"/>
          <w:u w:val="single"/>
        </w:rPr>
        <w:t>Реформа 5 (C3.R5) – Изпълнение на план за действие II от Стратегията за цифровизиране на селските райони и селските райони</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Тази мярка има за цел да продължи изпълнението на испанската стратегия за цифровизация на хранително-вкусовата и селските райони, приета от испанското правителство през март 2019 г. Мярката съдържа втори план за действие, който отговаря на трите основни цели на стратегията: i) намаляване на цифровото разделение; ii) насърчаване на използването на данни; и iii) насърчаване на развитието на бизнеса и новите бизнес модели.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Мярката продължава да подкрепя приемането и включването на цифрови процеси и умения в икономическата дейност, свързана със селските райони и тяхната социална структура. Мярката разработва, разработва и изпълнява втория план за действие на стратегията за цифровизация на селскостопанския и хранително-вкусовия сектор и селските райони.</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Изпълнението на </w:t>
      </w:r>
      <w:r>
        <w:rPr>
          <w:rFonts w:ascii="Times New Roman" w:hAnsi="Times New Roman"/>
          <w:noProof/>
          <w:sz w:val="24"/>
        </w:rPr>
        <w:t xml:space="preserve">мярката </w:t>
      </w:r>
      <w:r>
        <w:rPr>
          <w:rFonts w:ascii="Times New Roman" w:hAnsi="Times New Roman"/>
          <w:noProof/>
          <w:sz w:val="24"/>
          <w:szCs w:val="24"/>
        </w:rPr>
        <w:t>приключва до 31 декември 2023 г.</w:t>
      </w:r>
    </w:p>
    <w:p>
      <w:pPr>
        <w:spacing w:before="120" w:after="120" w:line="240" w:lineRule="auto"/>
        <w:jc w:val="both"/>
        <w:rPr>
          <w:rFonts w:ascii="Times New Roman" w:hAnsi="Times New Roman" w:cs="Times New Roman"/>
          <w:noProof/>
          <w:sz w:val="24"/>
          <w:u w:val="single"/>
        </w:rPr>
      </w:pPr>
      <w:r>
        <w:rPr>
          <w:rFonts w:ascii="Times New Roman" w:hAnsi="Times New Roman"/>
          <w:noProof/>
          <w:sz w:val="24"/>
          <w:u w:val="single"/>
        </w:rPr>
        <w:t>Реформа 6 (C3.R6) – Преразглеждане на националната регулаторна рамка за регулиране на устойчивото рибарство</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Целта на мярката е: i) насърчаване на интегрирането на икономическата и социалната устойчивост в управлението на рибарството; ii) осигурява по-голяма правна сигурност за всички участници в сектора на рибарството; и iii) осигуряване на по-голяма прозрачност, модернизиране и цифровизация в управлението на рибарството. Мярката отчита целите на политиките и предизвикателствата на ЕС, включително реформата на общата политика в областта на рибарството, стратегията за биологичното разнообразие до 2030 г., морските стратегии и целите за устойчиво развитие.</w:t>
      </w:r>
    </w:p>
    <w:p>
      <w:pPr>
        <w:spacing w:before="120" w:after="120" w:line="240" w:lineRule="auto"/>
        <w:jc w:val="both"/>
        <w:rPr>
          <w:rFonts w:ascii="Times New Roman" w:hAnsi="Times New Roman" w:cs="Times New Roman"/>
          <w:noProof/>
          <w:sz w:val="24"/>
        </w:rPr>
      </w:pPr>
      <w:r>
        <w:rPr>
          <w:rFonts w:ascii="Times New Roman" w:hAnsi="Times New Roman"/>
          <w:noProof/>
          <w:sz w:val="24"/>
        </w:rPr>
        <w:t>За постигането на тези цели мярката трябва да постигне следното:</w:t>
      </w:r>
    </w:p>
    <w:p>
      <w:pPr>
        <w:numPr>
          <w:ilvl w:val="0"/>
          <w:numId w:val="32"/>
        </w:numPr>
        <w:spacing w:before="120" w:after="120" w:line="240" w:lineRule="auto"/>
        <w:ind w:left="425" w:hanging="425"/>
        <w:contextualSpacing/>
        <w:jc w:val="both"/>
        <w:rPr>
          <w:rFonts w:ascii="Times New Roman" w:hAnsi="Times New Roman" w:cs="Times New Roman"/>
          <w:noProof/>
          <w:sz w:val="24"/>
          <w:szCs w:val="24"/>
        </w:rPr>
      </w:pPr>
      <w:r>
        <w:rPr>
          <w:rFonts w:ascii="Times New Roman" w:hAnsi="Times New Roman"/>
          <w:noProof/>
          <w:sz w:val="24"/>
          <w:szCs w:val="24"/>
        </w:rPr>
        <w:t xml:space="preserve">преразглеждане на действащия закон в областта на рибарството, за да се приведе в съответствие с новите критерии за устойчивост и нуждите от научни изследвания в областта на рибарството; </w:t>
      </w:r>
    </w:p>
    <w:p>
      <w:pPr>
        <w:numPr>
          <w:ilvl w:val="0"/>
          <w:numId w:val="32"/>
        </w:numPr>
        <w:spacing w:before="120" w:after="120" w:line="240" w:lineRule="auto"/>
        <w:ind w:left="425" w:hanging="425"/>
        <w:contextualSpacing/>
        <w:jc w:val="both"/>
        <w:rPr>
          <w:rFonts w:ascii="Times New Roman" w:hAnsi="Times New Roman" w:cs="Times New Roman"/>
          <w:noProof/>
          <w:sz w:val="24"/>
        </w:rPr>
      </w:pPr>
      <w:r>
        <w:rPr>
          <w:rFonts w:ascii="Times New Roman" w:hAnsi="Times New Roman"/>
          <w:noProof/>
          <w:sz w:val="24"/>
        </w:rPr>
        <w:t>актуализиране на управлението на различните инструменти, методи и преброявания на националните риболовни зони чрез кралски указ; и</w:t>
      </w:r>
    </w:p>
    <w:p>
      <w:pPr>
        <w:numPr>
          <w:ilvl w:val="0"/>
          <w:numId w:val="32"/>
        </w:numPr>
        <w:spacing w:before="120" w:after="120" w:line="240" w:lineRule="auto"/>
        <w:ind w:left="426" w:hanging="426"/>
        <w:jc w:val="both"/>
        <w:rPr>
          <w:rFonts w:ascii="Times New Roman" w:hAnsi="Times New Roman" w:cs="Times New Roman"/>
          <w:noProof/>
          <w:sz w:val="24"/>
          <w:szCs w:val="24"/>
        </w:rPr>
      </w:pPr>
      <w:r>
        <w:rPr>
          <w:rFonts w:ascii="Times New Roman" w:hAnsi="Times New Roman"/>
          <w:noProof/>
          <w:sz w:val="24"/>
          <w:szCs w:val="24"/>
        </w:rPr>
        <w:t>прилагане на закон за модернизиране на системите за контрол, инспекция и санкциониране в областта на рибарството.</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Публикуването на кралски указ за подобряване на управлението на различните инструменти, методи и жалби в националните риболовни зони е предвидено до 30 юни 2022 г.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Изпълнението на </w:t>
      </w:r>
      <w:r>
        <w:rPr>
          <w:rFonts w:ascii="Times New Roman" w:hAnsi="Times New Roman"/>
          <w:noProof/>
          <w:sz w:val="24"/>
        </w:rPr>
        <w:t xml:space="preserve">мярката </w:t>
      </w:r>
      <w:r>
        <w:rPr>
          <w:rFonts w:ascii="Times New Roman" w:hAnsi="Times New Roman"/>
          <w:noProof/>
          <w:sz w:val="24"/>
          <w:szCs w:val="24"/>
        </w:rPr>
        <w:t>приключва до 31 декември 2022 г.</w:t>
      </w:r>
    </w:p>
    <w:p>
      <w:pPr>
        <w:spacing w:before="120" w:after="120" w:line="240" w:lineRule="auto"/>
        <w:jc w:val="both"/>
        <w:rPr>
          <w:rFonts w:ascii="Times New Roman" w:hAnsi="Times New Roman" w:cs="Times New Roman"/>
          <w:noProof/>
          <w:sz w:val="24"/>
          <w:u w:val="single"/>
        </w:rPr>
      </w:pPr>
      <w:r>
        <w:rPr>
          <w:rFonts w:ascii="Times New Roman" w:hAnsi="Times New Roman"/>
          <w:noProof/>
          <w:sz w:val="24"/>
          <w:u w:val="single"/>
        </w:rPr>
        <w:t xml:space="preserve">Инвестиции 1 (C3.I1) – План за подобряване на ефективността и устойчивостта на напояването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Целта на тази мярка е да се подобрят ефикасността и устойчивостта на напояването чрез набор от подбрани действия. Тя насърчава икономиите на вода и енергийната ефективност при напоителните дейности. Тези действия включват:</w:t>
      </w:r>
    </w:p>
    <w:p>
      <w:pPr>
        <w:numPr>
          <w:ilvl w:val="0"/>
          <w:numId w:val="37"/>
        </w:numPr>
        <w:spacing w:before="120" w:after="120" w:line="240" w:lineRule="auto"/>
        <w:ind w:left="425" w:hanging="425"/>
        <w:contextualSpacing/>
        <w:jc w:val="both"/>
        <w:rPr>
          <w:rFonts w:ascii="Times New Roman" w:hAnsi="Times New Roman" w:cs="Times New Roman"/>
          <w:noProof/>
          <w:sz w:val="24"/>
          <w:szCs w:val="24"/>
        </w:rPr>
      </w:pPr>
      <w:r>
        <w:rPr>
          <w:rFonts w:ascii="Times New Roman" w:hAnsi="Times New Roman"/>
          <w:noProof/>
          <w:sz w:val="24"/>
          <w:szCs w:val="24"/>
        </w:rPr>
        <w:t>модернизиране на действията, включително най-малко: действия в области, които заменят повърхностните или подземните води с използването на неконвенционални водни ресурси (като например рециклирана вода в съответствие с Регламент (ЕС) 2020/741 и обезсолени води в съответствие с Технически насоки „Ненанасяне на значителни вреди“ 2021/C58/01) като част от процеса на модернизация; и ii) действия, които увеличават икономиите на вода или постигат допълнително намаляване на потреблението на вода или по-големи икономии на енергия;</w:t>
      </w:r>
    </w:p>
    <w:p>
      <w:pPr>
        <w:numPr>
          <w:ilvl w:val="0"/>
          <w:numId w:val="37"/>
        </w:numPr>
        <w:spacing w:before="120" w:after="120" w:line="240" w:lineRule="auto"/>
        <w:ind w:left="425" w:hanging="425"/>
        <w:contextualSpacing/>
        <w:jc w:val="both"/>
        <w:rPr>
          <w:rFonts w:ascii="Times New Roman" w:hAnsi="Times New Roman" w:cs="Times New Roman"/>
          <w:noProof/>
          <w:sz w:val="24"/>
          <w:szCs w:val="24"/>
        </w:rPr>
      </w:pPr>
      <w:r>
        <w:rPr>
          <w:rFonts w:ascii="Times New Roman" w:hAnsi="Times New Roman"/>
          <w:noProof/>
          <w:sz w:val="24"/>
          <w:szCs w:val="24"/>
        </w:rPr>
        <w:t>модернизиране на напоителните системи с енергийно въздействие, включително i) преференциално третиране на действия, които не изискват електроенергия за експлоатацията им, пред тези, които се нуждаят от нея или се нуждаят от енергия от възобновяеми източници; и ii) мерки за модернизация с цел улесняване на енергийната независимост, включително използването на енергия от възобновяеми източници; и</w:t>
      </w:r>
    </w:p>
    <w:p>
      <w:pPr>
        <w:numPr>
          <w:ilvl w:val="0"/>
          <w:numId w:val="37"/>
        </w:numPr>
        <w:spacing w:before="120" w:after="120" w:line="240" w:lineRule="auto"/>
        <w:ind w:left="426" w:hanging="426"/>
        <w:jc w:val="both"/>
        <w:rPr>
          <w:rFonts w:ascii="Times New Roman" w:hAnsi="Times New Roman" w:cs="Times New Roman"/>
          <w:noProof/>
          <w:sz w:val="24"/>
          <w:szCs w:val="24"/>
        </w:rPr>
      </w:pPr>
      <w:r>
        <w:rPr>
          <w:rFonts w:ascii="Times New Roman" w:hAnsi="Times New Roman"/>
          <w:noProof/>
          <w:sz w:val="24"/>
          <w:szCs w:val="24"/>
        </w:rPr>
        <w:t>насърчаване на нови технологии, като: i) действия, позволяващи по-високи нива на внедряване на нови технологии и иновации с цел постигане на по-ефективно напояване; и ii) действия, които предлагат по-висока степен на интензивност на модернизацията на напояването.</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Изпълнението на мярката се осъществява от публичното предприятие </w:t>
      </w:r>
      <w:r>
        <w:rPr>
          <w:rFonts w:ascii="Times New Roman" w:hAnsi="Times New Roman"/>
          <w:i/>
          <w:noProof/>
          <w:sz w:val="24"/>
          <w:szCs w:val="24"/>
        </w:rPr>
        <w:t>Sociedad Estatal de Infraestructuras Agrarias</w:t>
      </w:r>
      <w:r>
        <w:rPr>
          <w:rFonts w:ascii="Times New Roman" w:hAnsi="Times New Roman"/>
          <w:noProof/>
          <w:sz w:val="24"/>
          <w:szCs w:val="24"/>
        </w:rPr>
        <w:t xml:space="preserve"> (SEIASA). За тази цел, споразумение между Министерството на земеделието, рибарството и храните (MAPA) и SEIASA урежда режима на публично/частно финансиране за инвестиции в модернизацията на напояването, критериите за подбор на проекти, процедурите за изпълнение на плана, както и списъка на действията, които трябва да бъдат извършени. Този списък от действия включва най-малко:</w:t>
      </w:r>
    </w:p>
    <w:p>
      <w:pPr>
        <w:numPr>
          <w:ilvl w:val="0"/>
          <w:numId w:val="39"/>
        </w:numPr>
        <w:spacing w:before="120" w:after="120" w:line="240" w:lineRule="auto"/>
        <w:ind w:left="357" w:hanging="357"/>
        <w:contextualSpacing/>
        <w:jc w:val="both"/>
        <w:rPr>
          <w:rFonts w:ascii="Times New Roman" w:hAnsi="Times New Roman" w:cs="Times New Roman"/>
          <w:noProof/>
          <w:sz w:val="24"/>
          <w:szCs w:val="24"/>
        </w:rPr>
      </w:pPr>
      <w:r>
        <w:rPr>
          <w:rFonts w:ascii="Times New Roman" w:hAnsi="Times New Roman"/>
          <w:noProof/>
          <w:sz w:val="24"/>
          <w:szCs w:val="24"/>
        </w:rPr>
        <w:t xml:space="preserve">заместване на използването на подземни или повърхностни води с използването на неконвенционални водни ресурси (рециклирана вода или обезсолена вода в съответствие с Техническите насоки „Ненанасяне на значителни вреди“ (2021/C58/01)); </w:t>
      </w:r>
    </w:p>
    <w:p>
      <w:pPr>
        <w:numPr>
          <w:ilvl w:val="0"/>
          <w:numId w:val="39"/>
        </w:numPr>
        <w:spacing w:before="120" w:after="120" w:line="240" w:lineRule="auto"/>
        <w:ind w:left="357" w:hanging="357"/>
        <w:contextualSpacing/>
        <w:jc w:val="both"/>
        <w:rPr>
          <w:rFonts w:ascii="Times New Roman" w:hAnsi="Times New Roman" w:cs="Times New Roman"/>
          <w:noProof/>
          <w:sz w:val="24"/>
        </w:rPr>
      </w:pPr>
      <w:r>
        <w:rPr>
          <w:rFonts w:ascii="Times New Roman" w:hAnsi="Times New Roman"/>
          <w:noProof/>
          <w:sz w:val="24"/>
        </w:rPr>
        <w:t>прилагане на системи за регулиране на водите (резервоари), които позволяват гравитационно напояване;</w:t>
      </w:r>
    </w:p>
    <w:p>
      <w:pPr>
        <w:numPr>
          <w:ilvl w:val="0"/>
          <w:numId w:val="39"/>
        </w:numPr>
        <w:spacing w:before="120" w:after="120" w:line="240" w:lineRule="auto"/>
        <w:ind w:left="357" w:hanging="357"/>
        <w:contextualSpacing/>
        <w:jc w:val="both"/>
        <w:rPr>
          <w:rFonts w:ascii="Times New Roman" w:hAnsi="Times New Roman" w:cs="Times New Roman"/>
          <w:noProof/>
          <w:sz w:val="24"/>
        </w:rPr>
      </w:pPr>
      <w:r>
        <w:rPr>
          <w:rFonts w:ascii="Times New Roman" w:hAnsi="Times New Roman"/>
          <w:noProof/>
          <w:sz w:val="24"/>
        </w:rPr>
        <w:t>подмяна на канавки на открито с подземни тръби;</w:t>
      </w:r>
    </w:p>
    <w:p>
      <w:pPr>
        <w:numPr>
          <w:ilvl w:val="0"/>
          <w:numId w:val="39"/>
        </w:numPr>
        <w:spacing w:before="120" w:after="120" w:line="240" w:lineRule="auto"/>
        <w:ind w:left="357" w:hanging="357"/>
        <w:contextualSpacing/>
        <w:jc w:val="both"/>
        <w:rPr>
          <w:rFonts w:ascii="Times New Roman" w:hAnsi="Times New Roman" w:cs="Times New Roman"/>
          <w:noProof/>
          <w:sz w:val="24"/>
        </w:rPr>
      </w:pPr>
      <w:r>
        <w:rPr>
          <w:rFonts w:ascii="Times New Roman" w:hAnsi="Times New Roman"/>
          <w:noProof/>
          <w:sz w:val="24"/>
        </w:rPr>
        <w:t>изграждане на системи за филтриране и изпомпване; и</w:t>
      </w:r>
    </w:p>
    <w:p>
      <w:pPr>
        <w:numPr>
          <w:ilvl w:val="0"/>
          <w:numId w:val="39"/>
        </w:numPr>
        <w:spacing w:before="120" w:after="120" w:line="240" w:lineRule="auto"/>
        <w:jc w:val="both"/>
        <w:rPr>
          <w:rFonts w:ascii="Times New Roman" w:hAnsi="Times New Roman" w:cs="Times New Roman"/>
          <w:noProof/>
          <w:sz w:val="24"/>
        </w:rPr>
      </w:pPr>
      <w:r>
        <w:rPr>
          <w:rFonts w:ascii="Times New Roman" w:hAnsi="Times New Roman"/>
          <w:noProof/>
          <w:sz w:val="24"/>
        </w:rPr>
        <w:t>монтирането на измервателни уреди и системи за дистанционно управление.</w:t>
      </w:r>
    </w:p>
    <w:p>
      <w:pPr>
        <w:spacing w:before="120" w:after="120" w:line="240" w:lineRule="auto"/>
        <w:jc w:val="both"/>
        <w:rPr>
          <w:rFonts w:ascii="Times New Roman" w:hAnsi="Times New Roman" w:cs="Times New Roman"/>
          <w:noProof/>
          <w:sz w:val="24"/>
          <w:szCs w:val="24"/>
        </w:rPr>
      </w:pPr>
      <w:r>
        <w:rPr>
          <w:rFonts w:ascii="Times New Roman" w:hAnsi="Times New Roman"/>
          <w:noProof/>
          <w:color w:val="000000" w:themeColor="text1"/>
          <w:sz w:val="24"/>
          <w:szCs w:val="24"/>
        </w:rPr>
        <w:t>Очаква се тази мярка да не навреди значително на екологичните цели по смисъла на член 17 от Регламент (ЕС) 2020/852, като се вземат предвид описанието на мярката и смекчаващите стъпки, определени в плана за възстановяване и устойчивост в съответствие с Техническите насоки за спазването на принципа за „ненанасяне на значителни вреди“ (2021/C58/01). По-специално обезсолената вода се произвежда, като се използва най-добрата налична технология с най-малко въздействие върху околната среда в сектора. Всички дейности по напояване се извършват в съответствие с Рамковата директива за водите, необходимите оценки на въздействието върху околната среда се извършват в съответствие с директиви 2009/147/ЕО и 92/43/ЕИО и се прилагат необходимите смекчаващи мерки за опазване на околната среда.</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Изпълнението на инвестицията приключва до 30 юни 2026 г.</w:t>
      </w:r>
    </w:p>
    <w:p>
      <w:pPr>
        <w:spacing w:before="120" w:after="120" w:line="240" w:lineRule="auto"/>
        <w:jc w:val="both"/>
        <w:rPr>
          <w:rFonts w:ascii="Times New Roman" w:hAnsi="Times New Roman" w:cs="Times New Roman"/>
          <w:noProof/>
          <w:sz w:val="24"/>
          <w:u w:val="single"/>
        </w:rPr>
      </w:pPr>
      <w:r>
        <w:rPr>
          <w:rFonts w:ascii="Times New Roman" w:hAnsi="Times New Roman"/>
          <w:noProof/>
          <w:sz w:val="24"/>
          <w:u w:val="single"/>
        </w:rPr>
        <w:t xml:space="preserve">Инвестиции 2 (C3.I2) – План за насърчаване на устойчивостта и конкурентоспособността на селското стопанство и животновъдството (I): Модернизиране на лабораториите в областта на здравето на животните и растенията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Тази мярка подобрява продоволствената сигурност в селскостопанския и животновъдния сектор чрез осигуряване на бързи действия в отговор на огнища на болести по животните, включително такива, които засягат хората, както и на вредители по растенията, чрез изграждане на съоръжения с ниво на биологична безопасност 3. По-специално мярката гарантира пускането в действие на следните съоръжения:</w:t>
      </w:r>
    </w:p>
    <w:p>
      <w:pPr>
        <w:numPr>
          <w:ilvl w:val="0"/>
          <w:numId w:val="40"/>
        </w:numPr>
        <w:spacing w:before="120" w:after="120" w:line="240" w:lineRule="auto"/>
        <w:ind w:left="357" w:hanging="357"/>
        <w:contextualSpacing/>
        <w:jc w:val="both"/>
        <w:rPr>
          <w:rFonts w:ascii="Times New Roman" w:hAnsi="Times New Roman" w:cs="Times New Roman"/>
          <w:noProof/>
          <w:sz w:val="24"/>
        </w:rPr>
      </w:pPr>
      <w:r>
        <w:rPr>
          <w:rFonts w:ascii="Times New Roman" w:hAnsi="Times New Roman"/>
          <w:noProof/>
          <w:sz w:val="24"/>
        </w:rPr>
        <w:t>лаборатория за биологична безопасност от ниво 3 (LSCA-Santa Fe);</w:t>
      </w:r>
    </w:p>
    <w:p>
      <w:pPr>
        <w:numPr>
          <w:ilvl w:val="0"/>
          <w:numId w:val="40"/>
        </w:numPr>
        <w:spacing w:before="120" w:after="120" w:line="240" w:lineRule="auto"/>
        <w:ind w:left="357" w:hanging="357"/>
        <w:contextualSpacing/>
        <w:jc w:val="both"/>
        <w:rPr>
          <w:rFonts w:ascii="Times New Roman" w:hAnsi="Times New Roman" w:cs="Times New Roman"/>
          <w:noProof/>
          <w:sz w:val="24"/>
          <w:szCs w:val="24"/>
        </w:rPr>
      </w:pPr>
      <w:r>
        <w:rPr>
          <w:rFonts w:ascii="Times New Roman" w:hAnsi="Times New Roman"/>
          <w:noProof/>
          <w:sz w:val="24"/>
          <w:szCs w:val="24"/>
        </w:rPr>
        <w:t>съоръжение за биологична безопасност на животните от ниво 3 (LCV-Algete); и</w:t>
      </w:r>
    </w:p>
    <w:p>
      <w:pPr>
        <w:numPr>
          <w:ilvl w:val="0"/>
          <w:numId w:val="40"/>
        </w:numPr>
        <w:spacing w:before="120" w:after="120" w:line="240" w:lineRule="auto"/>
        <w:jc w:val="both"/>
        <w:rPr>
          <w:rFonts w:ascii="Times New Roman" w:hAnsi="Times New Roman" w:cs="Times New Roman"/>
          <w:noProof/>
          <w:sz w:val="24"/>
        </w:rPr>
      </w:pPr>
      <w:r>
        <w:rPr>
          <w:rFonts w:ascii="Times New Roman" w:hAnsi="Times New Roman"/>
          <w:noProof/>
          <w:sz w:val="24"/>
        </w:rPr>
        <w:t>националната фитосанитарна лаборатория в Луго.</w:t>
      </w:r>
    </w:p>
    <w:p>
      <w:pPr>
        <w:spacing w:before="120" w:after="120" w:line="240" w:lineRule="auto"/>
        <w:jc w:val="both"/>
        <w:rPr>
          <w:rFonts w:ascii="Times New Roman" w:hAnsi="Times New Roman" w:cs="Times New Roman"/>
          <w:noProof/>
          <w:sz w:val="24"/>
          <w:u w:val="single"/>
        </w:rPr>
      </w:pPr>
      <w:r>
        <w:rPr>
          <w:rFonts w:ascii="Times New Roman" w:hAnsi="Times New Roman"/>
          <w:noProof/>
          <w:sz w:val="24"/>
        </w:rPr>
        <w:t>Изпълнението на инвестицията приключва до 31 декември 2023 г.</w:t>
      </w:r>
    </w:p>
    <w:p>
      <w:pPr>
        <w:spacing w:before="120" w:after="120" w:line="240" w:lineRule="auto"/>
        <w:jc w:val="both"/>
        <w:rPr>
          <w:rFonts w:ascii="Times New Roman" w:hAnsi="Times New Roman" w:cs="Times New Roman"/>
          <w:noProof/>
          <w:sz w:val="24"/>
          <w:szCs w:val="24"/>
          <w:u w:val="single"/>
        </w:rPr>
      </w:pPr>
      <w:r>
        <w:rPr>
          <w:rFonts w:ascii="Times New Roman" w:hAnsi="Times New Roman"/>
          <w:noProof/>
          <w:sz w:val="24"/>
          <w:szCs w:val="24"/>
          <w:u w:val="single"/>
        </w:rPr>
        <w:t xml:space="preserve">Инвестиции 3 (C3.I3) – План за насърчаване на устойчивостта и конкурентоспособността на селското стопанство и животновъдството (II): Укрепване на изграждането на капацитет и на системите за биологична сигурност в развъдници, центрове за почистване и дезинфекция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Тази мярка засилва предотвратяването и защитата срещу болести по животните и вредители по растенията, чиято заболеваемост се е увеличила поради изменението на климата, чрез подобряване на изграждането на капацитет и системите за биологична сигурност в разсадниците, както и в центровете за почистване и дезинфекция. Той укрепва системите за биологична сигурност в съоръженията за производство на растителен репродуктивен материал, които играят важна роля за получаването на свободен от вредители материал с намаляване на употребата на продукти за растителна защита.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Подпомагането е под формата на инвестиционна помощ, насочена към земеделските стопанства с растителен репродуктивен материал и центрове за почистване и дезинфекция на транспортните средства за живи животни. По-специално се предвиждат безвъзмездни средства за технологичното подобряване на тези съоръжения чрез автоматизация, роботизация и инсталиране на нови системи за почистване и дезинфекция, като например топлинна дезинфекция.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Мярката включва укрепване на най-малко 465 центъра за почистване и дезинфекция и центрове за производство на растителен репродуктивен материал с подобрени системи за обучение и биологична сигурност.</w:t>
      </w:r>
    </w:p>
    <w:p>
      <w:pPr>
        <w:spacing w:before="120" w:after="120" w:line="240" w:lineRule="auto"/>
        <w:jc w:val="both"/>
        <w:rPr>
          <w:rFonts w:ascii="Times New Roman" w:hAnsi="Times New Roman" w:cs="Times New Roman"/>
          <w:noProof/>
          <w:sz w:val="24"/>
        </w:rPr>
      </w:pPr>
      <w:r>
        <w:rPr>
          <w:rFonts w:ascii="Times New Roman" w:hAnsi="Times New Roman"/>
          <w:noProof/>
          <w:sz w:val="24"/>
        </w:rPr>
        <w:t>Изпълнението на инвестицията приключва до 31 декември 2023 г.</w:t>
      </w:r>
    </w:p>
    <w:p>
      <w:pPr>
        <w:spacing w:before="120" w:after="120" w:line="240" w:lineRule="auto"/>
        <w:jc w:val="both"/>
        <w:rPr>
          <w:rFonts w:ascii="Times New Roman" w:hAnsi="Times New Roman" w:cs="Times New Roman"/>
          <w:noProof/>
          <w:sz w:val="24"/>
          <w:u w:val="single"/>
        </w:rPr>
      </w:pPr>
      <w:r>
        <w:rPr>
          <w:rFonts w:ascii="Times New Roman" w:hAnsi="Times New Roman"/>
          <w:noProof/>
          <w:sz w:val="24"/>
          <w:u w:val="single"/>
        </w:rPr>
        <w:t xml:space="preserve">Инвестиция 4 (C3.I4) – План за насърчаване на устойчивостта и конкурентоспособността на селското стопанство и животновъдството (III): Инвестиции в прецизно земеделие, енергийна ефективност и кръгова икономика в сектора на селското стопанство и животновъдството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Тази мярка насърчава i) устойчивостта и конкурентоспособността на селскостопанския и животновъдния сектор чрез инвестиции в: прецизно земеделие; ii) енергийна ефективност; iii) кръговата икономика; и iv) използването на енергия от възобновяеми източници.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По-конкретно инвестициите са свързани със следното: </w:t>
      </w:r>
    </w:p>
    <w:p>
      <w:pPr>
        <w:numPr>
          <w:ilvl w:val="0"/>
          <w:numId w:val="41"/>
        </w:numPr>
        <w:spacing w:before="120" w:after="120" w:line="240" w:lineRule="auto"/>
        <w:ind w:left="357" w:hanging="357"/>
        <w:contextualSpacing/>
        <w:jc w:val="both"/>
        <w:rPr>
          <w:rFonts w:ascii="Times New Roman" w:hAnsi="Times New Roman" w:cs="Times New Roman"/>
          <w:noProof/>
          <w:sz w:val="24"/>
          <w:szCs w:val="24"/>
        </w:rPr>
      </w:pPr>
      <w:r>
        <w:rPr>
          <w:rFonts w:ascii="Times New Roman" w:hAnsi="Times New Roman"/>
          <w:noProof/>
          <w:sz w:val="24"/>
          <w:szCs w:val="24"/>
        </w:rPr>
        <w:t xml:space="preserve">въвеждане на нови системи за управление на селскостопанските отпадъци, животинските отпадъци и страничните им продукти, включително структурни реформи; </w:t>
      </w:r>
    </w:p>
    <w:p>
      <w:pPr>
        <w:numPr>
          <w:ilvl w:val="0"/>
          <w:numId w:val="41"/>
        </w:numPr>
        <w:spacing w:before="120" w:after="120" w:line="240" w:lineRule="auto"/>
        <w:ind w:left="357" w:hanging="357"/>
        <w:contextualSpacing/>
        <w:jc w:val="both"/>
        <w:rPr>
          <w:rFonts w:ascii="Times New Roman" w:hAnsi="Times New Roman" w:cs="Times New Roman"/>
          <w:noProof/>
          <w:sz w:val="24"/>
        </w:rPr>
      </w:pPr>
      <w:r>
        <w:rPr>
          <w:rFonts w:ascii="Times New Roman" w:hAnsi="Times New Roman"/>
          <w:noProof/>
          <w:sz w:val="24"/>
        </w:rPr>
        <w:t xml:space="preserve">модернизиране на оранжериите, както на техните инсталации, така и на оборудването; </w:t>
      </w:r>
    </w:p>
    <w:p>
      <w:pPr>
        <w:numPr>
          <w:ilvl w:val="0"/>
          <w:numId w:val="41"/>
        </w:numPr>
        <w:spacing w:before="120" w:after="120" w:line="240" w:lineRule="auto"/>
        <w:ind w:left="357" w:hanging="357"/>
        <w:contextualSpacing/>
        <w:jc w:val="both"/>
        <w:rPr>
          <w:rFonts w:ascii="Times New Roman" w:hAnsi="Times New Roman" w:cs="Times New Roman"/>
          <w:noProof/>
          <w:sz w:val="24"/>
        </w:rPr>
      </w:pPr>
      <w:r>
        <w:rPr>
          <w:rFonts w:ascii="Times New Roman" w:hAnsi="Times New Roman"/>
          <w:noProof/>
          <w:sz w:val="24"/>
        </w:rPr>
        <w:t>насърчаване на използването на биогазове и възобновяеми енергийни източници; и</w:t>
      </w:r>
    </w:p>
    <w:p>
      <w:pPr>
        <w:numPr>
          <w:ilvl w:val="0"/>
          <w:numId w:val="41"/>
        </w:numPr>
        <w:spacing w:before="120" w:after="120" w:line="240" w:lineRule="auto"/>
        <w:jc w:val="both"/>
        <w:rPr>
          <w:rFonts w:ascii="Times New Roman" w:hAnsi="Times New Roman" w:cs="Times New Roman"/>
          <w:noProof/>
          <w:sz w:val="24"/>
        </w:rPr>
      </w:pPr>
      <w:r>
        <w:rPr>
          <w:rFonts w:ascii="Times New Roman" w:hAnsi="Times New Roman"/>
          <w:noProof/>
          <w:sz w:val="24"/>
        </w:rPr>
        <w:t>събиране на данни в реално време чрез използване на датчици, които дават възможност за използване на прецизно земеделие и технологии в стопанствата, което включва внедряване на сателитни навигационни системи (ГНСС) и географско позициониране в животновъдството.</w:t>
      </w:r>
    </w:p>
    <w:p>
      <w:pPr>
        <w:spacing w:before="120" w:after="120" w:line="240" w:lineRule="auto"/>
        <w:jc w:val="both"/>
        <w:rPr>
          <w:rFonts w:ascii="Times New Roman" w:hAnsi="Times New Roman" w:cs="Times New Roman"/>
          <w:noProof/>
          <w:sz w:val="24"/>
        </w:rPr>
      </w:pPr>
      <w:r>
        <w:rPr>
          <w:rFonts w:ascii="Times New Roman" w:hAnsi="Times New Roman"/>
          <w:noProof/>
          <w:sz w:val="24"/>
        </w:rPr>
        <w:t>Мярката се изпълнява под формата на индивидуални или колективни инвестиции в земеделски стопанства или дружества за селскостопански услуги. Най-малко 5000 стопанства трябва да са завършили проекти за прецизно земеделие, енергийна ефективност, кръгова икономика и използване на енергия от възобновяеми източници.</w:t>
      </w:r>
    </w:p>
    <w:p>
      <w:pPr>
        <w:spacing w:before="120" w:after="120" w:line="240" w:lineRule="auto"/>
        <w:jc w:val="both"/>
        <w:rPr>
          <w:rFonts w:ascii="Times New Roman" w:hAnsi="Times New Roman" w:cs="Times New Roman"/>
          <w:noProof/>
          <w:sz w:val="24"/>
          <w:u w:val="single"/>
        </w:rPr>
      </w:pPr>
      <w:r>
        <w:rPr>
          <w:rFonts w:ascii="Times New Roman" w:hAnsi="Times New Roman"/>
          <w:noProof/>
          <w:sz w:val="24"/>
        </w:rPr>
        <w:t>Изпълнението на инвестицията приключва до 30 юни 2026 г.</w:t>
      </w:r>
    </w:p>
    <w:p>
      <w:pPr>
        <w:spacing w:before="120" w:after="120" w:line="240" w:lineRule="auto"/>
        <w:jc w:val="both"/>
        <w:rPr>
          <w:rFonts w:ascii="Times New Roman" w:hAnsi="Times New Roman" w:cs="Times New Roman"/>
          <w:noProof/>
          <w:sz w:val="24"/>
          <w:u w:val="single"/>
        </w:rPr>
      </w:pPr>
      <w:r>
        <w:rPr>
          <w:rFonts w:ascii="Times New Roman" w:hAnsi="Times New Roman"/>
          <w:noProof/>
          <w:sz w:val="24"/>
          <w:u w:val="single"/>
        </w:rPr>
        <w:t xml:space="preserve">Инвестиция 5 (C3.I5) – Стратегия за цифровизация на селскостопанския и горския сектор и на околната среда в селските райони: разработване на действия в подкрепа на цифровизацията и предприемачеството в сектора на хранително-вкусовата промишленост и горското стопанство и в селските райони </w:t>
      </w:r>
    </w:p>
    <w:p>
      <w:pPr>
        <w:spacing w:before="120" w:after="120" w:line="240" w:lineRule="auto"/>
        <w:jc w:val="both"/>
        <w:rPr>
          <w:rFonts w:ascii="Times New Roman" w:hAnsi="Times New Roman" w:cs="Times New Roman"/>
          <w:noProof/>
          <w:sz w:val="24"/>
        </w:rPr>
      </w:pPr>
      <w:r>
        <w:rPr>
          <w:rFonts w:ascii="Times New Roman" w:hAnsi="Times New Roman"/>
          <w:noProof/>
          <w:sz w:val="24"/>
        </w:rPr>
        <w:t>С тази мярка се определят действия в Стратегията за цифровизиране на секторите на хранително-вкусовата промишленост, горското стопанство и селските райони, приета от испанското правителство през март 2019 г., и във втория план за действие за периода 2021—2023 г. Действията включват:</w:t>
      </w:r>
    </w:p>
    <w:p>
      <w:pPr>
        <w:numPr>
          <w:ilvl w:val="0"/>
          <w:numId w:val="33"/>
        </w:numPr>
        <w:spacing w:before="120" w:after="120" w:line="240" w:lineRule="auto"/>
        <w:ind w:left="425" w:hanging="425"/>
        <w:contextualSpacing/>
        <w:jc w:val="both"/>
        <w:rPr>
          <w:rFonts w:ascii="Times New Roman" w:hAnsi="Times New Roman" w:cs="Times New Roman"/>
          <w:noProof/>
          <w:sz w:val="24"/>
          <w:szCs w:val="24"/>
        </w:rPr>
      </w:pPr>
      <w:r>
        <w:rPr>
          <w:rFonts w:ascii="Times New Roman" w:hAnsi="Times New Roman"/>
          <w:noProof/>
          <w:sz w:val="24"/>
          <w:szCs w:val="24"/>
        </w:rPr>
        <w:t>специална линия за финансова подкрепа за МСП в хранително-вкусовия сектор с цел стимулиране на иновативни и цифрови бизнес проекти, която да се изпълнява чрез предоставяне на заеми с участието на участниците;</w:t>
      </w:r>
    </w:p>
    <w:p>
      <w:pPr>
        <w:numPr>
          <w:ilvl w:val="0"/>
          <w:numId w:val="33"/>
        </w:numPr>
        <w:spacing w:before="120" w:after="120" w:line="240" w:lineRule="auto"/>
        <w:ind w:left="425" w:hanging="425"/>
        <w:contextualSpacing/>
        <w:jc w:val="both"/>
        <w:rPr>
          <w:rFonts w:ascii="Times New Roman" w:hAnsi="Times New Roman" w:cs="Times New Roman"/>
          <w:noProof/>
          <w:sz w:val="24"/>
          <w:szCs w:val="24"/>
        </w:rPr>
      </w:pPr>
      <w:r>
        <w:rPr>
          <w:rFonts w:ascii="Times New Roman" w:hAnsi="Times New Roman"/>
          <w:noProof/>
          <w:sz w:val="24"/>
        </w:rPr>
        <w:t>цифров център за иновации за предприятията в хранително-вкусовия сектор, който да се прилага чрез вътрешен договор и възлагане на обществени поръчки чрез конкурентна тръжна процедура;</w:t>
      </w:r>
    </w:p>
    <w:p>
      <w:pPr>
        <w:numPr>
          <w:ilvl w:val="0"/>
          <w:numId w:val="33"/>
        </w:numPr>
        <w:spacing w:before="120" w:after="120" w:line="240" w:lineRule="auto"/>
        <w:ind w:left="425" w:hanging="425"/>
        <w:contextualSpacing/>
        <w:jc w:val="both"/>
        <w:rPr>
          <w:rFonts w:ascii="Times New Roman" w:hAnsi="Times New Roman" w:cs="Times New Roman"/>
          <w:noProof/>
          <w:sz w:val="24"/>
        </w:rPr>
      </w:pPr>
      <w:r>
        <w:rPr>
          <w:rFonts w:ascii="Times New Roman" w:hAnsi="Times New Roman"/>
          <w:noProof/>
          <w:sz w:val="24"/>
        </w:rPr>
        <w:t>обсерватория за цифровизацията в хранително-вкусовия сектор чрез споразумение за партньорство между MAPA и сътрудничещия орган; и</w:t>
      </w:r>
    </w:p>
    <w:p>
      <w:pPr>
        <w:numPr>
          <w:ilvl w:val="0"/>
          <w:numId w:val="33"/>
        </w:numPr>
        <w:spacing w:before="120" w:after="120" w:line="240" w:lineRule="auto"/>
        <w:ind w:left="426" w:hanging="426"/>
        <w:jc w:val="both"/>
        <w:rPr>
          <w:rFonts w:ascii="Times New Roman" w:hAnsi="Times New Roman" w:cs="Times New Roman"/>
          <w:noProof/>
          <w:sz w:val="24"/>
          <w:szCs w:val="24"/>
        </w:rPr>
      </w:pPr>
      <w:r>
        <w:rPr>
          <w:rFonts w:ascii="Times New Roman" w:hAnsi="Times New Roman"/>
          <w:noProof/>
          <w:sz w:val="24"/>
          <w:szCs w:val="24"/>
        </w:rPr>
        <w:t>платформа на консултантите на Системата за знания и информация в селското стопанство (AKIS), която да функционира като инструмент за насърчаване на трансфера на знания и информация между участниците в AKIS, която да се прилага чрез вътрешен договор и възлагане на обществени поръчки чрез конкурентна тръжна процедура.</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Като част от мярката до края на 2023 г. най-малко 60 МСП в областта на хранително-вкусовата промишленост изпълняват иновативни и цифрови бизнес проекти, които трябва да са в съответствие с техническите насоки „Ненанасяне на значителни вреди“ (2021/C58/01) и да се финансират чрез заеми с участие на участниците. </w:t>
      </w:r>
    </w:p>
    <w:p>
      <w:pPr>
        <w:pStyle w:val="Text1"/>
        <w:ind w:left="0"/>
        <w:rPr>
          <w:noProof/>
        </w:rPr>
      </w:pPr>
      <w:r>
        <w:rPr>
          <w:noProof/>
        </w:rPr>
        <w:t xml:space="preserve">За да се гарантира, че мярката е в съответствие с Техническите насоки „Ненанасяне на значителни вреди“ (2021/C58/01), правното споразумение между Министерството на земеделието, рибарството и храните и </w:t>
      </w:r>
      <w:r>
        <w:rPr>
          <w:i/>
          <w:iCs/>
          <w:noProof/>
        </w:rPr>
        <w:t>Empresa Nacional de Innovación (ENISA)</w:t>
      </w:r>
      <w:r>
        <w:rPr>
          <w:noProof/>
        </w:rPr>
        <w:t xml:space="preserve"> и последващата инвестиционна политика на финансовия инструмент: </w:t>
      </w:r>
    </w:p>
    <w:p>
      <w:pPr>
        <w:pStyle w:val="Text1"/>
        <w:numPr>
          <w:ilvl w:val="0"/>
          <w:numId w:val="151"/>
        </w:numPr>
        <w:ind w:left="714" w:hanging="357"/>
        <w:contextualSpacing/>
        <w:rPr>
          <w:noProof/>
        </w:rPr>
      </w:pPr>
      <w:r>
        <w:rPr>
          <w:noProof/>
        </w:rPr>
        <w:t>изисква прилагането на техническите насоки на Комисията относно проверката на устойчивостта за фонда InvestEU; и</w:t>
      </w:r>
    </w:p>
    <w:p>
      <w:pPr>
        <w:pStyle w:val="Text1"/>
        <w:numPr>
          <w:ilvl w:val="0"/>
          <w:numId w:val="151"/>
        </w:numPr>
        <w:ind w:left="714" w:hanging="357"/>
        <w:contextualSpacing/>
        <w:rPr>
          <w:noProof/>
        </w:rPr>
      </w:pPr>
      <w:r>
        <w:rPr>
          <w:noProof/>
        </w:rPr>
        <w:t>изключване от допустимостта на следния списък с дейности и активи:</w:t>
      </w:r>
      <w:r>
        <w:rPr>
          <w:noProof/>
          <w:color w:val="FF0000"/>
        </w:rPr>
        <w:t xml:space="preserve"> </w:t>
      </w:r>
      <w:r>
        <w:rPr>
          <w:noProof/>
        </w:rPr>
        <w:t xml:space="preserve">i) дейности и активи, свързани с изкопаеми горива, включително използване надолу по веригата </w:t>
      </w:r>
      <w:r>
        <w:rPr>
          <w:rStyle w:val="FootnoteReference"/>
          <w:noProof/>
          <w:lang w:val="en-IE"/>
        </w:rPr>
        <w:footnoteReference w:id="6"/>
      </w:r>
      <w:r>
        <w:rPr>
          <w:noProof/>
        </w:rPr>
        <w:t>; ii) дейности и активи по схемата на ЕС за търговия с емисии (СТЕ), с които се постигат прогнозираните емисии на парникови газове, които не са по-ниски от съответните референтни стойности</w:t>
      </w:r>
      <w:r>
        <w:rPr>
          <w:rStyle w:val="FootnoteReference"/>
          <w:noProof/>
          <w:lang w:val="en-IE"/>
        </w:rPr>
        <w:footnoteReference w:id="7"/>
      </w:r>
      <w:r>
        <w:rPr>
          <w:noProof/>
        </w:rPr>
        <w:t>; iii) дейности и активи, свързани с депата за отпадъци, инсталациите за изгаряне на отпадъци</w:t>
      </w:r>
      <w:r>
        <w:rPr>
          <w:rStyle w:val="FootnoteReference"/>
          <w:noProof/>
          <w:lang w:val="en-IE"/>
        </w:rPr>
        <w:footnoteReference w:id="8"/>
      </w:r>
      <w:r>
        <w:rPr>
          <w:noProof/>
        </w:rPr>
        <w:t xml:space="preserve"> и заводите за механично-биологично третиране</w:t>
      </w:r>
      <w:r>
        <w:rPr>
          <w:rStyle w:val="FootnoteReference"/>
          <w:noProof/>
          <w:lang w:val="en-IE"/>
        </w:rPr>
        <w:footnoteReference w:id="9"/>
      </w:r>
      <w:r>
        <w:rPr>
          <w:noProof/>
        </w:rPr>
        <w:t xml:space="preserve">; и iv) дейности и активи, при които дългосрочното обезвреждане на отпадъци може да причини вреда на околната среда; </w:t>
      </w:r>
    </w:p>
    <w:p>
      <w:pPr>
        <w:pStyle w:val="Text1"/>
        <w:numPr>
          <w:ilvl w:val="0"/>
          <w:numId w:val="151"/>
        </w:numPr>
        <w:rPr>
          <w:noProof/>
        </w:rPr>
      </w:pPr>
      <w:r>
        <w:rPr>
          <w:noProof/>
        </w:rPr>
        <w:t>да изисква от ENISA да проверява съответствието на проектите със съответното законодателство на ЕС и националното законодателство в областта на околната среда за всички трансакции, включително освободените от проверка на устойчивостта.</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Не се подпомагат дейности, свързани с улавянето и съхранението на въглероден диоксид.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Изпълнението на инвестицията приключва до 30 юни 2026 г.</w:t>
      </w:r>
    </w:p>
    <w:p>
      <w:pPr>
        <w:spacing w:before="120" w:after="120" w:line="240" w:lineRule="auto"/>
        <w:jc w:val="both"/>
        <w:rPr>
          <w:rFonts w:ascii="Times New Roman" w:hAnsi="Times New Roman" w:cs="Times New Roman"/>
          <w:noProof/>
          <w:sz w:val="24"/>
          <w:szCs w:val="24"/>
          <w:u w:val="single"/>
        </w:rPr>
      </w:pPr>
      <w:r>
        <w:rPr>
          <w:rFonts w:ascii="Times New Roman" w:hAnsi="Times New Roman"/>
          <w:noProof/>
          <w:sz w:val="24"/>
          <w:szCs w:val="24"/>
          <w:u w:val="single"/>
        </w:rPr>
        <w:t xml:space="preserve">Инвестиция 6 (C3.I6) – План за насърчаване на устойчивостта, научните изследвания, иновациите и цифровизацията в сектора на рибарството (I): Модернизиране на мрежата от морски резервати от интерес за рибарството </w:t>
      </w:r>
    </w:p>
    <w:p>
      <w:pPr>
        <w:spacing w:before="120" w:after="120" w:line="240" w:lineRule="auto"/>
        <w:jc w:val="both"/>
        <w:rPr>
          <w:rFonts w:ascii="Times New Roman" w:hAnsi="Times New Roman" w:cs="Times New Roman"/>
          <w:noProof/>
          <w:sz w:val="24"/>
        </w:rPr>
      </w:pPr>
      <w:r>
        <w:rPr>
          <w:rFonts w:ascii="Times New Roman" w:hAnsi="Times New Roman"/>
          <w:noProof/>
          <w:sz w:val="24"/>
        </w:rPr>
        <w:t>Целта на тази мярка е да се модернизира мрежата от морски резервати от интерес за рибарството чрез следните действия:</w:t>
      </w:r>
    </w:p>
    <w:p>
      <w:pPr>
        <w:numPr>
          <w:ilvl w:val="0"/>
          <w:numId w:val="34"/>
        </w:numPr>
        <w:spacing w:before="120" w:after="120" w:line="240" w:lineRule="auto"/>
        <w:ind w:left="425" w:hanging="425"/>
        <w:contextualSpacing/>
        <w:jc w:val="both"/>
        <w:rPr>
          <w:rFonts w:ascii="Times New Roman" w:hAnsi="Times New Roman" w:cs="Times New Roman"/>
          <w:noProof/>
          <w:sz w:val="24"/>
          <w:szCs w:val="24"/>
        </w:rPr>
      </w:pPr>
      <w:r>
        <w:rPr>
          <w:rFonts w:ascii="Times New Roman" w:hAnsi="Times New Roman"/>
          <w:noProof/>
          <w:sz w:val="24"/>
          <w:szCs w:val="24"/>
        </w:rPr>
        <w:t>придобиването на два помощни кораба със специално предназначение, за да се осигури контрол и наблюдение на извършваните в резерва дейности;</w:t>
      </w:r>
    </w:p>
    <w:p>
      <w:pPr>
        <w:numPr>
          <w:ilvl w:val="0"/>
          <w:numId w:val="34"/>
        </w:numPr>
        <w:spacing w:before="120" w:after="120" w:line="240" w:lineRule="auto"/>
        <w:ind w:left="425" w:hanging="425"/>
        <w:contextualSpacing/>
        <w:jc w:val="both"/>
        <w:rPr>
          <w:rFonts w:ascii="Times New Roman" w:hAnsi="Times New Roman" w:cs="Times New Roman"/>
          <w:noProof/>
          <w:sz w:val="24"/>
          <w:szCs w:val="24"/>
        </w:rPr>
      </w:pPr>
      <w:r>
        <w:rPr>
          <w:rFonts w:ascii="Times New Roman" w:hAnsi="Times New Roman"/>
          <w:noProof/>
          <w:sz w:val="24"/>
          <w:szCs w:val="24"/>
        </w:rPr>
        <w:t>внедряването на информационни и комуникационни технологии, за да се даде възможност за контрол и наблюдение на резервите чрез: i) най-малко четири броя нощно оборудване за откриване на забранени дейности; и ii) дронове с достатъчна мощност, за да позволят дейности по контрол и наблюдение и да оптимизират съществуващите средства;</w:t>
      </w:r>
    </w:p>
    <w:p>
      <w:pPr>
        <w:numPr>
          <w:ilvl w:val="0"/>
          <w:numId w:val="34"/>
        </w:numPr>
        <w:spacing w:before="120" w:after="120" w:line="240" w:lineRule="auto"/>
        <w:ind w:left="425" w:hanging="425"/>
        <w:contextualSpacing/>
        <w:jc w:val="both"/>
        <w:rPr>
          <w:rFonts w:ascii="Times New Roman" w:hAnsi="Times New Roman" w:cs="Times New Roman"/>
          <w:noProof/>
          <w:sz w:val="24"/>
        </w:rPr>
      </w:pPr>
      <w:r>
        <w:rPr>
          <w:rFonts w:ascii="Times New Roman" w:hAnsi="Times New Roman"/>
          <w:noProof/>
          <w:sz w:val="24"/>
        </w:rPr>
        <w:t>разширяване на мрежата от резерви чрез създаването на нов морски резерв; и</w:t>
      </w:r>
    </w:p>
    <w:p>
      <w:pPr>
        <w:numPr>
          <w:ilvl w:val="0"/>
          <w:numId w:val="34"/>
        </w:numPr>
        <w:spacing w:before="120" w:after="120" w:line="240" w:lineRule="auto"/>
        <w:ind w:left="426" w:hanging="426"/>
        <w:jc w:val="both"/>
        <w:rPr>
          <w:rFonts w:ascii="Times New Roman" w:hAnsi="Times New Roman" w:cs="Times New Roman"/>
          <w:noProof/>
          <w:sz w:val="24"/>
          <w:szCs w:val="24"/>
        </w:rPr>
      </w:pPr>
      <w:r>
        <w:rPr>
          <w:rFonts w:ascii="Times New Roman" w:hAnsi="Times New Roman"/>
          <w:noProof/>
          <w:sz w:val="24"/>
          <w:szCs w:val="24"/>
        </w:rPr>
        <w:t xml:space="preserve">обновяване на съществуващ морски резерват Faro de Alborán и околностите му, за да се улесни достъпът, да се подобри неговата енергийна ефективност, както и да се оборудва с подходящи съоръжения (т.е. радарна радиовръзка към полуострова) за наблюдение и контрол на резервата. </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Придобиването на двата помощни кораба със специално предназначение и внедряването на информационни и комуникационни технологии за осъществяване на контрол и наблюдение се осъществяват чрез процедури за възлагане на обществени поръчки.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Очаква се тази мярка да не навреди значително на екологичните цели по смисъла на член 17 от Регламент (ЕС) 2020/852, като се вземат предвид описанието на мярката и смекчаващите стъпки, определени в плана за възстановяване и устойчивост в съответствие с Техническите насоки за спазването на принципа за „ненанасяне на значителни вреди“ (2021/C58/01). По-специално, двата помощни кораба със специално предназначение трябва да бъдат от най-добрата налична технология с най-слабо въздействие върху околната среда в сектора. Инвестицията, свързана с разширяването на мрежата от морски резервати, се състои от проучване за създаването на нов морски резерват, което се планира да се извърши чрез вътрешен договор. Същото се отнася и за дейностите, планирани за актуализиране на резервата на </w:t>
      </w:r>
      <w:r>
        <w:rPr>
          <w:rFonts w:ascii="Times New Roman" w:hAnsi="Times New Roman"/>
          <w:i/>
          <w:noProof/>
          <w:sz w:val="24"/>
          <w:szCs w:val="24"/>
        </w:rPr>
        <w:t>Faro de Alborán</w:t>
      </w:r>
      <w:r>
        <w:rPr>
          <w:rFonts w:ascii="Times New Roman" w:hAnsi="Times New Roman"/>
          <w:noProof/>
          <w:sz w:val="24"/>
          <w:szCs w:val="24"/>
        </w:rPr>
        <w:t xml:space="preserve"> и неговите околности, които включват необходимото проучване относно изграждането и оптимизирането на енергията.</w:t>
      </w:r>
    </w:p>
    <w:p>
      <w:pPr>
        <w:spacing w:before="120" w:after="120" w:line="240" w:lineRule="auto"/>
        <w:jc w:val="both"/>
        <w:rPr>
          <w:rFonts w:ascii="Times New Roman" w:hAnsi="Times New Roman" w:cs="Times New Roman"/>
          <w:noProof/>
          <w:sz w:val="24"/>
        </w:rPr>
      </w:pPr>
      <w:r>
        <w:rPr>
          <w:rFonts w:ascii="Times New Roman" w:hAnsi="Times New Roman"/>
          <w:noProof/>
          <w:sz w:val="24"/>
        </w:rPr>
        <w:t>Изпълнението на инвестицията приключва до 31 декември 2024 г.</w:t>
      </w:r>
    </w:p>
    <w:p>
      <w:pPr>
        <w:spacing w:before="120" w:after="120" w:line="240" w:lineRule="auto"/>
        <w:jc w:val="both"/>
        <w:rPr>
          <w:rFonts w:ascii="Times New Roman" w:hAnsi="Times New Roman" w:cs="Times New Roman"/>
          <w:noProof/>
          <w:sz w:val="24"/>
          <w:szCs w:val="24"/>
          <w:u w:val="single"/>
        </w:rPr>
      </w:pPr>
      <w:r>
        <w:rPr>
          <w:rFonts w:ascii="Times New Roman" w:hAnsi="Times New Roman"/>
          <w:noProof/>
          <w:sz w:val="24"/>
          <w:szCs w:val="24"/>
          <w:u w:val="single"/>
        </w:rPr>
        <w:t>Инвестиция 7 (C3.I7) – План за насърчаване на устойчивостта, научните изследвания, иновациите и цифровизацията на сектора на рибарството (II): Насърчаване на научните изследвания в областта на рибарството и аквакултурите и подпомагане на обучението</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Тази мярка подобрява количеството и качеството на научните познания, които са в основата на вземането на решения по въпроси, свързани с управлението на рибарството. Мярката включва: I) закупуване на най-малко две акустични сонди за оборудване на два съществуващи кораба за риболов и океанографски изследвания, за да се гарантира качеството на данните, получени за научната оценка на различните запаси от пелагични видове; и ii) насърчаване на научните изследвания в областта на рибарството и аквакултурите, за да се гарантира екосистемен подход към вземането на решения в управлението на рибарството.</w:t>
      </w:r>
    </w:p>
    <w:p>
      <w:pPr>
        <w:spacing w:before="120" w:after="120" w:line="240" w:lineRule="auto"/>
        <w:jc w:val="both"/>
        <w:rPr>
          <w:rFonts w:ascii="Times New Roman" w:hAnsi="Times New Roman" w:cs="Times New Roman"/>
          <w:noProof/>
          <w:sz w:val="24"/>
        </w:rPr>
      </w:pPr>
      <w:r>
        <w:rPr>
          <w:rFonts w:ascii="Times New Roman" w:hAnsi="Times New Roman"/>
          <w:noProof/>
          <w:sz w:val="24"/>
        </w:rPr>
        <w:t>Придобиването на двете акустични сонди се извършва въз основа на процедура за възлагане на обществена поръчка, при която офертата се провежда изключително. Насърчаването на научните изследвания в областта на рибарството и аквакултурите се постига чрез подписване на споразумения с публични научноизследователски организации и, когато е целесъобразно, чрез възлагане на собствени ресурси за набиране на наблюдатели на борда или чрез тръжни процедури.</w:t>
      </w:r>
    </w:p>
    <w:p>
      <w:pPr>
        <w:spacing w:before="120" w:after="120" w:line="240" w:lineRule="auto"/>
        <w:jc w:val="both"/>
        <w:rPr>
          <w:rFonts w:ascii="Times New Roman" w:hAnsi="Times New Roman" w:cs="Times New Roman"/>
          <w:noProof/>
          <w:sz w:val="24"/>
        </w:rPr>
      </w:pPr>
      <w:r>
        <w:rPr>
          <w:rFonts w:ascii="Times New Roman" w:hAnsi="Times New Roman"/>
          <w:noProof/>
          <w:sz w:val="24"/>
        </w:rPr>
        <w:t>Изпълнението на инвестицията приключва до 30 юни 2022 г.</w:t>
      </w:r>
    </w:p>
    <w:p>
      <w:pPr>
        <w:spacing w:before="120" w:after="120" w:line="240" w:lineRule="auto"/>
        <w:jc w:val="both"/>
        <w:rPr>
          <w:rFonts w:ascii="Times New Roman" w:hAnsi="Times New Roman" w:cs="Times New Roman"/>
          <w:noProof/>
          <w:sz w:val="24"/>
          <w:szCs w:val="24"/>
          <w:u w:val="single"/>
        </w:rPr>
      </w:pPr>
      <w:r>
        <w:rPr>
          <w:rFonts w:ascii="Times New Roman" w:hAnsi="Times New Roman"/>
          <w:noProof/>
          <w:sz w:val="24"/>
          <w:szCs w:val="24"/>
          <w:u w:val="single"/>
        </w:rPr>
        <w:t xml:space="preserve">Инвестиция 8 (C3.I8) – План за насърчаване на устойчивостта, научните изследвания, иновациите и цифровизацията на сектора на рибарството (III): Технологично развитие и иновации в областта на рибарството и аквакултурите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Целта на тази мярка е да се създаде по-устойчив в екологично, икономическо и социално отношение сектор на рибарството и аквакултурите посредством две направления на действие:</w:t>
      </w:r>
    </w:p>
    <w:p>
      <w:pPr>
        <w:numPr>
          <w:ilvl w:val="0"/>
          <w:numId w:val="35"/>
        </w:numPr>
        <w:spacing w:before="120" w:after="120" w:line="240" w:lineRule="auto"/>
        <w:ind w:left="425" w:hanging="425"/>
        <w:contextualSpacing/>
        <w:jc w:val="both"/>
        <w:rPr>
          <w:rFonts w:ascii="Times New Roman" w:hAnsi="Times New Roman" w:cs="Times New Roman"/>
          <w:noProof/>
          <w:sz w:val="24"/>
          <w:szCs w:val="24"/>
        </w:rPr>
      </w:pPr>
      <w:r>
        <w:rPr>
          <w:rFonts w:ascii="Times New Roman" w:hAnsi="Times New Roman"/>
          <w:noProof/>
          <w:sz w:val="24"/>
          <w:szCs w:val="24"/>
        </w:rPr>
        <w:t>създаването на публично-частни партньорства за насърчаване на синия растеж в сектора с цел осъществяване на проекти, които служат като катализатори за процесите на синята икономика; и</w:t>
      </w:r>
    </w:p>
    <w:p>
      <w:pPr>
        <w:numPr>
          <w:ilvl w:val="0"/>
          <w:numId w:val="35"/>
        </w:numPr>
        <w:spacing w:before="120" w:after="120" w:line="240" w:lineRule="auto"/>
        <w:ind w:left="426" w:hanging="426"/>
        <w:jc w:val="both"/>
        <w:rPr>
          <w:rFonts w:ascii="Times New Roman" w:hAnsi="Times New Roman" w:cs="Times New Roman"/>
          <w:noProof/>
          <w:sz w:val="24"/>
          <w:szCs w:val="24"/>
        </w:rPr>
      </w:pPr>
      <w:r>
        <w:rPr>
          <w:rFonts w:ascii="Times New Roman" w:hAnsi="Times New Roman"/>
          <w:noProof/>
          <w:sz w:val="24"/>
          <w:szCs w:val="24"/>
        </w:rPr>
        <w:t xml:space="preserve">подкрепа за технологичното развитие и иновациите в сектора.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Мярката предвижда завършването на най-малко 20 научноизследователски, развойни и иновационни проекта за внедряване на нови технологии, които благоприятстват устойчивостта и устойчивостта на сектора на рибарството и аквакултурите.</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Изпълнението на инвестицията приключва до 31 декември 2023 г.</w:t>
      </w:r>
    </w:p>
    <w:p>
      <w:pPr>
        <w:spacing w:before="120" w:after="120" w:line="240" w:lineRule="auto"/>
        <w:jc w:val="both"/>
        <w:rPr>
          <w:rFonts w:ascii="Times New Roman" w:hAnsi="Times New Roman" w:cs="Times New Roman"/>
          <w:noProof/>
          <w:sz w:val="24"/>
          <w:szCs w:val="24"/>
          <w:u w:val="single"/>
        </w:rPr>
      </w:pPr>
      <w:r>
        <w:rPr>
          <w:rFonts w:ascii="Times New Roman" w:hAnsi="Times New Roman"/>
          <w:noProof/>
          <w:sz w:val="24"/>
          <w:szCs w:val="24"/>
          <w:u w:val="single"/>
        </w:rPr>
        <w:t xml:space="preserve">Инвестиция 9 (C3.I9) – План за насърчаване на устойчивостта, научните изследвания, иновациите и цифровизацията в сектора на рибарството (IV): Цифровизация и използване на ИКТ в сектора на рибарството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Тази мярка има за цел да подобри надзора на риболовната дейност, за да се гарантира екологичната устойчивост, както и средносрочната и дългосрочната жизнеспособност на сектора на рибарството. Мярката се състои от две направления на действие:</w:t>
      </w:r>
    </w:p>
    <w:p>
      <w:pPr>
        <w:numPr>
          <w:ilvl w:val="0"/>
          <w:numId w:val="36"/>
        </w:numPr>
        <w:spacing w:before="120" w:after="120" w:line="240" w:lineRule="auto"/>
        <w:ind w:left="425" w:hanging="425"/>
        <w:contextualSpacing/>
        <w:jc w:val="both"/>
        <w:rPr>
          <w:rFonts w:ascii="Times New Roman" w:hAnsi="Times New Roman" w:cs="Times New Roman"/>
          <w:noProof/>
          <w:sz w:val="24"/>
          <w:szCs w:val="24"/>
        </w:rPr>
      </w:pPr>
      <w:r>
        <w:rPr>
          <w:rFonts w:ascii="Times New Roman" w:hAnsi="Times New Roman"/>
          <w:noProof/>
          <w:sz w:val="24"/>
          <w:szCs w:val="24"/>
        </w:rPr>
        <w:t>схема за помощ за цифровизацията на сектора на рибарството и аквакултурите, включително i) помощ за устройства за електронно подаване на улова, както и тяхното географско позициониране за кораби с дължина под 12 метра; и ii) помощ за инсталиране на система за наблюдение, която използва камери за дистанционно наблюдение на рибарството и за борба с изхвърлянето на улов за кораби с дължина над 24 метра; и</w:t>
      </w:r>
    </w:p>
    <w:p>
      <w:pPr>
        <w:numPr>
          <w:ilvl w:val="0"/>
          <w:numId w:val="36"/>
        </w:numPr>
        <w:spacing w:before="120" w:after="120" w:line="240" w:lineRule="auto"/>
        <w:ind w:left="426" w:hanging="426"/>
        <w:jc w:val="both"/>
        <w:rPr>
          <w:rFonts w:ascii="Times New Roman" w:hAnsi="Times New Roman" w:cs="Times New Roman"/>
          <w:noProof/>
          <w:sz w:val="24"/>
          <w:szCs w:val="24"/>
        </w:rPr>
      </w:pPr>
      <w:r>
        <w:rPr>
          <w:rFonts w:ascii="Times New Roman" w:hAnsi="Times New Roman"/>
          <w:noProof/>
          <w:sz w:val="24"/>
          <w:szCs w:val="24"/>
        </w:rPr>
        <w:t xml:space="preserve">съвременни ИКТ решения за наблюдение на риболова, включително i) система за регистрация на улова с възможност за проследяване на кораби с дължина под 12 метра; II) създаване на полетно обслужване на безпилотни летателни апарати за контрол и надзор на рибарството и на система за дистанционно наблюдение на улова на риболовни кораби с дължина над 24 метра; и iii) устройства и софтуер (т.е. инсталирането на втора защитна стена) за укрепване на сигурността на испанската информационна система в областта на рибарството. </w:t>
      </w:r>
    </w:p>
    <w:p>
      <w:pPr>
        <w:spacing w:before="120" w:after="120" w:line="240" w:lineRule="auto"/>
        <w:jc w:val="both"/>
        <w:rPr>
          <w:rFonts w:ascii="Times New Roman" w:hAnsi="Times New Roman" w:cs="Times New Roman"/>
          <w:noProof/>
          <w:sz w:val="24"/>
        </w:rPr>
      </w:pPr>
      <w:r>
        <w:rPr>
          <w:rFonts w:ascii="Times New Roman" w:hAnsi="Times New Roman"/>
          <w:noProof/>
          <w:sz w:val="24"/>
        </w:rPr>
        <w:t>Цифровизацията на испанския сектор на рибарството и аквакултурите се осъществява под формата на безвъзмездни средства за конкурентни тръжни процедури, а прилагането на съвременни ИКТ решения за наблюдение на риболова се осъществява чрез открити и централизирани обществени поръчки.</w:t>
      </w:r>
    </w:p>
    <w:p>
      <w:pPr>
        <w:spacing w:before="120" w:after="120" w:line="240" w:lineRule="auto"/>
        <w:jc w:val="both"/>
        <w:rPr>
          <w:rFonts w:ascii="Times New Roman" w:hAnsi="Times New Roman" w:cs="Times New Roman"/>
          <w:noProof/>
          <w:sz w:val="24"/>
        </w:rPr>
      </w:pPr>
      <w:r>
        <w:rPr>
          <w:rFonts w:ascii="Times New Roman" w:hAnsi="Times New Roman"/>
          <w:noProof/>
          <w:sz w:val="24"/>
        </w:rPr>
        <w:t>Изпълнението на инвестицията приключва до 31 декември 2024 г.</w:t>
      </w:r>
    </w:p>
    <w:p>
      <w:pPr>
        <w:spacing w:before="120" w:after="120" w:line="240" w:lineRule="auto"/>
        <w:jc w:val="both"/>
        <w:rPr>
          <w:rFonts w:ascii="Times New Roman" w:hAnsi="Times New Roman" w:cs="Times New Roman"/>
          <w:noProof/>
          <w:sz w:val="24"/>
          <w:szCs w:val="24"/>
          <w:u w:val="single"/>
        </w:rPr>
      </w:pPr>
      <w:r>
        <w:rPr>
          <w:rFonts w:ascii="Times New Roman" w:hAnsi="Times New Roman"/>
          <w:noProof/>
          <w:sz w:val="24"/>
          <w:szCs w:val="24"/>
          <w:u w:val="single"/>
        </w:rPr>
        <w:t>Инвестиция 10 (C3.I10) – План за насърчаване на устойчивостта, научните изследвания, иновациите и цифровизацията на сектора на рибарството (V): Подкрепа за борбата срещу незаконния, недеклариран и нерегулиран риболов</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Тази мярка подкрепя борбата срещу незаконния, недеклариран и нерегулиран риболов, който продължава да бъде заплаха за морските екосистеми. За тази цел мярката подкрепя следните инвестиции:</w:t>
      </w:r>
    </w:p>
    <w:p>
      <w:pPr>
        <w:numPr>
          <w:ilvl w:val="0"/>
          <w:numId w:val="38"/>
        </w:numPr>
        <w:spacing w:before="120" w:after="120" w:line="240" w:lineRule="auto"/>
        <w:ind w:left="425" w:hanging="425"/>
        <w:contextualSpacing/>
        <w:jc w:val="both"/>
        <w:rPr>
          <w:rFonts w:ascii="Times New Roman" w:hAnsi="Times New Roman" w:cs="Times New Roman"/>
          <w:noProof/>
          <w:sz w:val="24"/>
          <w:szCs w:val="24"/>
        </w:rPr>
      </w:pPr>
      <w:r>
        <w:rPr>
          <w:rFonts w:ascii="Times New Roman" w:hAnsi="Times New Roman"/>
          <w:noProof/>
          <w:sz w:val="24"/>
          <w:szCs w:val="24"/>
        </w:rPr>
        <w:t>придобиването на четири патрулни кораба; и</w:t>
      </w:r>
    </w:p>
    <w:p>
      <w:pPr>
        <w:numPr>
          <w:ilvl w:val="0"/>
          <w:numId w:val="38"/>
        </w:numPr>
        <w:spacing w:before="120" w:after="120" w:line="240" w:lineRule="auto"/>
        <w:ind w:left="426" w:hanging="426"/>
        <w:jc w:val="both"/>
        <w:rPr>
          <w:rFonts w:ascii="Times New Roman" w:hAnsi="Times New Roman" w:cs="Times New Roman"/>
          <w:noProof/>
          <w:sz w:val="24"/>
        </w:rPr>
      </w:pPr>
      <w:r>
        <w:rPr>
          <w:rFonts w:ascii="Times New Roman" w:hAnsi="Times New Roman"/>
          <w:noProof/>
          <w:sz w:val="24"/>
        </w:rPr>
        <w:t xml:space="preserve">модернизацията на три патрулни кораба в открито море, които ще се използват за борба с незаконния, докладван и нерегулиран риболов.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Мярката се изпълнява чрез процедура за възлагане на обществена поръчка за строителство на патрулни кораби и чрез изменение на споразумение с испанския военноморски флот в случая на патрулни кораби в открито море, което да осигури правно покритие за прехвърлянето на военноморските сили, като се управляват горепосочените дейности по модернизация.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Очаква се тази мярка да не навреди значително на екологичните цели по смисъла на член 17 от Регламент (ЕС) 2020/852, като се вземат предвид описанието на мярката и смекчаващите стъпки, определени в плана за възстановяване и устойчивост в съответствие с Техническите насоки за спазването на принципа за „ненанасяне на значителни вреди“ (2021/C58/01). По-специално придобиванията и модернизацията на плавателни съдове са само от най-добрата налична технология с най-слабо въздействие върху околната среда в сектора. </w:t>
      </w:r>
    </w:p>
    <w:p>
      <w:pPr>
        <w:spacing w:before="120" w:after="120" w:line="240" w:lineRule="auto"/>
        <w:jc w:val="both"/>
        <w:rPr>
          <w:rFonts w:ascii="Times New Roman" w:hAnsi="Times New Roman" w:cs="Times New Roman"/>
          <w:noProof/>
          <w:sz w:val="24"/>
          <w:u w:val="single"/>
        </w:rPr>
      </w:pPr>
      <w:r>
        <w:rPr>
          <w:rFonts w:ascii="Times New Roman" w:hAnsi="Times New Roman"/>
          <w:noProof/>
          <w:sz w:val="24"/>
        </w:rPr>
        <w:t>Изпълнението на инвестицията приключва до 31 декември 2022 г.</w:t>
      </w:r>
    </w:p>
    <w:p>
      <w:pPr>
        <w:spacing w:before="120" w:after="120" w:line="240" w:lineRule="auto"/>
        <w:jc w:val="both"/>
        <w:rPr>
          <w:rFonts w:ascii="Times New Roman" w:hAnsi="Times New Roman" w:cs="Times New Roman"/>
          <w:noProof/>
          <w:sz w:val="24"/>
          <w:szCs w:val="24"/>
          <w:u w:val="single"/>
        </w:rPr>
      </w:pPr>
      <w:r>
        <w:rPr>
          <w:rFonts w:ascii="Times New Roman" w:hAnsi="Times New Roman"/>
          <w:noProof/>
          <w:sz w:val="24"/>
          <w:szCs w:val="24"/>
          <w:u w:val="single"/>
        </w:rPr>
        <w:t xml:space="preserve">Инвестиция 11 (C3.I11) – План за насърчаване на устойчивостта, научните изследвания, иновациите и цифровизацията в сектора на рибарството (VI): Подкрепа за финансирането на сектора на рибарството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Тази мярка предоставя финансиране за инвестиционни проекти в сектора на рибарството чрез предоставяне на заем на </w:t>
      </w:r>
      <w:r>
        <w:rPr>
          <w:rFonts w:ascii="Times New Roman" w:hAnsi="Times New Roman"/>
          <w:i/>
          <w:noProof/>
          <w:sz w:val="24"/>
          <w:szCs w:val="24"/>
        </w:rPr>
        <w:t>Sociedad Anónima Estatal de Caución Agraria</w:t>
      </w:r>
      <w:r>
        <w:rPr>
          <w:rFonts w:ascii="Times New Roman" w:hAnsi="Times New Roman"/>
          <w:noProof/>
          <w:sz w:val="24"/>
          <w:szCs w:val="24"/>
        </w:rPr>
        <w:t xml:space="preserve"> (SAECA). Целта на мярката е да се създаде финансова линия за финансиране на проекти, свързани с устойчиви риболовни дейности, включително: подобряване на условията на труд и безопасност; II) цифровизиране на процесите и системите; III) подобряване на стойността и проследимостта на продуктите; IV) търсене на нови продукти и начини на представяне, включително опаковане; и v) насърчаване на иновациите, енергийното подобряване и ефективност, както и прехода към енергия с по-слабо въздействие върху климата.</w:t>
      </w:r>
    </w:p>
    <w:p>
      <w:pPr>
        <w:spacing w:before="120" w:after="120" w:line="240" w:lineRule="auto"/>
        <w:jc w:val="both"/>
        <w:rPr>
          <w:rFonts w:ascii="Times New Roman" w:hAnsi="Times New Roman" w:cs="Times New Roman"/>
          <w:noProof/>
          <w:sz w:val="24"/>
        </w:rPr>
      </w:pPr>
      <w:r>
        <w:rPr>
          <w:rFonts w:ascii="Times New Roman" w:hAnsi="Times New Roman"/>
          <w:noProof/>
          <w:sz w:val="24"/>
        </w:rPr>
        <w:t>Мярката се изпълнява чрез споразумение между Министерството на земеделието, рибарството и храните и SAECA за подпомагане на финансирането на инвестиционни проекти в сектора на рибарството. Механизмът се основава на заем за SAECA за създаването на линия за финансиране, предназначена за повторно гарантиране на проекти с действия, свързани с устойчивата риболовна дейност. Споразумението включва условие, което гарантира, че инвестициите, направени с това финансиране, са в съответствие с техническите насоки „Ненанасяне на значителни вреди“ (2021/C58/01).</w:t>
      </w:r>
    </w:p>
    <w:p>
      <w:pPr>
        <w:pStyle w:val="Text1"/>
        <w:ind w:left="0"/>
        <w:rPr>
          <w:noProof/>
        </w:rPr>
      </w:pPr>
      <w:r>
        <w:rPr>
          <w:noProof/>
        </w:rPr>
        <w:t xml:space="preserve">За да се гарантира, че мярката е в съответствие с Техническите насоки „Ненанасяне на значителни вреди“ (2021/C58/01), правното споразумение между Министерството на земеделието, рибарството и храните и SAECA и последващата инвестиционна политика на финансовия инструмент: </w:t>
      </w:r>
    </w:p>
    <w:p>
      <w:pPr>
        <w:pStyle w:val="Text1"/>
        <w:numPr>
          <w:ilvl w:val="0"/>
          <w:numId w:val="152"/>
        </w:numPr>
        <w:ind w:left="714" w:hanging="357"/>
        <w:contextualSpacing/>
        <w:rPr>
          <w:noProof/>
        </w:rPr>
      </w:pPr>
      <w:r>
        <w:rPr>
          <w:noProof/>
        </w:rPr>
        <w:t>изисква прилагането на техническите насоки на Комисията относно проверката на устойчивостта за фонда InvestEU; и</w:t>
      </w:r>
    </w:p>
    <w:p>
      <w:pPr>
        <w:pStyle w:val="Text1"/>
        <w:numPr>
          <w:ilvl w:val="0"/>
          <w:numId w:val="152"/>
        </w:numPr>
        <w:ind w:left="714" w:hanging="357"/>
        <w:contextualSpacing/>
        <w:rPr>
          <w:noProof/>
        </w:rPr>
      </w:pPr>
      <w:r>
        <w:rPr>
          <w:noProof/>
        </w:rPr>
        <w:t>изключване от допустимостта на следния списък с дейности и активи:</w:t>
      </w:r>
      <w:r>
        <w:rPr>
          <w:noProof/>
          <w:color w:val="FF0000"/>
        </w:rPr>
        <w:t xml:space="preserve"> </w:t>
      </w:r>
      <w:r>
        <w:rPr>
          <w:noProof/>
        </w:rPr>
        <w:t xml:space="preserve">дейности и активи, свързани с изкопаеми горива, включително използване надолу по веригата </w:t>
      </w:r>
      <w:r>
        <w:rPr>
          <w:rStyle w:val="FootnoteReference"/>
          <w:noProof/>
          <w:lang w:val="en-IE"/>
        </w:rPr>
        <w:footnoteReference w:id="10"/>
      </w:r>
      <w:r>
        <w:rPr>
          <w:noProof/>
        </w:rPr>
        <w:t>; ii) дейности и активи по схемата на ЕС за търговия с емисии (СТЕ), с които се постигат прогнозираните емисии на парникови газове, които не са по-ниски от съответните референтни стойности</w:t>
      </w:r>
      <w:r>
        <w:rPr>
          <w:rStyle w:val="FootnoteReference"/>
          <w:noProof/>
          <w:lang w:val="en-IE"/>
        </w:rPr>
        <w:footnoteReference w:id="11"/>
      </w:r>
      <w:r>
        <w:rPr>
          <w:noProof/>
        </w:rPr>
        <w:t>; iii) дейности и активи, свързани с депата за отпадъци, инсталациите за изгаряне на отпадъци</w:t>
      </w:r>
      <w:r>
        <w:rPr>
          <w:rStyle w:val="FootnoteReference"/>
          <w:noProof/>
          <w:lang w:val="en-IE"/>
        </w:rPr>
        <w:footnoteReference w:id="12"/>
      </w:r>
      <w:r>
        <w:rPr>
          <w:noProof/>
        </w:rPr>
        <w:t xml:space="preserve"> и заводите за механично-биологично третиране</w:t>
      </w:r>
      <w:r>
        <w:rPr>
          <w:rStyle w:val="FootnoteReference"/>
          <w:noProof/>
          <w:lang w:val="en-IE"/>
        </w:rPr>
        <w:footnoteReference w:id="13"/>
      </w:r>
      <w:r>
        <w:rPr>
          <w:noProof/>
        </w:rPr>
        <w:t>; и iv) дейности и активи, при които дългосрочното обезвреждане на отпадъци може да причини вреда на околната среда; и</w:t>
      </w:r>
    </w:p>
    <w:p>
      <w:pPr>
        <w:pStyle w:val="Text1"/>
        <w:numPr>
          <w:ilvl w:val="0"/>
          <w:numId w:val="152"/>
        </w:numPr>
        <w:rPr>
          <w:noProof/>
        </w:rPr>
      </w:pPr>
      <w:r>
        <w:rPr>
          <w:noProof/>
        </w:rPr>
        <w:t>изискване SAECA да проверява съответствието на проектите със приложимото законодателство на ЕС и националното законодателство в областта на околната среда за всички сделки, включително освободените от проверка на устойчивостта.</w:t>
      </w:r>
    </w:p>
    <w:p>
      <w:pPr>
        <w:spacing w:before="120" w:after="120" w:line="240" w:lineRule="auto"/>
        <w:jc w:val="both"/>
        <w:rPr>
          <w:rFonts w:ascii="Times New Roman" w:hAnsi="Times New Roman" w:cs="Times New Roman"/>
          <w:noProof/>
          <w:sz w:val="24"/>
        </w:rPr>
      </w:pPr>
      <w:r>
        <w:rPr>
          <w:rFonts w:ascii="Times New Roman" w:hAnsi="Times New Roman"/>
          <w:noProof/>
          <w:sz w:val="24"/>
        </w:rPr>
        <w:t>Изпълнението на инвестицията приключва до 30 юни 2022 г.</w:t>
      </w:r>
    </w:p>
    <w:p>
      <w:pPr>
        <w:keepNext/>
        <w:spacing w:before="120" w:after="120" w:line="240" w:lineRule="auto"/>
        <w:jc w:val="both"/>
        <w:rPr>
          <w:rFonts w:ascii="Times New Roman" w:hAnsi="Times New Roman" w:cs="Times New Roman"/>
          <w:b/>
          <w:bCs/>
          <w:noProof/>
          <w:sz w:val="24"/>
          <w:u w:val="single"/>
        </w:rPr>
      </w:pPr>
      <w:r>
        <w:rPr>
          <w:rFonts w:ascii="Times New Roman" w:hAnsi="Times New Roman"/>
          <w:b/>
          <w:bCs/>
          <w:noProof/>
          <w:sz w:val="24"/>
          <w:u w:val="single"/>
        </w:rPr>
        <w:t xml:space="preserve">В.2. </w:t>
      </w:r>
      <w:r>
        <w:rPr>
          <w:rFonts w:ascii="Times New Roman" w:hAnsi="Times New Roman"/>
          <w:b/>
          <w:noProof/>
          <w:sz w:val="24"/>
          <w:u w:val="single"/>
        </w:rPr>
        <w:tab/>
      </w:r>
      <w:r>
        <w:rPr>
          <w:rFonts w:ascii="Times New Roman" w:hAnsi="Times New Roman"/>
          <w:b/>
          <w:bCs/>
          <w:noProof/>
          <w:sz w:val="24"/>
          <w:u w:val="single"/>
        </w:rPr>
        <w:t>Ключови етапи, цели, показатели и график за мониторинг и изпълнение на безвъзмездната финансова подкрепа</w:t>
      </w:r>
    </w:p>
    <w:p>
      <w:pPr>
        <w:spacing w:before="120" w:after="120" w:line="240" w:lineRule="auto"/>
        <w:jc w:val="both"/>
        <w:rPr>
          <w:rFonts w:ascii="Times New Roman" w:hAnsi="Times New Roman" w:cs="Times New Roman"/>
          <w:b/>
          <w:noProof/>
          <w:sz w:val="24"/>
          <w:u w:val="single"/>
        </w:rPr>
      </w:pPr>
      <w:r>
        <w:rPr>
          <w:rFonts w:ascii="Times New Roman" w:hAnsi="Times New Roman"/>
          <w:i/>
          <w:iCs/>
          <w:noProof/>
          <w:color w:val="000000"/>
          <w:sz w:val="24"/>
        </w:rPr>
        <w:t>Вж. таблицата по-долу.</w:t>
      </w:r>
      <w:r>
        <w:rPr>
          <w:rFonts w:ascii="Times New Roman" w:hAnsi="Times New Roman"/>
          <w:noProof/>
          <w:color w:val="1F497D"/>
          <w:sz w:val="24"/>
        </w:rPr>
        <w:t xml:space="preserve"> </w:t>
      </w:r>
      <w:r>
        <w:rPr>
          <w:rFonts w:ascii="Times New Roman" w:hAnsi="Times New Roman"/>
          <w:i/>
          <w:iCs/>
          <w:noProof/>
          <w:color w:val="000000"/>
          <w:sz w:val="24"/>
        </w:rPr>
        <w:t>Датата на базовата линия за всички показатели е 1 февруари 2020 г., освен ако не е посочено друго в описанието на действието. Сумите в таблицата не включват ДДС.</w:t>
      </w:r>
    </w:p>
    <w:p>
      <w:pPr>
        <w:spacing w:before="120" w:after="120" w:line="240" w:lineRule="auto"/>
        <w:ind w:left="709"/>
        <w:jc w:val="both"/>
        <w:rPr>
          <w:rFonts w:ascii="Times New Roman" w:hAnsi="Times New Roman" w:cs="Times New Roman"/>
          <w:noProof/>
          <w:sz w:val="24"/>
          <w:lang w:val="en-IE"/>
        </w:rPr>
        <w:sectPr>
          <w:headerReference w:type="even" r:id="rId43"/>
          <w:headerReference w:type="default" r:id="rId44"/>
          <w:footerReference w:type="even" r:id="rId45"/>
          <w:footerReference w:type="default" r:id="rId46"/>
          <w:headerReference w:type="first" r:id="rId47"/>
          <w:footerReference w:type="first" r:id="rId48"/>
          <w:pgSz w:w="11907" w:h="16839"/>
          <w:pgMar w:top="1134" w:right="1417" w:bottom="1134" w:left="1417" w:header="709" w:footer="709" w:gutter="0"/>
          <w:cols w:space="720"/>
          <w:docGrid w:linePitch="360"/>
        </w:sectPr>
      </w:pPr>
    </w:p>
    <w:tbl>
      <w:tblPr>
        <w:tblW w:w="15310"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09"/>
        <w:gridCol w:w="851"/>
        <w:gridCol w:w="850"/>
        <w:gridCol w:w="3119"/>
        <w:gridCol w:w="1276"/>
        <w:gridCol w:w="850"/>
        <w:gridCol w:w="677"/>
        <w:gridCol w:w="599"/>
        <w:gridCol w:w="301"/>
        <w:gridCol w:w="691"/>
        <w:gridCol w:w="5387"/>
      </w:tblGrid>
      <w:tr>
        <w:trPr>
          <w:trHeight w:val="309"/>
          <w:tblHeader/>
        </w:trPr>
        <w:tc>
          <w:tcPr>
            <w:tcW w:w="709"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szCs w:val="18"/>
              </w:rPr>
              <w:t>Номер</w:t>
            </w:r>
          </w:p>
        </w:tc>
        <w:tc>
          <w:tcPr>
            <w:tcW w:w="851"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szCs w:val="18"/>
              </w:rPr>
              <w:t>Мярка</w:t>
            </w:r>
          </w:p>
        </w:tc>
        <w:tc>
          <w:tcPr>
            <w:tcW w:w="850"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szCs w:val="18"/>
              </w:rPr>
              <w:t>Ключов етап / Цел</w:t>
            </w:r>
          </w:p>
        </w:tc>
        <w:tc>
          <w:tcPr>
            <w:tcW w:w="3119"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szCs w:val="18"/>
              </w:rPr>
              <w:t>Наименование</w:t>
            </w:r>
          </w:p>
        </w:tc>
        <w:tc>
          <w:tcPr>
            <w:tcW w:w="1276"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szCs w:val="18"/>
              </w:rPr>
              <w:t>Качествени показатели за ключовите етапи</w:t>
            </w:r>
          </w:p>
        </w:tc>
        <w:tc>
          <w:tcPr>
            <w:tcW w:w="2126" w:type="dxa"/>
            <w:gridSpan w:val="3"/>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szCs w:val="18"/>
              </w:rPr>
              <w:t>Количествени показатели за целите</w:t>
            </w:r>
          </w:p>
        </w:tc>
        <w:tc>
          <w:tcPr>
            <w:tcW w:w="992" w:type="dxa"/>
            <w:gridSpan w:val="2"/>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szCs w:val="18"/>
              </w:rPr>
              <w:t>Време</w:t>
            </w:r>
          </w:p>
        </w:tc>
        <w:tc>
          <w:tcPr>
            <w:tcW w:w="5387"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bCs/>
                <w:noProof/>
                <w:sz w:val="18"/>
                <w:szCs w:val="18"/>
              </w:rPr>
              <w:t>Описание на всеки ключов етап и всяка цел</w:t>
            </w:r>
          </w:p>
        </w:tc>
      </w:tr>
      <w:tr>
        <w:trPr>
          <w:trHeight w:val="309"/>
          <w:tblHeader/>
        </w:trPr>
        <w:tc>
          <w:tcPr>
            <w:tcW w:w="709"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851"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850"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3119" w:type="dxa"/>
            <w:tcBorders>
              <w:top w:val="nil"/>
            </w:tcBorders>
            <w:shd w:val="clear" w:color="auto" w:fill="C6D9F1" w:themeFill="text2" w:themeFillTint="33"/>
            <w:noWrap/>
          </w:tcPr>
          <w:p>
            <w:pPr>
              <w:spacing w:after="0" w:line="240" w:lineRule="auto"/>
              <w:rPr>
                <w:rFonts w:ascii="Times New Roman" w:hAnsi="Times New Roman" w:cs="Times New Roman"/>
                <w:b/>
                <w:noProof/>
                <w:color w:val="000000"/>
                <w:sz w:val="18"/>
                <w:szCs w:val="18"/>
              </w:rPr>
            </w:pPr>
          </w:p>
        </w:tc>
        <w:tc>
          <w:tcPr>
            <w:tcW w:w="1276"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850" w:type="dxa"/>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szCs w:val="18"/>
              </w:rPr>
              <w:t>Мерна единица</w:t>
            </w:r>
          </w:p>
        </w:tc>
        <w:tc>
          <w:tcPr>
            <w:tcW w:w="677" w:type="dxa"/>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szCs w:val="18"/>
              </w:rPr>
              <w:t>Базова линия</w:t>
            </w:r>
          </w:p>
        </w:tc>
        <w:tc>
          <w:tcPr>
            <w:tcW w:w="599" w:type="dxa"/>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szCs w:val="18"/>
              </w:rPr>
              <w:t>Цел</w:t>
            </w:r>
          </w:p>
        </w:tc>
        <w:tc>
          <w:tcPr>
            <w:tcW w:w="301" w:type="dxa"/>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szCs w:val="18"/>
              </w:rPr>
              <w:t>T</w:t>
            </w:r>
          </w:p>
        </w:tc>
        <w:tc>
          <w:tcPr>
            <w:tcW w:w="691" w:type="dxa"/>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szCs w:val="18"/>
              </w:rPr>
              <w:t>Година</w:t>
            </w:r>
          </w:p>
        </w:tc>
        <w:tc>
          <w:tcPr>
            <w:tcW w:w="5387" w:type="dxa"/>
            <w:tcBorders>
              <w:top w:val="nil"/>
            </w:tcBorders>
            <w:shd w:val="clear" w:color="auto" w:fill="C6D9F1" w:themeFill="text2" w:themeFillTint="33"/>
            <w:noWrap/>
          </w:tcPr>
          <w:p>
            <w:pPr>
              <w:spacing w:after="0" w:line="240" w:lineRule="auto"/>
              <w:rPr>
                <w:rFonts w:ascii="Times New Roman" w:hAnsi="Times New Roman" w:cs="Times New Roman"/>
                <w:b/>
                <w:noProof/>
                <w:color w:val="000000"/>
                <w:sz w:val="18"/>
                <w:szCs w:val="18"/>
                <w:lang w:val="en-IE"/>
              </w:rPr>
            </w:pP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39</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C3.R1</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3119"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Влизане в сила на Кралски указ-закон 5/2020 относно спешни мерки по отношение на селското стопанство и храните и Закон 8/2020 за изменение на Закон 12/2013 относно мерките за подобряване на функционирането на хранителната верига</w:t>
            </w:r>
          </w:p>
        </w:tc>
        <w:tc>
          <w:tcPr>
            <w:tcW w:w="1276"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Разпоредби на Кралски указ-закон 5/2020, Закон 8/2020, Закон 12/2013 относно влизането в сила</w:t>
            </w:r>
          </w:p>
        </w:tc>
        <w:tc>
          <w:tcPr>
            <w:tcW w:w="85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67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59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30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69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2020</w:t>
            </w:r>
          </w:p>
        </w:tc>
        <w:tc>
          <w:tcPr>
            <w:tcW w:w="5387"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szCs w:val="18"/>
              </w:rPr>
              <w:t>Влизане в сила на Кралски указ-закон 5/2020 (25 февруари 2020 г.) със спешни мерки по отношение на селското стопанство и храните, за да се подобри функционирането на хранителната верига чрез изменение на националното законодателство, уреждащо търговските отношения по хранителната верига. Основните цели са да се гарантира, че цените на хранителните продукти покриват производствените разходи, да се избегне унищожаването на стойността в хранителната верига и да се забранят промоциите, предназначени да заблудят потребителите относно цената и имиджа на продуктите. Влизане в сила на Закон 8/2020 за изменение на Закон 12/2013 относно спешни мерки за подобряване на функционирането на хранителната верига, за да се утвърди посоченият по-горе кралски указ-закон чрез приемане на закон.</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40</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C3.R1</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3119"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Влизане в сила на второто изменение на Закон 12/2013 относно мерките за подобряване на функционирането на хранителната верига </w:t>
            </w:r>
          </w:p>
        </w:tc>
        <w:tc>
          <w:tcPr>
            <w:tcW w:w="1276"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Разпоредба на Закон 12/2013 относно влизането в сила</w:t>
            </w:r>
          </w:p>
        </w:tc>
        <w:tc>
          <w:tcPr>
            <w:tcW w:w="85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67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59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30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69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2021</w:t>
            </w:r>
          </w:p>
        </w:tc>
        <w:tc>
          <w:tcPr>
            <w:tcW w:w="538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Влизане в сила на второ изменение на Закон 12/2013 относно мерките за подобряване на функционирането на хранителната верига, надхвърлящо минималните изисквания на Директива (ЕС) 2019/633. С това законодателно изменение се насърчават различни действия за постигане на по-прозрачна и балансирана верига за създаване на стойност в областта на храните, което предполага промени в i) разширения обхват на законодателството към търговските отношения; (II) минималното съдържание на договорите за храни се разширява, за да обхване на практика всички сделки. </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41</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C3.R2</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3119"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Влизане в сила на регулаторната рамка за разработване на общ регистър на най-добрите налични техники в земеделските стопанства с цел информиране относно емисиите на замърсители и парникови газове и реформиране на законодателството в областта на планирането с критерии за земеделските стопанства в различните сектори</w:t>
            </w:r>
          </w:p>
        </w:tc>
        <w:tc>
          <w:tcPr>
            <w:tcW w:w="1276"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Предоставяне на регулаторна рамка относно влизането в сила</w:t>
            </w:r>
          </w:p>
        </w:tc>
        <w:tc>
          <w:tcPr>
            <w:tcW w:w="85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67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59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30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69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2022</w:t>
            </w:r>
          </w:p>
        </w:tc>
        <w:tc>
          <w:tcPr>
            <w:tcW w:w="538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Регулаторната рамка за разработването на общия регистър на най-добрите налични техники улеснява изчисляването на замърсяващите емисии и емисиите на парникови газове в свиневъдните и птицевъдните стопанства, както и регистрирането на други данни за околната среда. Постепенното преразглеждане на законодателството в областта на планирането в секторите на животновъдството регулира изискванията за местоположение, размер, санитарни условия и инфраструктура в стопанствата, промяна на изискванията за свиневъдните стопанства и създаване на нова регулаторна рамка за птицевъдния сектор.</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42</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C3.R3</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3119"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Влизане в сила на нормативната уредба относно устойчивото хранене в земеделските почви.</w:t>
            </w:r>
          </w:p>
        </w:tc>
        <w:tc>
          <w:tcPr>
            <w:tcW w:w="1276"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Разпоредба на нормативната уредба относно влизането в сила</w:t>
            </w:r>
          </w:p>
        </w:tc>
        <w:tc>
          <w:tcPr>
            <w:tcW w:w="85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67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59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30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T1</w:t>
            </w:r>
          </w:p>
        </w:tc>
        <w:tc>
          <w:tcPr>
            <w:tcW w:w="69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2023</w:t>
            </w:r>
          </w:p>
        </w:tc>
        <w:tc>
          <w:tcPr>
            <w:tcW w:w="538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Тази нормативна рамка има за цел да регулира работата по наторяване и да насърчи предоставянето на технически консултации на земеделските стопани с цел рационализиране на наторяването и спазване на правните изисквания. </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43</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C3.R4</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3119"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Влизане в сила на кралския указ за механизъм за управление с цел подобряване на испанската напоителна система.</w:t>
            </w:r>
          </w:p>
        </w:tc>
        <w:tc>
          <w:tcPr>
            <w:tcW w:w="1276"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Разпоредба на кралския указ относно влизането в сила </w:t>
            </w:r>
          </w:p>
        </w:tc>
        <w:tc>
          <w:tcPr>
            <w:tcW w:w="85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67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59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30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69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2022</w:t>
            </w:r>
          </w:p>
        </w:tc>
        <w:tc>
          <w:tcPr>
            <w:tcW w:w="538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Кралският указ установява механизъм за управление на национално равнище, така че засегнатите сектори да могат да си сътрудничат по аспекти, свързани с напояването в Испания, като устойчивост, критерии за изпълнение, разпоредби и т.н. Целта му е също така да създаде обсерватория за устойчиво напояване в Испания.</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44</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C3.R5</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3119"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Приемане на втория план за действие на стратегията за цифровизация на хранително-вкусовия сектор и селските райони.</w:t>
            </w:r>
          </w:p>
        </w:tc>
        <w:tc>
          <w:tcPr>
            <w:tcW w:w="1276"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Публикация на интернет страницата на Министерството на земеделието</w:t>
            </w:r>
          </w:p>
        </w:tc>
        <w:tc>
          <w:tcPr>
            <w:tcW w:w="85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67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59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30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69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2022</w:t>
            </w:r>
          </w:p>
        </w:tc>
        <w:tc>
          <w:tcPr>
            <w:tcW w:w="538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Мярката осигурява приемственост на стратегията за цифровизация на хранително-вкусовия сектор и на селските райони с втори план с цел намаляване на цифровото разделение, насърчаване на използването на данни и насърчаване на развитието на бизнеса и новите бизнес модели. </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45</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C3.R6</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3119"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Влизане в сила на кралския указ за управление на националните риболовни зони </w:t>
            </w:r>
          </w:p>
        </w:tc>
        <w:tc>
          <w:tcPr>
            <w:tcW w:w="1276"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Разпоредба на кралския указ относно влизането в сила</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67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59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30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T2</w:t>
            </w:r>
          </w:p>
        </w:tc>
        <w:tc>
          <w:tcPr>
            <w:tcW w:w="69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2022</w:t>
            </w:r>
          </w:p>
        </w:tc>
        <w:tc>
          <w:tcPr>
            <w:tcW w:w="538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С кралския указ се съгласува управлението на различните инструменти, методи и преброявания на националните риболовни зони, като се улеснява по-доброто управление на стопанската дейност и се вземат предвид целите на основните политики и предизвикателства на ЕС, като реформата на общата политика в областта на рибарството, стратегията за биологичното разнообразие до 2030 г., морските стратегии или ЦУР.</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46</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C3.I1</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w:t>
            </w:r>
          </w:p>
        </w:tc>
        <w:tc>
          <w:tcPr>
            <w:tcW w:w="3119"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Влизане в сила на договорното споразумение между Министерството на земеделието, рибарството и храните (MAPA) и SEIASA за подпомагане на подобряването и устойчивостта на напояваните площи (етап I)</w:t>
            </w:r>
          </w:p>
        </w:tc>
        <w:tc>
          <w:tcPr>
            <w:tcW w:w="1276" w:type="dxa"/>
            <w:shd w:val="clear" w:color="auto" w:fill="C6EFCE"/>
            <w:noWrap/>
          </w:tcPr>
          <w:p>
            <w:pPr>
              <w:spacing w:after="0" w:line="240" w:lineRule="auto"/>
              <w:jc w:val="center"/>
              <w:rPr>
                <w:rFonts w:ascii="Times New Roman" w:eastAsia="Times New Roman" w:hAnsi="Times New Roman" w:cs="Times New Roman"/>
                <w:noProof/>
                <w:sz w:val="18"/>
                <w:szCs w:val="18"/>
                <w:lang w:eastAsia="en-GB"/>
              </w:rPr>
            </w:pPr>
          </w:p>
        </w:tc>
        <w:tc>
          <w:tcPr>
            <w:tcW w:w="850"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 xml:space="preserve"> милиони евро</w:t>
            </w:r>
          </w:p>
          <w:p>
            <w:pPr>
              <w:spacing w:after="0" w:line="240" w:lineRule="auto"/>
              <w:jc w:val="right"/>
              <w:rPr>
                <w:rFonts w:ascii="Times New Roman" w:eastAsia="Times New Roman" w:hAnsi="Times New Roman" w:cs="Times New Roman"/>
                <w:noProof/>
                <w:sz w:val="18"/>
                <w:szCs w:val="18"/>
                <w:lang w:val="en-IE" w:eastAsia="en-GB"/>
              </w:rPr>
            </w:pPr>
          </w:p>
        </w:tc>
        <w:tc>
          <w:tcPr>
            <w:tcW w:w="67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0</w:t>
            </w:r>
          </w:p>
        </w:tc>
        <w:tc>
          <w:tcPr>
            <w:tcW w:w="59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260</w:t>
            </w:r>
          </w:p>
        </w:tc>
        <w:tc>
          <w:tcPr>
            <w:tcW w:w="30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T3</w:t>
            </w:r>
          </w:p>
        </w:tc>
        <w:tc>
          <w:tcPr>
            <w:tcW w:w="69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2021</w:t>
            </w:r>
          </w:p>
        </w:tc>
        <w:tc>
          <w:tcPr>
            <w:tcW w:w="538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Споразумението за сътрудничество между Министерството на земеделието, рибарството и храните (MAPA) и SEIASA (етап I; Изпълнение на бюджета в размер на 260000000 EUR) изпълнява условията на плана за подобряване на ефективността и устойчивостта на напояването, който се осъществява с тази инвестиция. Тази правна норма урежда, наред с други аспекти, режима на публично/частно финансиране за тези инвестиции за модернизиране на напояването, критериите за подбор на проекти, процедурите за изпълнение на плана, както и списъка с действията, които трябва да бъдат извършени, във връзка с изпълнението на бюджета по тази мярка. </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47</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C3.I1</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w:t>
            </w:r>
          </w:p>
        </w:tc>
        <w:tc>
          <w:tcPr>
            <w:tcW w:w="3119"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Изпълнение на споразумението между Министерството на земеделието, рибарството и храните (MAPA) и SEIASA за подпомагане на подобряването и устойчивостта на напояваните площи (етап II)</w:t>
            </w:r>
          </w:p>
        </w:tc>
        <w:tc>
          <w:tcPr>
            <w:tcW w:w="1276" w:type="dxa"/>
            <w:shd w:val="clear" w:color="auto" w:fill="C6EFCE"/>
            <w:noWrap/>
          </w:tcPr>
          <w:p>
            <w:pPr>
              <w:spacing w:after="0" w:line="240" w:lineRule="auto"/>
              <w:jc w:val="center"/>
              <w:rPr>
                <w:rFonts w:ascii="Times New Roman" w:eastAsia="Times New Roman" w:hAnsi="Times New Roman" w:cs="Times New Roman"/>
                <w:noProof/>
                <w:sz w:val="18"/>
                <w:szCs w:val="18"/>
                <w:lang w:eastAsia="en-GB"/>
              </w:rPr>
            </w:pPr>
          </w:p>
        </w:tc>
        <w:tc>
          <w:tcPr>
            <w:tcW w:w="85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милиони евро</w:t>
            </w:r>
          </w:p>
        </w:tc>
        <w:tc>
          <w:tcPr>
            <w:tcW w:w="67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0</w:t>
            </w:r>
          </w:p>
        </w:tc>
        <w:tc>
          <w:tcPr>
            <w:tcW w:w="59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303</w:t>
            </w:r>
          </w:p>
        </w:tc>
        <w:tc>
          <w:tcPr>
            <w:tcW w:w="30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69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2022</w:t>
            </w:r>
          </w:p>
        </w:tc>
        <w:tc>
          <w:tcPr>
            <w:tcW w:w="538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Споразумението за сътрудничество между Министерството на земеделието, рибарството и храните (MAPA) и SEIASA (етап II; 303000000 EUR от изпълнението на бюджета) изпълнява условията на плана за подобряване на ефективността и устойчивостта на напояването, който се изпълнява с този инвестиционен проект. Тази правна норма урежда, наред с други аспекти, режима на публично/частно финансиране за тези инвестиции за модернизиране на напояването, критериите за подбор на проекти, процедурите за изпълнение на плана, както и списъка с действията, които трябва да бъдат извършени, във връзка с изпълнението на бюджета по тази мярка.</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48</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C3.I1</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w:t>
            </w:r>
          </w:p>
        </w:tc>
        <w:tc>
          <w:tcPr>
            <w:tcW w:w="3119"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Модернизиране на напоителните системи по отношение на икономията на вода и енергийната ефективност </w:t>
            </w:r>
          </w:p>
        </w:tc>
        <w:tc>
          <w:tcPr>
            <w:tcW w:w="1276" w:type="dxa"/>
            <w:shd w:val="clear" w:color="auto" w:fill="C6EFCE"/>
            <w:noWrap/>
          </w:tcPr>
          <w:p>
            <w:pPr>
              <w:spacing w:after="0" w:line="240" w:lineRule="auto"/>
              <w:jc w:val="center"/>
              <w:rPr>
                <w:rFonts w:ascii="Times New Roman" w:eastAsia="Times New Roman" w:hAnsi="Times New Roman" w:cs="Times New Roman"/>
                <w:noProof/>
                <w:sz w:val="18"/>
                <w:szCs w:val="18"/>
                <w:lang w:eastAsia="en-GB"/>
              </w:rPr>
            </w:pPr>
          </w:p>
        </w:tc>
        <w:tc>
          <w:tcPr>
            <w:tcW w:w="85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Брой (хектари)</w:t>
            </w:r>
          </w:p>
        </w:tc>
        <w:tc>
          <w:tcPr>
            <w:tcW w:w="67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0</w:t>
            </w:r>
          </w:p>
        </w:tc>
        <w:tc>
          <w:tcPr>
            <w:tcW w:w="59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100 000</w:t>
            </w:r>
          </w:p>
        </w:tc>
        <w:tc>
          <w:tcPr>
            <w:tcW w:w="30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T2</w:t>
            </w:r>
          </w:p>
        </w:tc>
        <w:tc>
          <w:tcPr>
            <w:tcW w:w="69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2026</w:t>
            </w:r>
          </w:p>
        </w:tc>
        <w:tc>
          <w:tcPr>
            <w:tcW w:w="538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Модернизиране на най-малко 100 000 хектара напоителни системи по отношение на икономията на вода и енергийната ефективност. Осъвременената площ с инвестициите в плана за възстановяване и устойчивост, както и типологията на извършваните действия, се отразяват в споразуменията за сътрудничество, подписани от SEIASA със засегнатите напоителни общности или с образуванията, които управляват водните ресурси на Канарските острови. Тези споразумения определят конкретните действия, които трябва да бъдат предприети, за да се гарантира икономия на вода и енергийна ефективност в модернизираните напоителни системи. Някои от действията, които ще бъдат осъществени с този план, са следните: I) Заместване на използването на подземни или повърхностни води чрез използване на неконвенционални водни ресурси (повторно пречистени или обезсолени в съответствие с техническите насоки „Ненанасяне на значителни вреди“ (2021/C58/01), ii) прилагане на системи за регулиране на водите, които позволяват гравитация (като се използва разликата в височината, така че транспортирането на вода да не изисква използването на енергия от източници на енергия), iii) замяна на енергията от изкопаеми източници, необходими за изпомпване от възобновяеми енергийни източници (с използване на дигитални водомери), До второто тримесечие на 2026 г. най-малко 100 000 хектара напоителни системи са модернизирани по отношение на икономиите на вода и енергийната ефективност, които могат да бъдат проверени чрез споразуменията между SIEASA и напоителните общности.</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49</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C3.I2</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w:t>
            </w:r>
          </w:p>
        </w:tc>
        <w:tc>
          <w:tcPr>
            <w:tcW w:w="3119"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Въвеждане в експлоатация на съоръжение за животни – лаборатория с ниво на биобезопасност 3 и Национална фитосанитарна лаборатория</w:t>
            </w:r>
          </w:p>
        </w:tc>
        <w:tc>
          <w:tcPr>
            <w:tcW w:w="1276" w:type="dxa"/>
            <w:shd w:val="clear" w:color="auto" w:fill="C6EFCE"/>
            <w:noWrap/>
          </w:tcPr>
          <w:p>
            <w:pPr>
              <w:spacing w:after="0" w:line="240" w:lineRule="auto"/>
              <w:jc w:val="center"/>
              <w:rPr>
                <w:rFonts w:ascii="Times New Roman" w:eastAsia="Times New Roman" w:hAnsi="Times New Roman" w:cs="Times New Roman"/>
                <w:noProof/>
                <w:sz w:val="18"/>
                <w:szCs w:val="18"/>
                <w:lang w:eastAsia="en-GB"/>
              </w:rPr>
            </w:pPr>
          </w:p>
        </w:tc>
        <w:tc>
          <w:tcPr>
            <w:tcW w:w="85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Номер</w:t>
            </w:r>
          </w:p>
        </w:tc>
        <w:tc>
          <w:tcPr>
            <w:tcW w:w="67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0</w:t>
            </w:r>
          </w:p>
        </w:tc>
        <w:tc>
          <w:tcPr>
            <w:tcW w:w="59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3</w:t>
            </w:r>
          </w:p>
        </w:tc>
        <w:tc>
          <w:tcPr>
            <w:tcW w:w="30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69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2023</w:t>
            </w:r>
          </w:p>
        </w:tc>
        <w:tc>
          <w:tcPr>
            <w:tcW w:w="538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Трите съоръжения са лабораторията за биологична безопасност на ниво 3 (LCSA-Santa Fe), лабораторията за биологична безопасност на животните от ниво 3 (LCV-Algete) и Националната фитосанитарна лаборатория в Луго.</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50</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C3.I3</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w:t>
            </w:r>
          </w:p>
        </w:tc>
        <w:tc>
          <w:tcPr>
            <w:tcW w:w="3119"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Подобрени центрове за почистване и дезинфекция и центрове за производство на материали за растителна защита със засилени системи за обучение и биологична сигурност</w:t>
            </w:r>
          </w:p>
        </w:tc>
        <w:tc>
          <w:tcPr>
            <w:tcW w:w="1276" w:type="dxa"/>
            <w:shd w:val="clear" w:color="auto" w:fill="C6EFCE"/>
            <w:noWrap/>
          </w:tcPr>
          <w:p>
            <w:pPr>
              <w:spacing w:after="0" w:line="240" w:lineRule="auto"/>
              <w:jc w:val="center"/>
              <w:rPr>
                <w:rFonts w:ascii="Times New Roman" w:eastAsia="Times New Roman" w:hAnsi="Times New Roman" w:cs="Times New Roman"/>
                <w:noProof/>
                <w:sz w:val="18"/>
                <w:szCs w:val="18"/>
                <w:lang w:eastAsia="en-GB"/>
              </w:rPr>
            </w:pPr>
          </w:p>
        </w:tc>
        <w:tc>
          <w:tcPr>
            <w:tcW w:w="85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Номер</w:t>
            </w:r>
          </w:p>
        </w:tc>
        <w:tc>
          <w:tcPr>
            <w:tcW w:w="67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0</w:t>
            </w:r>
          </w:p>
        </w:tc>
        <w:tc>
          <w:tcPr>
            <w:tcW w:w="59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465</w:t>
            </w:r>
          </w:p>
        </w:tc>
        <w:tc>
          <w:tcPr>
            <w:tcW w:w="30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69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2023</w:t>
            </w:r>
          </w:p>
        </w:tc>
        <w:tc>
          <w:tcPr>
            <w:tcW w:w="538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Най-малко 465 центъра за почистване и дезинфекция и центрове за производство на материали за възпроизводство на растенията със засилени системи за обучение и биологична сигурност. Изграждането на капацитет включва подобряване и изграждане на съоръжения за почистване и дезинфекция в цяла Испания, а биологичната сигурност се състои в наличието на достъпни, модерни и оборудвани съоръжения за почистване и дезинфекция. Почистването и дезинфекцията са ключов стълб в рамките на мерките за биологична безопасност, така че технологичното подобрение на тези съоръжения е от съществено значение, като автоматизация, роботизация, инсталиране на нови системи за почистване и дезинфекция, като топлинна дезинфекция или инсталиране на системи. </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51</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C3.I4</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w:t>
            </w:r>
          </w:p>
        </w:tc>
        <w:tc>
          <w:tcPr>
            <w:tcW w:w="3119"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Инвестиционен план за насърчаване на устойчивостта и конкурентоспособността на селското стопанство и животновъдството </w:t>
            </w:r>
          </w:p>
        </w:tc>
        <w:tc>
          <w:tcPr>
            <w:tcW w:w="1276" w:type="dxa"/>
            <w:shd w:val="clear" w:color="auto" w:fill="C6EFCE"/>
            <w:noWrap/>
          </w:tcPr>
          <w:p>
            <w:pPr>
              <w:spacing w:after="0" w:line="240" w:lineRule="auto"/>
              <w:jc w:val="center"/>
              <w:rPr>
                <w:rFonts w:ascii="Times New Roman" w:eastAsia="Times New Roman" w:hAnsi="Times New Roman" w:cs="Times New Roman"/>
                <w:noProof/>
                <w:sz w:val="18"/>
                <w:szCs w:val="18"/>
                <w:lang w:eastAsia="en-GB"/>
              </w:rPr>
            </w:pPr>
          </w:p>
        </w:tc>
        <w:tc>
          <w:tcPr>
            <w:tcW w:w="85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милиони евро</w:t>
            </w:r>
          </w:p>
        </w:tc>
        <w:tc>
          <w:tcPr>
            <w:tcW w:w="67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0</w:t>
            </w:r>
          </w:p>
        </w:tc>
        <w:tc>
          <w:tcPr>
            <w:tcW w:w="59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307</w:t>
            </w:r>
          </w:p>
        </w:tc>
        <w:tc>
          <w:tcPr>
            <w:tcW w:w="30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T2</w:t>
            </w:r>
          </w:p>
        </w:tc>
        <w:tc>
          <w:tcPr>
            <w:tcW w:w="69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2022</w:t>
            </w:r>
          </w:p>
        </w:tc>
        <w:tc>
          <w:tcPr>
            <w:tcW w:w="538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Приключване на инвестиционния план за насърчаване на устойчивостта и конкурентоспособността на селскостопанските и животновъдните дейности в областта на прецизното земеделие, енергийната ефективност и кръговата икономика (изпълнение на бюджета в размер на 307000000 EUR). Регулаторните основи определят кои са бенефициерите, изискванията, на които трябва да отговарят, вида на допустимите инвестиции и критериите за допустимост за инвестиции в: прецизно земеделие, енергийна ефективност, кръгова икономика и използване на възобновяеми енергийни източници. </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52</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C3.I4</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w:t>
            </w:r>
          </w:p>
        </w:tc>
        <w:tc>
          <w:tcPr>
            <w:tcW w:w="3119"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Завършени проекти за прецизно земеделие, енергийна ефективност, кръгова икономика и използване на енергия от възобновяеми източници </w:t>
            </w:r>
          </w:p>
        </w:tc>
        <w:tc>
          <w:tcPr>
            <w:tcW w:w="1276" w:type="dxa"/>
            <w:shd w:val="clear" w:color="auto" w:fill="C6EFCE"/>
            <w:noWrap/>
          </w:tcPr>
          <w:p>
            <w:pPr>
              <w:spacing w:after="0" w:line="240" w:lineRule="auto"/>
              <w:jc w:val="center"/>
              <w:rPr>
                <w:rFonts w:ascii="Times New Roman" w:eastAsia="Times New Roman" w:hAnsi="Times New Roman" w:cs="Times New Roman"/>
                <w:noProof/>
                <w:sz w:val="18"/>
                <w:szCs w:val="18"/>
                <w:lang w:eastAsia="en-GB"/>
              </w:rPr>
            </w:pPr>
          </w:p>
        </w:tc>
        <w:tc>
          <w:tcPr>
            <w:tcW w:w="85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Номер</w:t>
            </w:r>
          </w:p>
        </w:tc>
        <w:tc>
          <w:tcPr>
            <w:tcW w:w="67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0</w:t>
            </w:r>
          </w:p>
        </w:tc>
        <w:tc>
          <w:tcPr>
            <w:tcW w:w="59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5 000</w:t>
            </w:r>
          </w:p>
        </w:tc>
        <w:tc>
          <w:tcPr>
            <w:tcW w:w="30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T2</w:t>
            </w:r>
          </w:p>
        </w:tc>
        <w:tc>
          <w:tcPr>
            <w:tcW w:w="69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2026</w:t>
            </w:r>
          </w:p>
        </w:tc>
        <w:tc>
          <w:tcPr>
            <w:tcW w:w="538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Най-малко 5000 стопанства, които са завършили проекти за прецизно земеделие, енергийна ефективност, кръгова икономика и използване на енергия от възобновяеми източници. Прецизното земеделие включва геолокационни и сателитни навигационни системи (ГНСС), събиране на данни в реално време чрез датчици и сателитни и въздушни изображения, заедно с географски информационни системи (ГИС), картографиране, комуникация и свързаност, енергийна ефективност включва кондициониране и изолация на сградите (складове и спомагателни сгради) и системи, които оптимизират климатичния контрол на парниковите газове и потреблението на енергия от енергия от възобновяеми източници и потреблението на енергия от селскостопански и животновъдни стопанства, кръговата икономика включва съоръжения за използване и оползотворяване на селскостопански останки и странични животински продукти от възобновяеми източници, чрез които чрез тях се подобрява производството на енергия от възобновяеми източници и чрез които чрез тях се подобрява потреблението на енергия от възобновяеми източници. </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53</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C3.I5</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w:t>
            </w:r>
          </w:p>
        </w:tc>
        <w:tc>
          <w:tcPr>
            <w:tcW w:w="3119"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Подписване на договорни споразумения между Министерството на земеделието, рибарството и храните (MAPA) и ENISA</w:t>
            </w:r>
          </w:p>
        </w:tc>
        <w:tc>
          <w:tcPr>
            <w:tcW w:w="1276" w:type="dxa"/>
            <w:shd w:val="clear" w:color="auto" w:fill="C6EFCE"/>
            <w:noWrap/>
          </w:tcPr>
          <w:p>
            <w:pPr>
              <w:spacing w:after="0" w:line="240" w:lineRule="auto"/>
              <w:jc w:val="center"/>
              <w:rPr>
                <w:rFonts w:ascii="Times New Roman" w:eastAsia="Times New Roman" w:hAnsi="Times New Roman" w:cs="Times New Roman"/>
                <w:noProof/>
                <w:sz w:val="18"/>
                <w:szCs w:val="18"/>
                <w:lang w:eastAsia="en-GB"/>
              </w:rPr>
            </w:pPr>
          </w:p>
        </w:tc>
        <w:tc>
          <w:tcPr>
            <w:tcW w:w="85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милиони евро</w:t>
            </w:r>
          </w:p>
        </w:tc>
        <w:tc>
          <w:tcPr>
            <w:tcW w:w="67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0</w:t>
            </w:r>
          </w:p>
        </w:tc>
        <w:tc>
          <w:tcPr>
            <w:tcW w:w="59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30</w:t>
            </w:r>
          </w:p>
        </w:tc>
        <w:tc>
          <w:tcPr>
            <w:tcW w:w="30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T2</w:t>
            </w:r>
          </w:p>
        </w:tc>
        <w:tc>
          <w:tcPr>
            <w:tcW w:w="69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2023</w:t>
            </w:r>
          </w:p>
        </w:tc>
        <w:tc>
          <w:tcPr>
            <w:tcW w:w="538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Подписване на три договорни споразумения (по едно годишно) между Министерството на земеделието, рибарството и храните (MAPA) и ENISA в подкрепа на цифровата трансформация на МСП в хранително-вкусовата промишленост чрез линия за подкрепа на иновативното или технологичното предприемачество в испанския хранително-вкусов сектор (изпълнение на бюджета: 30 000 000 EUR; 10000000 EUR годишно). Споразуменията за сътрудничество между Министерството на земеделието, рибарството и храните и ENISA определят условията на линията за предприемачество, основана на технологии, с цел подпомагане на МСП в хранително-вкусовия сектор, които представят иновативни и цифрови бизнес проекти, чрез отпускане на заеми с участието на участниците, инвестиционна политика и критерии за допустимост. Горепосочените споразумения включват клауза, която гарантира, че инвестициите, направени с това финансиране, са в съответствие с техническите насоки „Ненанасяне на значителни вреди“ (2021/C58/01) на подпомаганите сделки по тази мярка чрез използване на проверка на устойчивостта, списък за изключване и изискване за спазване на съответното законодателство на ЕС и националното законодателство в областта на околната среда. Целта на тази инвестиция е да се отговори на няколко от целите на испанската стратегия за цифровизация на хранително-вкусовия сектор и на селските райони, както и на нейните планове за действие. </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54</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C3.I5</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w:t>
            </w:r>
          </w:p>
        </w:tc>
        <w:tc>
          <w:tcPr>
            <w:tcW w:w="3119"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Подпомагане на МСП в хранително-вкусовата промишленост за изпълнение на иновативни и цифрови бизнес проекти</w:t>
            </w:r>
          </w:p>
        </w:tc>
        <w:tc>
          <w:tcPr>
            <w:tcW w:w="1276" w:type="dxa"/>
            <w:shd w:val="clear" w:color="auto" w:fill="C6EFCE"/>
            <w:noWrap/>
          </w:tcPr>
          <w:p>
            <w:pPr>
              <w:spacing w:after="0" w:line="240" w:lineRule="auto"/>
              <w:jc w:val="center"/>
              <w:rPr>
                <w:rFonts w:ascii="Times New Roman" w:eastAsia="Times New Roman" w:hAnsi="Times New Roman" w:cs="Times New Roman"/>
                <w:noProof/>
                <w:sz w:val="18"/>
                <w:szCs w:val="18"/>
                <w:lang w:eastAsia="en-GB"/>
              </w:rPr>
            </w:pPr>
          </w:p>
        </w:tc>
        <w:tc>
          <w:tcPr>
            <w:tcW w:w="85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Номер</w:t>
            </w:r>
          </w:p>
        </w:tc>
        <w:tc>
          <w:tcPr>
            <w:tcW w:w="67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0</w:t>
            </w:r>
          </w:p>
        </w:tc>
        <w:tc>
          <w:tcPr>
            <w:tcW w:w="59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60</w:t>
            </w:r>
          </w:p>
        </w:tc>
        <w:tc>
          <w:tcPr>
            <w:tcW w:w="30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69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2023</w:t>
            </w:r>
          </w:p>
        </w:tc>
        <w:tc>
          <w:tcPr>
            <w:tcW w:w="538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Най-малко 60 МСП в хранително-вкусовата промишленост са получили кредити за изпълнението на иновативни и цифрови бизнес проекти. Целта на този вид подпомагане е да се предоставят заеми с участието на участниците, за да се насърчат дружествата да разработват жизнеспособни и иновативни проекти, свързани с електронната търговия и консолидирането на Промишленост 4.0, наред с много други лостове за промяна в цифровите бизнес модели за хранителната промишленост. Гарантира се, включително чрез критерии за подбор, че сделките по тази инвестиция, извършени от тези МСП с тези заеми, са в съответствие с техническите насоки „Ненанасяне на значителни вреди“ (2021/C58/01) на подпомаганите сделки по тази мярка чрез използване на проверка на устойчивостта, списък за изключване и изискване за спазване на съответното законодателство на ЕС и националното законодателство в областта на околната среда. </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55</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C3.I6</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3119"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Придобиване на ИКТ оборудване за морските запаси от риболовни интереси и договори за придобиване на плавателни съдове със специално предназначение за морските резервати</w:t>
            </w:r>
          </w:p>
        </w:tc>
        <w:tc>
          <w:tcPr>
            <w:tcW w:w="1276"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Публикуване на възлагането на поръчката в платформата за възлагане на обществени поръчки </w:t>
            </w:r>
          </w:p>
        </w:tc>
        <w:tc>
          <w:tcPr>
            <w:tcW w:w="85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67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59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30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69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2022</w:t>
            </w:r>
          </w:p>
        </w:tc>
        <w:tc>
          <w:tcPr>
            <w:tcW w:w="5387"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szCs w:val="18"/>
              </w:rPr>
              <w:t xml:space="preserve">Публикуване в платформата за обществени поръчки на договора, възложен за придобиването на ИКТ оборудване за морските рибни запаси и възлагането на два договора за придобиването на два кораба със специално предназначение за морските резервати. ИКТ оборудването за морските резерви се състои от i) Lighthouse радиовръзка Alborán към полуострова, ii) закупуване на оборудване за най-малко четири нощни зрители за откриване на забранени дейности и iii) закупуване на дронове с достатъчна мощност, които позволяват дейности по контрол и мониторинг и оптимизират съществуващите средства, като също така намаляват въздействието върху околната среда. За закупуването на плавателен съд със специално предназначение за нов морски резерват се търси най-добрата технология, която позволява спазването на техническото ръководство „Ненанасяне на значителни вреди“ (2021/C58/01). </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56</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C3.I7</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3119"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Споразумения с публични научноизследователски органи</w:t>
            </w:r>
          </w:p>
        </w:tc>
        <w:tc>
          <w:tcPr>
            <w:tcW w:w="1276"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Подписване на споразумения с публични научноизследователски организации</w:t>
            </w:r>
          </w:p>
        </w:tc>
        <w:tc>
          <w:tcPr>
            <w:tcW w:w="85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67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59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30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69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2021</w:t>
            </w:r>
          </w:p>
        </w:tc>
        <w:tc>
          <w:tcPr>
            <w:tcW w:w="538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Подписване на споразумения с публични научноизследователски организации за насърчаване на научните изследвания в областта на рибарството и аквакултурите, като се гарантира екосистемен подход към вземането на решения в управлението на рибарството </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57</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C3.I7</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w:t>
            </w:r>
          </w:p>
        </w:tc>
        <w:tc>
          <w:tcPr>
            <w:tcW w:w="3119"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Придобиване на акустични сонди за научни изследвания в областта на рибарството</w:t>
            </w:r>
          </w:p>
        </w:tc>
        <w:tc>
          <w:tcPr>
            <w:tcW w:w="1276" w:type="dxa"/>
            <w:shd w:val="clear" w:color="auto" w:fill="C6EFCE"/>
            <w:noWrap/>
          </w:tcPr>
          <w:p>
            <w:pPr>
              <w:spacing w:after="0" w:line="240" w:lineRule="auto"/>
              <w:jc w:val="center"/>
              <w:rPr>
                <w:rFonts w:ascii="Times New Roman" w:eastAsia="Times New Roman" w:hAnsi="Times New Roman" w:cs="Times New Roman"/>
                <w:noProof/>
                <w:sz w:val="18"/>
                <w:szCs w:val="18"/>
                <w:lang w:eastAsia="en-GB"/>
              </w:rPr>
            </w:pPr>
          </w:p>
        </w:tc>
        <w:tc>
          <w:tcPr>
            <w:tcW w:w="85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Номер </w:t>
            </w:r>
          </w:p>
        </w:tc>
        <w:tc>
          <w:tcPr>
            <w:tcW w:w="67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0</w:t>
            </w:r>
          </w:p>
        </w:tc>
        <w:tc>
          <w:tcPr>
            <w:tcW w:w="59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2</w:t>
            </w:r>
          </w:p>
        </w:tc>
        <w:tc>
          <w:tcPr>
            <w:tcW w:w="30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T2</w:t>
            </w:r>
          </w:p>
        </w:tc>
        <w:tc>
          <w:tcPr>
            <w:tcW w:w="69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2022</w:t>
            </w:r>
          </w:p>
        </w:tc>
        <w:tc>
          <w:tcPr>
            <w:tcW w:w="538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Публикуване в платформата за обществени поръчки на договора, възложен за придобиването на две акустични сонди, предназначени за научни изследвания в областта на рибарството. Целта на придобиването на две сонди за два съществуващи риболовни изследователски кораба е да се гарантира качеството на получените данни и съответно да се благоприятстват научните оценки на различните запаси от пелагични видове, като се допринася за устойчивостта на рибарството и вземането на решения по въпросите на управлението на рибарството, което се основава на най-добрите научни познания.</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58</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C3.I8</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w:t>
            </w:r>
          </w:p>
        </w:tc>
        <w:tc>
          <w:tcPr>
            <w:tcW w:w="3119"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Проекти за научноизследователска развойна дейност и иновации в подкрепа на устойчивостта и устойчивостта на сектора на рибарството и аквакултурите</w:t>
            </w:r>
          </w:p>
        </w:tc>
        <w:tc>
          <w:tcPr>
            <w:tcW w:w="1276" w:type="dxa"/>
            <w:shd w:val="clear" w:color="auto" w:fill="C6EFCE"/>
            <w:noWrap/>
          </w:tcPr>
          <w:p>
            <w:pPr>
              <w:spacing w:after="0" w:line="240" w:lineRule="auto"/>
              <w:jc w:val="center"/>
              <w:rPr>
                <w:rFonts w:ascii="Times New Roman" w:eastAsia="Times New Roman" w:hAnsi="Times New Roman" w:cs="Times New Roman"/>
                <w:noProof/>
                <w:sz w:val="18"/>
                <w:szCs w:val="18"/>
                <w:lang w:eastAsia="en-GB"/>
              </w:rPr>
            </w:pPr>
          </w:p>
        </w:tc>
        <w:tc>
          <w:tcPr>
            <w:tcW w:w="85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Номер</w:t>
            </w:r>
          </w:p>
        </w:tc>
        <w:tc>
          <w:tcPr>
            <w:tcW w:w="67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0</w:t>
            </w:r>
          </w:p>
        </w:tc>
        <w:tc>
          <w:tcPr>
            <w:tcW w:w="59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20</w:t>
            </w:r>
          </w:p>
        </w:tc>
        <w:tc>
          <w:tcPr>
            <w:tcW w:w="30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69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2023</w:t>
            </w:r>
          </w:p>
        </w:tc>
        <w:tc>
          <w:tcPr>
            <w:tcW w:w="538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Завършване на най-малко 20 проекта за научни изследвания, развойна дейност и иновации за внедряване на нови технологии, които благоприятстват устойчивостта и устойчивостта на сектора на рибарството и аквакултурите.</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59</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C3.I9</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3119"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Цифрово укрепване на Испанската информационна система за рибарството (SIPE) и на системата за наблюдение на риболова </w:t>
            </w:r>
          </w:p>
        </w:tc>
        <w:tc>
          <w:tcPr>
            <w:tcW w:w="1276"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Монтиране на втора защитна преграда</w:t>
            </w:r>
          </w:p>
        </w:tc>
        <w:tc>
          <w:tcPr>
            <w:tcW w:w="85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w:t>
            </w:r>
          </w:p>
        </w:tc>
        <w:tc>
          <w:tcPr>
            <w:tcW w:w="67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59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30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69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2023</w:t>
            </w:r>
          </w:p>
        </w:tc>
        <w:tc>
          <w:tcPr>
            <w:tcW w:w="538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Цифрово укрепване на информацията и наблюдението на риболова, включително инсталиране на втора защитна стена (firewall) с цел повишаване на сигурността на испанската информационна система за рибарството (SIPE), в съответствие с изискванията, установени в Националната схема за сигурност (ENS) за високо равнище на сигурност, и цифровизацията на риболовните кораби. </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60</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C3.I10</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3119"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Закупуване на леки патрулни катери и патрулни кораби в открито море за борба с незаконния, недеклариран и нерегулиран риболов </w:t>
            </w:r>
          </w:p>
        </w:tc>
        <w:tc>
          <w:tcPr>
            <w:tcW w:w="1276"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Публикуване на възлагането на поръчката в платформата за възлагане на обществени поръчки </w:t>
            </w:r>
          </w:p>
        </w:tc>
        <w:tc>
          <w:tcPr>
            <w:tcW w:w="85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67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59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30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69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2022</w:t>
            </w:r>
          </w:p>
        </w:tc>
        <w:tc>
          <w:tcPr>
            <w:tcW w:w="538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Публикуване в платформата за обществени поръчки на възлагането на договора за четири нови леки патрулни катера и три подновени патрулни кораба в открито море, които ще се използват за борба с незаконния, недеклариран и нерегулиран риболов, който продължава да бъде една от най-големите съществуващи заплахи за морските екосистеми. Трябва да се търси най-добрата технология, която позволява съответствие с техническите насоки „Ненанасяне на значителни вреди“ (2021/C58/01).</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61</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C3.I11</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w:t>
            </w:r>
          </w:p>
        </w:tc>
        <w:tc>
          <w:tcPr>
            <w:tcW w:w="3119"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Финансиране на инвестиционни проекти в сектора на рибарството</w:t>
            </w:r>
          </w:p>
        </w:tc>
        <w:tc>
          <w:tcPr>
            <w:tcW w:w="1276" w:type="dxa"/>
            <w:shd w:val="clear" w:color="auto" w:fill="C6EFCE"/>
            <w:noWrap/>
          </w:tcPr>
          <w:p>
            <w:pPr>
              <w:spacing w:after="0" w:line="240" w:lineRule="auto"/>
              <w:jc w:val="center"/>
              <w:rPr>
                <w:rFonts w:ascii="Times New Roman" w:eastAsia="Times New Roman" w:hAnsi="Times New Roman" w:cs="Times New Roman"/>
                <w:noProof/>
                <w:sz w:val="18"/>
                <w:szCs w:val="18"/>
                <w:lang w:eastAsia="en-GB"/>
              </w:rPr>
            </w:pPr>
          </w:p>
        </w:tc>
        <w:tc>
          <w:tcPr>
            <w:tcW w:w="85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милиони евро</w:t>
            </w:r>
          </w:p>
        </w:tc>
        <w:tc>
          <w:tcPr>
            <w:tcW w:w="67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0</w:t>
            </w:r>
          </w:p>
        </w:tc>
        <w:tc>
          <w:tcPr>
            <w:tcW w:w="59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5</w:t>
            </w:r>
          </w:p>
        </w:tc>
        <w:tc>
          <w:tcPr>
            <w:tcW w:w="30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T2</w:t>
            </w:r>
          </w:p>
        </w:tc>
        <w:tc>
          <w:tcPr>
            <w:tcW w:w="69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2022</w:t>
            </w:r>
          </w:p>
        </w:tc>
        <w:tc>
          <w:tcPr>
            <w:tcW w:w="538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Одобряване на споразумението между Министерството на земеделието, рибарството и храните и SAECA за подкрепа на финансирането на инвестиционни проекти в сектора на рибарството чрез отпускане на заем от най-малко 5000000 EUR на Sociedad Anónima Estatal de Caución Agraria (SAECA) за създаването на линия за финансиране, предназначена за повторно гарантиране на проекти с дейности, свързани с устойчивата риболовна дейност; подобряване на условията на труд и безопасността на дейността; и цифровизацията на процесите и системите. Горепосоченото споразумение включва клауза, която гарантира, че сделките, подпомагани по тази инвестиция, са в съответствие с техническите насоки „Ненанасяне на значителни вреди“ (2021/C58/01) на подкрепените сделки по тази мярка чрез използването на проверка на устойчивостта, списък за изключване и изискване за спазване на съответното законодателство на ЕС и националното законодателство в областта на околната среда.</w:t>
            </w:r>
          </w:p>
        </w:tc>
      </w:tr>
    </w:tbl>
    <w:p>
      <w:pPr>
        <w:spacing w:before="120" w:after="120" w:line="240" w:lineRule="auto"/>
        <w:ind w:left="709"/>
        <w:jc w:val="both"/>
        <w:rPr>
          <w:rFonts w:ascii="Times New Roman" w:hAnsi="Times New Roman" w:cs="Times New Roman"/>
          <w:noProof/>
          <w:sz w:val="24"/>
        </w:rPr>
      </w:pPr>
    </w:p>
    <w:p>
      <w:pPr>
        <w:spacing w:before="120" w:after="120" w:line="240" w:lineRule="auto"/>
        <w:ind w:left="709"/>
        <w:jc w:val="both"/>
        <w:rPr>
          <w:rFonts w:ascii="Times New Roman" w:hAnsi="Times New Roman" w:cs="Times New Roman"/>
          <w:noProof/>
          <w:sz w:val="24"/>
          <w:szCs w:val="24"/>
        </w:rPr>
        <w:sectPr>
          <w:headerReference w:type="even" r:id="rId49"/>
          <w:headerReference w:type="default" r:id="rId50"/>
          <w:footerReference w:type="even" r:id="rId51"/>
          <w:footerReference w:type="default" r:id="rId52"/>
          <w:headerReference w:type="first" r:id="rId53"/>
          <w:footerReference w:type="first" r:id="rId54"/>
          <w:pgSz w:w="16839" w:h="11907" w:orient="landscape"/>
          <w:pgMar w:top="1417" w:right="1134" w:bottom="1417" w:left="1134" w:header="709" w:footer="709" w:gutter="0"/>
          <w:cols w:space="720"/>
          <w:docGrid w:linePitch="360"/>
        </w:sectPr>
      </w:pPr>
    </w:p>
    <w:p>
      <w:pPr>
        <w:pStyle w:val="Heading1"/>
        <w:rPr>
          <w:noProof/>
        </w:rPr>
      </w:pPr>
      <w:r>
        <w:rPr>
          <w:noProof/>
        </w:rPr>
        <w:t>Г. КОМПОНЕНТ 4: Екосистеми и биологично разнообразие</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Този компонент на испанския план за възстановяване и устойчивост е насочен към уязвимостта на Испания към преките и непреките неблагоприятни последици от изменението на климата, дължащи се на нейната биогеографска и геоморфология, чрез подобряване на природозащитния статус на екосистемите, чрез тяхното екологично възстановяване, когато е необходимо, и обръщане на процеса на загуба на биологично разнообразие, гарантиране на устойчиво използване на природните ресурси и опазване и подобряване на екосистемните услуги. Този компонент допринася също така за адаптирането на екосистемите към неблагоприятните последици от изменението на климата чрез приемане на мерки за свеждане до минимум на последиците от него чрез съсредоточаване върху горските пожари. Допълнителен акцент се поставя върху защитата, опазването и възстановяването на морските екосистеми.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Изпълнението на този компонент от испанския план за възстановяване и устойчивост i) поставя началото на синя програма за подобряване на моретата и тяхното биологично разнообразие; ii) увеличаване на дела на защитените морски зони чрез защита на най-малко 18 % от испанската територия до края на 2025 г., защита както на фауната, така и на флората; и iii) да въведе за първи път в Испания рамка за управление на морската среда. </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Освен това тя ще опазва и управлява по устойчив начин селските райони, техните екосистеми, биологично разнообразие и гористи местности. Селските райони, където обезлюдяването е оказало особено неблагоприятно въздействие, са дом на голяма част от богатото природно наследство на Испания и следователно са източник на местно богатство, което създава възможности за обръщане на демографския спад.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Този компонент на испанския план за възстановяване и устойчивост подкрепя инвестициите в екологичния и цифровия преход (специфична за държавата препоръка № 3 от 2020 г.). Той също така подкрепя правилното управление на земята, по-специално управлението на горите, опазването и възстановяването на природата в съответствие с целите на Европейския зелен пакт и стратегията на ЕС за биологичното разнообразие за 2030 г. </w:t>
      </w:r>
    </w:p>
    <w:p>
      <w:pPr>
        <w:spacing w:before="120" w:after="120" w:line="240" w:lineRule="auto"/>
        <w:jc w:val="both"/>
        <w:rPr>
          <w:rFonts w:ascii="Times New Roman" w:hAnsi="Times New Roman" w:cs="Times New Roman"/>
          <w:noProof/>
          <w:sz w:val="24"/>
          <w:szCs w:val="24"/>
        </w:rPr>
      </w:pPr>
      <w:r>
        <w:rPr>
          <w:rFonts w:ascii="Times New Roman" w:hAnsi="Times New Roman"/>
          <w:noProof/>
          <w:color w:val="000000" w:themeColor="text1"/>
          <w:sz w:val="24"/>
          <w:szCs w:val="24"/>
        </w:rPr>
        <w:t>Очаква се, че нито една мярка в този компонент не вреди в значителна степен на екологичните цели по смисъла на член 17 от Регламент (ЕС) 2020/852, като се вземат предвид описанието на мерките и стъпките за смекчаване на последиците, определени в плана за възстановяване и устойчивост в съответствие с Техническите насоки за спазването на „принципа за ненанасяне на съществена вреда“ (2021/C58/01).</w:t>
      </w:r>
    </w:p>
    <w:p>
      <w:pPr>
        <w:spacing w:before="120" w:after="120" w:line="240" w:lineRule="auto"/>
        <w:ind w:left="720"/>
        <w:jc w:val="both"/>
        <w:rPr>
          <w:rFonts w:ascii="Times New Roman" w:hAnsi="Times New Roman" w:cs="Times New Roman"/>
          <w:b/>
          <w:bCs/>
          <w:i/>
          <w:iCs/>
          <w:noProof/>
          <w:color w:val="4F81BD" w:themeColor="accent1"/>
          <w:sz w:val="24"/>
          <w:szCs w:val="24"/>
        </w:rPr>
      </w:pPr>
      <w:r>
        <w:rPr>
          <w:rFonts w:ascii="Times New Roman" w:hAnsi="Times New Roman"/>
          <w:b/>
          <w:bCs/>
          <w:noProof/>
          <w:sz w:val="24"/>
          <w:szCs w:val="24"/>
          <w:u w:val="single"/>
        </w:rPr>
        <w:t xml:space="preserve">Г.1. </w:t>
      </w:r>
      <w:r>
        <w:rPr>
          <w:rFonts w:ascii="Times New Roman" w:hAnsi="Times New Roman"/>
          <w:b/>
          <w:noProof/>
          <w:sz w:val="24"/>
          <w:szCs w:val="24"/>
          <w:u w:val="single"/>
        </w:rPr>
        <w:tab/>
      </w:r>
      <w:r>
        <w:rPr>
          <w:rFonts w:ascii="Times New Roman" w:hAnsi="Times New Roman"/>
          <w:b/>
          <w:bCs/>
          <w:noProof/>
          <w:sz w:val="24"/>
          <w:szCs w:val="24"/>
          <w:u w:val="single"/>
        </w:rPr>
        <w:t>Описание на реформите и инвестициите за безвъзмездна финансова подкрепа</w:t>
      </w:r>
    </w:p>
    <w:p>
      <w:pPr>
        <w:spacing w:before="120" w:after="120" w:line="240" w:lineRule="auto"/>
        <w:jc w:val="both"/>
        <w:rPr>
          <w:rFonts w:ascii="Times New Roman" w:hAnsi="Times New Roman" w:cs="Times New Roman"/>
          <w:noProof/>
          <w:sz w:val="24"/>
          <w:szCs w:val="24"/>
          <w:u w:val="single"/>
        </w:rPr>
      </w:pPr>
      <w:r>
        <w:rPr>
          <w:rFonts w:ascii="Times New Roman" w:hAnsi="Times New Roman"/>
          <w:noProof/>
          <w:sz w:val="24"/>
          <w:szCs w:val="24"/>
          <w:u w:val="single"/>
        </w:rPr>
        <w:t>Реформа 1 (C4.R1) – Опазване на сухоземното и морското биологично разнообразие</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Тази реформа ще актуализира законодателството в областта на биологичното разнообразие и природното наследство в подкрепа на изпълнението на ангажиментите, произтичащи от Конвенцията за биологичното разнообразие и наскоро приетата стратегия на ЕС за биологичното разнообразие за 2030 г.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Основното действие на тази реформа е да се подготви, одобри и приложи Стратегическият план за природно наследство и биологично разнообразие (съгласно Закон 42/2007 за природното наследство и биологичното разнообразие), който да окаже дългосрочно въздействие върху опазването и управлението на всички испански природни системи, както и върху услугите, които той предоставя на обществото. Тази реформа включва също така следните действия по тази мярка: </w:t>
      </w:r>
    </w:p>
    <w:p>
      <w:pPr>
        <w:numPr>
          <w:ilvl w:val="0"/>
          <w:numId w:val="46"/>
        </w:numPr>
        <w:spacing w:before="120" w:after="160" w:line="240" w:lineRule="auto"/>
        <w:ind w:left="714" w:hanging="357"/>
        <w:contextualSpacing/>
        <w:jc w:val="both"/>
        <w:rPr>
          <w:rFonts w:ascii="Times New Roman" w:hAnsi="Times New Roman" w:cs="Times New Roman"/>
          <w:noProof/>
          <w:sz w:val="24"/>
          <w:szCs w:val="24"/>
        </w:rPr>
      </w:pPr>
      <w:r>
        <w:rPr>
          <w:rFonts w:ascii="Times New Roman" w:hAnsi="Times New Roman"/>
          <w:noProof/>
          <w:sz w:val="24"/>
          <w:szCs w:val="24"/>
        </w:rPr>
        <w:t xml:space="preserve">приемане на стратегията за биологичното разнообразие, науката и знанията, в която се посочват основните пропуски в научните изследвания и се определят конкретни области, в които са необходими научни изследвания в областта на биологичното разнообразие. </w:t>
      </w:r>
    </w:p>
    <w:p>
      <w:pPr>
        <w:numPr>
          <w:ilvl w:val="0"/>
          <w:numId w:val="46"/>
        </w:numPr>
        <w:spacing w:before="120" w:after="160" w:line="240" w:lineRule="auto"/>
        <w:contextualSpacing/>
        <w:jc w:val="both"/>
        <w:rPr>
          <w:rFonts w:ascii="Times New Roman" w:hAnsi="Times New Roman" w:cs="Times New Roman"/>
          <w:noProof/>
          <w:sz w:val="24"/>
          <w:szCs w:val="24"/>
        </w:rPr>
      </w:pPr>
      <w:r>
        <w:rPr>
          <w:rFonts w:ascii="Times New Roman" w:hAnsi="Times New Roman"/>
          <w:noProof/>
          <w:sz w:val="24"/>
          <w:szCs w:val="24"/>
        </w:rPr>
        <w:t xml:space="preserve">приемане на кралски указ за одобряване на плана за мрежата на морските защитени зони, с който се насърчава екологично съгласувана мрежа, допринасяща за опазването на зоните с природно наследство и морското биологично разнообразие, като се насърчава планирано, ефективно и съгласувано управление на защитените морски зони. </w:t>
      </w:r>
    </w:p>
    <w:p>
      <w:pPr>
        <w:numPr>
          <w:ilvl w:val="0"/>
          <w:numId w:val="46"/>
        </w:numPr>
        <w:spacing w:before="120" w:after="160" w:line="240" w:lineRule="auto"/>
        <w:contextualSpacing/>
        <w:jc w:val="both"/>
        <w:rPr>
          <w:rFonts w:ascii="Times New Roman" w:hAnsi="Times New Roman" w:cs="Times New Roman"/>
          <w:noProof/>
          <w:sz w:val="24"/>
          <w:szCs w:val="24"/>
        </w:rPr>
      </w:pPr>
      <w:r>
        <w:rPr>
          <w:rFonts w:ascii="Times New Roman" w:hAnsi="Times New Roman"/>
          <w:noProof/>
          <w:sz w:val="24"/>
          <w:szCs w:val="24"/>
        </w:rPr>
        <w:t xml:space="preserve">националната стратегия за опазване на опрашителите осигурява необходимите действия за подобряване на положението на опрашителите. Настоящата стратегия се съсредоточава по-специално върху i) насърчаването на благоприятни площи за опрашителите; II) подобряване на управлението и намаляване на рисковете, породени от вредни видове; III) фитосанитарни продукти; и iv) насърчаване на научните изследвания в областта на опазването на опрашителите и разпространение на свързаните с тях резултати от научни изследвания в тази област. </w:t>
      </w:r>
    </w:p>
    <w:p>
      <w:pPr>
        <w:numPr>
          <w:ilvl w:val="0"/>
          <w:numId w:val="46"/>
        </w:numPr>
        <w:spacing w:before="120" w:after="160" w:line="240" w:lineRule="auto"/>
        <w:contextualSpacing/>
        <w:jc w:val="both"/>
        <w:rPr>
          <w:rFonts w:ascii="Times New Roman" w:hAnsi="Times New Roman" w:cs="Times New Roman"/>
          <w:noProof/>
          <w:sz w:val="24"/>
          <w:szCs w:val="24"/>
        </w:rPr>
      </w:pPr>
      <w:r>
        <w:rPr>
          <w:rFonts w:ascii="Times New Roman" w:hAnsi="Times New Roman"/>
          <w:noProof/>
          <w:sz w:val="24"/>
          <w:szCs w:val="24"/>
        </w:rPr>
        <w:t xml:space="preserve">приемане на регламента за актуализиране на административните и научните органи съгласно Регламента за международната търговия със застрашени видове от дивата фауна и флора (Регламента CITES), който да гарантира прилагането на мерките, произтичащи от CITES, и да гарантира, че търговията не е в ущърб на природозащитния статус на видовете и тяхното дългосрочно оцеляване. </w:t>
      </w:r>
    </w:p>
    <w:p>
      <w:pPr>
        <w:numPr>
          <w:ilvl w:val="0"/>
          <w:numId w:val="46"/>
        </w:numPr>
        <w:spacing w:before="120" w:after="120" w:line="240" w:lineRule="auto"/>
        <w:ind w:left="714" w:hanging="357"/>
        <w:jc w:val="both"/>
        <w:rPr>
          <w:rFonts w:ascii="Times New Roman" w:hAnsi="Times New Roman" w:cs="Times New Roman"/>
          <w:noProof/>
          <w:sz w:val="24"/>
          <w:szCs w:val="24"/>
        </w:rPr>
      </w:pPr>
      <w:r>
        <w:rPr>
          <w:rFonts w:ascii="Times New Roman" w:hAnsi="Times New Roman"/>
          <w:noProof/>
          <w:sz w:val="24"/>
          <w:szCs w:val="24"/>
        </w:rPr>
        <w:t xml:space="preserve">план за опазване и възстановяване на влажните зони, който гарантира опазването и рационалното използване на влажните зони.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Развитието на тези действия по тази мярка се подпомага пряко от инвестиции 1 и инвестиция 2 от този компонент на испанския план за възстановяване и устойчивост (описани по-долу). Той допълва и другите две реформи и инвестиции, описани в този компонент на испанския план за възстановяване и устойчивост. </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Изпълнението на мярката приключва до 31 декември 2022 г. </w:t>
      </w:r>
    </w:p>
    <w:p>
      <w:pPr>
        <w:spacing w:before="120" w:after="120" w:line="240" w:lineRule="auto"/>
        <w:jc w:val="both"/>
        <w:rPr>
          <w:rFonts w:ascii="Times New Roman" w:hAnsi="Times New Roman" w:cs="Times New Roman"/>
          <w:noProof/>
          <w:sz w:val="24"/>
          <w:szCs w:val="24"/>
          <w:u w:val="single"/>
        </w:rPr>
      </w:pPr>
      <w:r>
        <w:rPr>
          <w:rFonts w:ascii="Times New Roman" w:hAnsi="Times New Roman"/>
          <w:noProof/>
          <w:sz w:val="24"/>
          <w:szCs w:val="24"/>
          <w:u w:val="single"/>
        </w:rPr>
        <w:t>Реформа 2 (C4.R2) – Възстановяване на екосистемите и екологосъобразната инфраструктура</w:t>
      </w:r>
    </w:p>
    <w:p>
      <w:pPr>
        <w:spacing w:before="120" w:after="120" w:line="240" w:lineRule="auto"/>
        <w:jc w:val="both"/>
        <w:rPr>
          <w:rFonts w:ascii="Times New Roman" w:hAnsi="Times New Roman" w:cs="Times New Roman"/>
          <w:noProof/>
          <w:sz w:val="24"/>
        </w:rPr>
      </w:pPr>
      <w:r>
        <w:rPr>
          <w:rFonts w:ascii="Times New Roman" w:hAnsi="Times New Roman"/>
          <w:noProof/>
          <w:sz w:val="24"/>
        </w:rPr>
        <w:t>Целта на тази реформа е да се разработи и приложи стратегията на централното правителство за екологосъобразна инфраструктура, свързаност и екологично възстановяване, да се възстановят увредените екосистеми и да се консолидира мрежа от напълно функциониращи сухоземни и морски природни и полуестествени зони, свързани в Испания до 2050 г.</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Тези реформи включват седем различни направления на действие с цел: i) намаляване на последиците от раздробяването и загубата на екологична свързаност; ii) възстановяване на местообитанията и екосистемите в ключови области; iii) поддържане и подобряване на предоставянето на екосистемни услуги на елементи на зелената инфраструктура; iv) подобряване на устойчивостта на елементите, свързани със зелената инфраструктура; v) осигуряване на териториална съгласуваност; vi) да включва ефективна екологосъобразна инфраструктура; и vii) осигуряване на адекватна комуникация, образование и участие на заинтересованите групи и обществото в развитието на екологосъобразна инфраструктура.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Тази реформа се подкрепя допълнително от инвестиция 3 от този компонент на испанския план за възстановяване и устойчивост, в която се разглеждат по-специално препоръките на Стратегията на ЕС за биологичното разнообразие за 2030 г. относно включването на екологични коридори, широкомащабно засаждане на дървета, значителен напредък в санирането на замърсени земи и целта да се гарантира, че градовете с най-малко 20 000 жители разполагат с амбициозен план за екологизиране на градовете. То е свързано също така с реформа 1 и инвестиция 1 от този компонент на испанския план за възстановяване и устойчивост. </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Изпълнението на мярката приключва до 30 юни 2021 г. </w:t>
      </w:r>
    </w:p>
    <w:p>
      <w:pPr>
        <w:spacing w:before="120" w:after="120" w:line="240" w:lineRule="auto"/>
        <w:jc w:val="both"/>
        <w:rPr>
          <w:rFonts w:ascii="Times New Roman" w:hAnsi="Times New Roman" w:cs="Times New Roman"/>
          <w:noProof/>
          <w:sz w:val="24"/>
          <w:szCs w:val="24"/>
          <w:u w:val="single"/>
        </w:rPr>
      </w:pPr>
      <w:r>
        <w:rPr>
          <w:rFonts w:ascii="Times New Roman" w:hAnsi="Times New Roman"/>
          <w:noProof/>
          <w:sz w:val="24"/>
          <w:szCs w:val="24"/>
          <w:u w:val="single"/>
        </w:rPr>
        <w:t>Реформа 3 (C4.R3) – Устойчиво управление на горите</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Тази реформа ще актуализира испанската стратегия за горите от 1999 г. заедно с испанския план за горите за периода 2002—2032 г., като разработи пакет от действия за насърчаване на сектора на горското стопанство, обхващащ испанската гора като цяло: защита на видовете и районите, пожари, собственост, еволюция, настоящото състояние и тенденциите в горските райони и ресурси, наред с другото. Реформата е насочена към икономическото и социалното съживяване на големите селски райони, които са изправени пред сериозни проблеми с обезлюдяването, и е добре съгласувана с Европейския зелен пакт. </w:t>
      </w:r>
    </w:p>
    <w:p>
      <w:pPr>
        <w:spacing w:before="120" w:after="120" w:line="240" w:lineRule="auto"/>
        <w:jc w:val="both"/>
        <w:rPr>
          <w:rFonts w:ascii="Times New Roman" w:hAnsi="Times New Roman" w:cs="Times New Roman"/>
          <w:noProof/>
          <w:sz w:val="24"/>
        </w:rPr>
      </w:pPr>
      <w:r>
        <w:rPr>
          <w:rFonts w:ascii="Times New Roman" w:hAnsi="Times New Roman"/>
          <w:noProof/>
          <w:sz w:val="24"/>
        </w:rPr>
        <w:t>Испанската стратегия за горите има пет стратегически приоритета:</w:t>
      </w:r>
    </w:p>
    <w:p>
      <w:pPr>
        <w:numPr>
          <w:ilvl w:val="0"/>
          <w:numId w:val="43"/>
        </w:numPr>
        <w:spacing w:before="120" w:after="160" w:line="240" w:lineRule="auto"/>
        <w:contextualSpacing/>
        <w:jc w:val="both"/>
        <w:rPr>
          <w:rFonts w:ascii="Times New Roman" w:hAnsi="Times New Roman" w:cs="Times New Roman"/>
          <w:noProof/>
          <w:sz w:val="24"/>
          <w:szCs w:val="24"/>
        </w:rPr>
      </w:pPr>
      <w:r>
        <w:rPr>
          <w:rFonts w:ascii="Times New Roman" w:hAnsi="Times New Roman"/>
          <w:noProof/>
          <w:sz w:val="24"/>
          <w:szCs w:val="24"/>
        </w:rPr>
        <w:t>Опазване и укрепване на природното наследство, биологичното разнообразие и свързаността.</w:t>
      </w:r>
    </w:p>
    <w:p>
      <w:pPr>
        <w:numPr>
          <w:ilvl w:val="0"/>
          <w:numId w:val="43"/>
        </w:numPr>
        <w:spacing w:before="120" w:after="160" w:line="240" w:lineRule="auto"/>
        <w:contextualSpacing/>
        <w:jc w:val="both"/>
        <w:rPr>
          <w:rFonts w:ascii="Times New Roman" w:hAnsi="Times New Roman" w:cs="Times New Roman"/>
          <w:noProof/>
          <w:sz w:val="24"/>
          <w:szCs w:val="24"/>
        </w:rPr>
      </w:pPr>
      <w:r>
        <w:rPr>
          <w:rFonts w:ascii="Times New Roman" w:hAnsi="Times New Roman"/>
          <w:noProof/>
          <w:sz w:val="24"/>
          <w:szCs w:val="24"/>
        </w:rPr>
        <w:t xml:space="preserve">Защита, здравна сигурност и защита на профилактиката и приспособяването към природни и екологични рискове. </w:t>
      </w:r>
    </w:p>
    <w:p>
      <w:pPr>
        <w:numPr>
          <w:ilvl w:val="0"/>
          <w:numId w:val="43"/>
        </w:numPr>
        <w:spacing w:before="120" w:after="160" w:line="240" w:lineRule="auto"/>
        <w:contextualSpacing/>
        <w:jc w:val="both"/>
        <w:rPr>
          <w:rFonts w:ascii="Times New Roman" w:hAnsi="Times New Roman" w:cs="Times New Roman"/>
          <w:noProof/>
          <w:sz w:val="24"/>
          <w:szCs w:val="24"/>
        </w:rPr>
      </w:pPr>
      <w:r>
        <w:rPr>
          <w:rFonts w:ascii="Times New Roman" w:hAnsi="Times New Roman"/>
          <w:noProof/>
          <w:sz w:val="24"/>
          <w:szCs w:val="24"/>
        </w:rPr>
        <w:t>Горско биоикономика: зелена икономика и работни места, мобилизиране на горските ресурси и устойчиво социално-икономическо развитие на сектора на горското стопанство.</w:t>
      </w:r>
    </w:p>
    <w:p>
      <w:pPr>
        <w:numPr>
          <w:ilvl w:val="0"/>
          <w:numId w:val="43"/>
        </w:numPr>
        <w:spacing w:before="120" w:after="160" w:line="240" w:lineRule="auto"/>
        <w:contextualSpacing/>
        <w:jc w:val="both"/>
        <w:rPr>
          <w:rFonts w:ascii="Times New Roman" w:hAnsi="Times New Roman" w:cs="Times New Roman"/>
          <w:noProof/>
          <w:sz w:val="24"/>
          <w:szCs w:val="24"/>
        </w:rPr>
      </w:pPr>
      <w:r>
        <w:rPr>
          <w:rFonts w:ascii="Times New Roman" w:hAnsi="Times New Roman"/>
          <w:noProof/>
          <w:sz w:val="24"/>
          <w:szCs w:val="24"/>
        </w:rPr>
        <w:t>Развитие и подобряване на знанията и горската култура.</w:t>
      </w:r>
    </w:p>
    <w:p>
      <w:pPr>
        <w:numPr>
          <w:ilvl w:val="0"/>
          <w:numId w:val="43"/>
        </w:numPr>
        <w:spacing w:before="120" w:after="120" w:line="240" w:lineRule="auto"/>
        <w:ind w:left="357" w:hanging="357"/>
        <w:jc w:val="both"/>
        <w:rPr>
          <w:rFonts w:ascii="Times New Roman" w:hAnsi="Times New Roman" w:cs="Times New Roman"/>
          <w:noProof/>
          <w:sz w:val="24"/>
          <w:szCs w:val="24"/>
        </w:rPr>
      </w:pPr>
      <w:r>
        <w:rPr>
          <w:rFonts w:ascii="Times New Roman" w:hAnsi="Times New Roman"/>
          <w:noProof/>
          <w:sz w:val="24"/>
          <w:szCs w:val="24"/>
        </w:rPr>
        <w:t>Модел на управление на горите: регулаторната, административната и инструменталната рамка на испанската политика в областта на горското стопанство.</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В испанската стратегия за горите съществуват два основни инструмента, които са необходими за реформиране на сектора на горското стопанство като цяло. Първият е приемането на насоки за устойчиво управление на горите. Тези насоки обхващат въпроси като биологичното разнообразие, изменението на климата и кръговата биоикономика. Второ, стратегическите насоки за управление на горските пожари в Испания, в които се определят целите, които трябва да се следват, определят основните насоки на работа и определят групите в обществото с определена степен на отговорност. Тези стратегически насоки са от решаващо значение за контрола на горските пожари и за засилването на стратегическото позициониране на горския сектор в контекста на екологичния преход. </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Изпълнението на реформата приключва до 30 юни 2022 г. </w:t>
      </w:r>
    </w:p>
    <w:p>
      <w:pPr>
        <w:spacing w:before="120" w:after="120" w:line="240" w:lineRule="auto"/>
        <w:jc w:val="both"/>
        <w:rPr>
          <w:rFonts w:ascii="Times New Roman" w:hAnsi="Times New Roman" w:cs="Times New Roman"/>
          <w:noProof/>
          <w:sz w:val="24"/>
          <w:u w:val="single"/>
        </w:rPr>
      </w:pPr>
      <w:r>
        <w:rPr>
          <w:rFonts w:ascii="Times New Roman" w:hAnsi="Times New Roman"/>
          <w:noProof/>
          <w:sz w:val="24"/>
          <w:u w:val="single"/>
        </w:rPr>
        <w:t>Инвестиции 1 (C4.I1) – Цифровизация и познаване на природното наследство</w:t>
      </w:r>
    </w:p>
    <w:p>
      <w:pPr>
        <w:spacing w:before="120" w:after="120" w:line="240" w:lineRule="auto"/>
        <w:jc w:val="both"/>
        <w:rPr>
          <w:rFonts w:ascii="Times New Roman" w:hAnsi="Times New Roman" w:cs="Times New Roman"/>
          <w:noProof/>
          <w:sz w:val="24"/>
          <w:szCs w:val="24"/>
          <w:u w:val="single"/>
        </w:rPr>
      </w:pPr>
      <w:r>
        <w:rPr>
          <w:rFonts w:ascii="Times New Roman" w:hAnsi="Times New Roman"/>
          <w:noProof/>
          <w:sz w:val="24"/>
          <w:szCs w:val="24"/>
        </w:rPr>
        <w:t>Инвестицията създава система за цифровизиране на управлението, контрола и наблюдението на природното наследство, която обхваща както сухоземните, така и морските полета. С тези инвестиции се постига значително подобряване на знанията за видовете и местообитанията, както и в картографирането на информацията и природното наследство, включително геоложкото. Инвестицията е съсредоточена върху придобиването на информация и нейното управление, включително:</w:t>
      </w:r>
    </w:p>
    <w:p>
      <w:pPr>
        <w:numPr>
          <w:ilvl w:val="0"/>
          <w:numId w:val="182"/>
        </w:numPr>
        <w:spacing w:before="120" w:after="160" w:line="240" w:lineRule="auto"/>
        <w:contextualSpacing/>
        <w:jc w:val="both"/>
        <w:rPr>
          <w:rFonts w:ascii="Times New Roman" w:hAnsi="Times New Roman" w:cs="Times New Roman"/>
          <w:noProof/>
          <w:sz w:val="24"/>
          <w:szCs w:val="24"/>
        </w:rPr>
      </w:pPr>
      <w:r>
        <w:rPr>
          <w:rFonts w:ascii="Times New Roman" w:hAnsi="Times New Roman"/>
          <w:noProof/>
          <w:sz w:val="24"/>
          <w:szCs w:val="24"/>
        </w:rPr>
        <w:t xml:space="preserve">Програма за подобряване на знанията и цифровизацията на биологичното разнообразие и управлението на природното наследство на национално равнище чрез разработването на мрежи за наблюдение, внедряването на сензори и използването на стационарни и мобилни цифрови системи за събиране на информация. </w:t>
      </w:r>
    </w:p>
    <w:p>
      <w:pPr>
        <w:numPr>
          <w:ilvl w:val="0"/>
          <w:numId w:val="182"/>
        </w:numPr>
        <w:spacing w:before="120" w:after="120" w:line="240" w:lineRule="auto"/>
        <w:ind w:left="357" w:hanging="357"/>
        <w:jc w:val="both"/>
        <w:rPr>
          <w:rFonts w:ascii="Times New Roman" w:hAnsi="Times New Roman" w:cs="Times New Roman"/>
          <w:noProof/>
          <w:sz w:val="24"/>
          <w:szCs w:val="24"/>
        </w:rPr>
      </w:pPr>
      <w:r>
        <w:rPr>
          <w:rFonts w:ascii="Times New Roman" w:hAnsi="Times New Roman"/>
          <w:noProof/>
          <w:sz w:val="24"/>
          <w:szCs w:val="24"/>
        </w:rPr>
        <w:t xml:space="preserve">Разработване на системи или платформи за управление на информацията на национално равнище с допълнителни възможности за анализ и разпространение. </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Авиационната система на въздухоплавателния флот на земноводните се актуализира. Тази инвестиция подобрява работата на противопожарните устройства чрез въвеждане на технологични актуализации, като например по-добри камери и сензори за координиране на пожара, за да се направят въздухоплавателните средства по-безопасни и по-ефикасни при гасенето на пожари.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Очаква се тази мярка да не навреди значително на екологичните цели по смисъла на член 17 от Регламент (ЕС) 2020/852, като се вземат предвид описанието на мярката и смекчаващите стъпки, определени в плана за възстановяване и устойчивост в съответствие с Техническите насоки за спазването на принципа за „ненанасяне на значителни вреди“ (2021/C58/01). По-специално, подобряването на авиационната система във въздухоплавателния флот на земноводните се включва само в съществуващи въздухоплавателни средства и не увеличава продължителността на живота или капацитета на тези въздухоплавателни средства. Тя гарантира безопасността и условията за полет по време на операции, когато те се използват за гасене на горски пожари. </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Изпълнението на инвестицията приключва до 30 юни 2026 г. </w:t>
      </w:r>
    </w:p>
    <w:p>
      <w:pPr>
        <w:keepNext/>
        <w:spacing w:before="120" w:after="120" w:line="240" w:lineRule="auto"/>
        <w:jc w:val="both"/>
        <w:rPr>
          <w:rFonts w:ascii="Times New Roman" w:hAnsi="Times New Roman" w:cs="Times New Roman"/>
          <w:noProof/>
          <w:sz w:val="24"/>
          <w:u w:val="single"/>
        </w:rPr>
      </w:pPr>
      <w:r>
        <w:rPr>
          <w:rFonts w:ascii="Times New Roman" w:hAnsi="Times New Roman"/>
          <w:noProof/>
          <w:sz w:val="24"/>
          <w:u w:val="single"/>
        </w:rPr>
        <w:t>Инвестиция 2 (C4.I2) – Опазване на сухоземното и морското биологично разнообразие</w:t>
      </w:r>
    </w:p>
    <w:p>
      <w:pPr>
        <w:keepNext/>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Тази инвестиция включва набор от преки инвестиции и линии за безвъзмездни средства за опазването както на сухоземното, така и на морското биологично разнообразие. Той включва пет направления на действие, които се съгласуват с реформа 1: </w:t>
      </w:r>
    </w:p>
    <w:p>
      <w:pPr>
        <w:numPr>
          <w:ilvl w:val="0"/>
          <w:numId w:val="183"/>
        </w:numPr>
        <w:spacing w:before="120" w:after="160" w:line="240" w:lineRule="auto"/>
        <w:contextualSpacing/>
        <w:jc w:val="both"/>
        <w:rPr>
          <w:rFonts w:ascii="Times New Roman" w:hAnsi="Times New Roman" w:cs="Times New Roman"/>
          <w:noProof/>
          <w:sz w:val="24"/>
          <w:szCs w:val="24"/>
        </w:rPr>
      </w:pPr>
      <w:r>
        <w:rPr>
          <w:rFonts w:ascii="Times New Roman" w:hAnsi="Times New Roman"/>
          <w:noProof/>
          <w:sz w:val="24"/>
          <w:szCs w:val="24"/>
        </w:rPr>
        <w:t xml:space="preserve">Опазване на сухоземното биологично разнообразие, предприемане на мерки за подобряване на природозащитния статус на видовете и местообитанията, предотвратяване на заплахи и смъртност, както и действия за контрол и ликвидиране на инвазивните чужди видове. </w:t>
      </w:r>
    </w:p>
    <w:p>
      <w:pPr>
        <w:numPr>
          <w:ilvl w:val="0"/>
          <w:numId w:val="183"/>
        </w:numPr>
        <w:spacing w:before="120" w:after="160" w:line="240" w:lineRule="auto"/>
        <w:contextualSpacing/>
        <w:jc w:val="both"/>
        <w:rPr>
          <w:rFonts w:ascii="Times New Roman" w:hAnsi="Times New Roman" w:cs="Times New Roman"/>
          <w:noProof/>
          <w:sz w:val="24"/>
          <w:szCs w:val="24"/>
        </w:rPr>
      </w:pPr>
      <w:r>
        <w:rPr>
          <w:rFonts w:ascii="Times New Roman" w:hAnsi="Times New Roman"/>
          <w:noProof/>
          <w:sz w:val="24"/>
          <w:szCs w:val="24"/>
        </w:rPr>
        <w:t xml:space="preserve">Подобряване на инфраструктурите, което включва действия като предоставяне, обновяване и модернизиране на съоръжения и инфраструктура, свързани с управлението на природното наследство и повишаване на осведомеността, както и подчертаване и разпространение на значението на опазването на биологичното разнообразие за човешкото здраве и благосъстояние. </w:t>
      </w:r>
    </w:p>
    <w:p>
      <w:pPr>
        <w:numPr>
          <w:ilvl w:val="0"/>
          <w:numId w:val="183"/>
        </w:numPr>
        <w:spacing w:before="120" w:after="160" w:line="240" w:lineRule="auto"/>
        <w:contextualSpacing/>
        <w:jc w:val="both"/>
        <w:rPr>
          <w:rFonts w:ascii="Times New Roman" w:hAnsi="Times New Roman" w:cs="Times New Roman"/>
          <w:noProof/>
          <w:sz w:val="24"/>
          <w:szCs w:val="24"/>
        </w:rPr>
      </w:pPr>
      <w:r>
        <w:rPr>
          <w:rFonts w:ascii="Times New Roman" w:hAnsi="Times New Roman"/>
          <w:noProof/>
          <w:sz w:val="24"/>
          <w:szCs w:val="24"/>
        </w:rPr>
        <w:t xml:space="preserve">Опазване на морското биологично разнообразие, което установява план за опазване на 30 % от морската зона до 2030 г. Тази инвестиция защитава най-малко 18 % от испанската морска територия до 2025 г. </w:t>
      </w:r>
    </w:p>
    <w:p>
      <w:pPr>
        <w:numPr>
          <w:ilvl w:val="0"/>
          <w:numId w:val="183"/>
        </w:numPr>
        <w:spacing w:before="120" w:after="160" w:line="240" w:lineRule="auto"/>
        <w:contextualSpacing/>
        <w:jc w:val="both"/>
        <w:rPr>
          <w:rFonts w:ascii="Times New Roman" w:hAnsi="Times New Roman" w:cs="Times New Roman"/>
          <w:noProof/>
          <w:sz w:val="24"/>
          <w:szCs w:val="24"/>
        </w:rPr>
      </w:pPr>
      <w:r>
        <w:rPr>
          <w:rFonts w:ascii="Times New Roman" w:hAnsi="Times New Roman"/>
          <w:noProof/>
          <w:sz w:val="24"/>
          <w:szCs w:val="24"/>
        </w:rPr>
        <w:t xml:space="preserve">Възстановяване на влажните зони чрез действия за опазване, подобряване и възстановяване на влажните зони, и по-специално на тези, свързани с плана за опазване и възстановяване на влажните зони, предвиден в Реформа 2. </w:t>
      </w:r>
    </w:p>
    <w:p>
      <w:pPr>
        <w:numPr>
          <w:ilvl w:val="0"/>
          <w:numId w:val="183"/>
        </w:numPr>
        <w:spacing w:before="120" w:after="120" w:line="240" w:lineRule="auto"/>
        <w:ind w:left="357" w:hanging="357"/>
        <w:jc w:val="both"/>
        <w:rPr>
          <w:rFonts w:ascii="Times New Roman" w:hAnsi="Times New Roman" w:cs="Times New Roman"/>
          <w:noProof/>
          <w:sz w:val="24"/>
          <w:szCs w:val="24"/>
        </w:rPr>
      </w:pPr>
      <w:r>
        <w:rPr>
          <w:rFonts w:ascii="Times New Roman" w:hAnsi="Times New Roman"/>
          <w:noProof/>
          <w:sz w:val="24"/>
          <w:szCs w:val="24"/>
        </w:rPr>
        <w:t xml:space="preserve">Контрол на международната търговия с цел подобряване и консолидиране на мрежата от спасителни центрове по CITES и укрепване на плана за действие срещу незаконния трафик.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Очаква се тази мярка да не навреди значително на екологичните цели по смисъла на член 17 от Регламент (ЕС) 2020/852, като се вземат предвид описанието на мярката и смекчаващите стъпки, определени в плана за възстановяване и устойчивост в съответствие с Техническите насоки за спазването на принципа за „ненанасяне на значителни вреди“ (2021/C58/01). По-специално, за закупуването на плавателни съдове със специално предназначение критериите за подбор на инвестицията гарантират, че се избират само най-добрите налични технологии с най-слабо въздействие върху околната среда в сектора, като се взема предвид специалното предназначение, което те обслужват. </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Изпълнението на инвестицията приключва до 30 юни 2026 г. </w:t>
      </w:r>
    </w:p>
    <w:p>
      <w:pPr>
        <w:spacing w:before="120" w:after="120" w:line="240" w:lineRule="auto"/>
        <w:jc w:val="both"/>
        <w:rPr>
          <w:rFonts w:ascii="Times New Roman" w:hAnsi="Times New Roman" w:cs="Times New Roman"/>
          <w:noProof/>
          <w:sz w:val="24"/>
          <w:szCs w:val="24"/>
          <w:u w:val="single"/>
        </w:rPr>
      </w:pPr>
      <w:r>
        <w:rPr>
          <w:rFonts w:ascii="Times New Roman" w:hAnsi="Times New Roman"/>
          <w:noProof/>
          <w:sz w:val="24"/>
          <w:szCs w:val="24"/>
          <w:u w:val="single"/>
        </w:rPr>
        <w:t>Инвестиция 3 (C4.I3) – Възстановяване на екосистемите и екологосъобразната инфраструктура</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Тази инвестиция съдържа набор от действия в подкрепа на изпълнението на реформа 2. Целта е да се възстановят естествените екосистеми и райони, влошени от миннодобивните дейности, както и други инициативи в градска среда, насочени към насърчаване на градската свързаност и обръщане на посоката.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Инвестицията поставя цел за възстановяване на най-малко 30 000 хектара естествени екосистеми. Действията за възстановяване се съсредоточават върху увредени територии или екосистеми чрез премахване на изкуствени елементи, подобряване на почвата и морфологията, рекултивация и натурализация. Що се отнася до минното дело, инвестицията трябва да рехабилитира най-малко 30 бивши мини. Рехабилитация на бивши миннодобивни обекти включва обеззаразяване на почвата, възстановяване на морфологията и рекултивацията и натурализацията на бившите миннодобивни обекти, които вече не функционират.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И накрая, инвестицията насърчава екологосъобразната инфраструктура, която покрива нуждите на местните органи, включително: </w:t>
      </w:r>
      <w:r>
        <w:rPr>
          <w:rFonts w:ascii="Times New Roman" w:hAnsi="Times New Roman"/>
          <w:noProof/>
          <w:sz w:val="24"/>
          <w:szCs w:val="24"/>
          <w:lang w:val="fr-BE"/>
        </w:rPr>
        <w:t>i</w:t>
      </w:r>
      <w:r>
        <w:rPr>
          <w:rFonts w:ascii="Times New Roman" w:hAnsi="Times New Roman"/>
          <w:noProof/>
          <w:sz w:val="24"/>
          <w:szCs w:val="24"/>
        </w:rPr>
        <w:t xml:space="preserve">) стратегии за градско планиране и възстановяване с цел създаване и възстановяване на зелена и синя инфраструктура и освобождаване на градско пространство с цел увеличаване на биологичното разнообразие, пропускливостта на почвите и естествената свързаност в градовете; </w:t>
      </w:r>
      <w:r>
        <w:rPr>
          <w:rFonts w:ascii="Times New Roman" w:hAnsi="Times New Roman"/>
          <w:noProof/>
          <w:sz w:val="24"/>
          <w:szCs w:val="24"/>
          <w:lang w:val="fr-BE"/>
        </w:rPr>
        <w:t>ii</w:t>
      </w:r>
      <w:r>
        <w:rPr>
          <w:rFonts w:ascii="Times New Roman" w:hAnsi="Times New Roman"/>
          <w:noProof/>
          <w:sz w:val="24"/>
          <w:szCs w:val="24"/>
        </w:rPr>
        <w:t xml:space="preserve">) действия и проекти, обхващащи процеси на управление и участие, управление на зелени и сини пространства и проекти за метаболизъм в градовете, свързани с биологичното разнообразие; и </w:t>
      </w:r>
      <w:r>
        <w:rPr>
          <w:rFonts w:ascii="Times New Roman" w:hAnsi="Times New Roman"/>
          <w:noProof/>
          <w:sz w:val="24"/>
          <w:szCs w:val="24"/>
          <w:lang w:val="fr-BE"/>
        </w:rPr>
        <w:t>iii</w:t>
      </w:r>
      <w:r>
        <w:rPr>
          <w:rFonts w:ascii="Times New Roman" w:hAnsi="Times New Roman"/>
          <w:noProof/>
          <w:sz w:val="24"/>
          <w:szCs w:val="24"/>
        </w:rPr>
        <w:t xml:space="preserve">) подкрепа за проекти за оборудване и инфраструктура за градско планиране. </w:t>
      </w:r>
    </w:p>
    <w:p>
      <w:pPr>
        <w:spacing w:before="120" w:after="120" w:line="240" w:lineRule="auto"/>
        <w:jc w:val="both"/>
        <w:rPr>
          <w:rFonts w:ascii="Times New Roman" w:hAnsi="Times New Roman" w:cs="Times New Roman"/>
          <w:noProof/>
          <w:sz w:val="24"/>
        </w:rPr>
      </w:pPr>
      <w:r>
        <w:rPr>
          <w:rFonts w:ascii="Times New Roman" w:hAnsi="Times New Roman"/>
          <w:noProof/>
          <w:sz w:val="24"/>
        </w:rPr>
        <w:t>Изпълнението на инвестицията приключва до 30 юни 2026 г.</w:t>
      </w:r>
    </w:p>
    <w:p>
      <w:pPr>
        <w:spacing w:before="120" w:after="120" w:line="240" w:lineRule="auto"/>
        <w:jc w:val="both"/>
        <w:rPr>
          <w:rFonts w:ascii="Times New Roman" w:hAnsi="Times New Roman" w:cs="Times New Roman"/>
          <w:noProof/>
          <w:sz w:val="24"/>
          <w:u w:val="single"/>
        </w:rPr>
      </w:pPr>
      <w:r>
        <w:rPr>
          <w:rFonts w:ascii="Times New Roman" w:hAnsi="Times New Roman"/>
          <w:noProof/>
          <w:sz w:val="24"/>
          <w:u w:val="single"/>
        </w:rPr>
        <w:t>C4.I4 Устойчиво управление на горите</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Тази инвестиция включва инвестиции в устойчиво управление на горите: </w:t>
      </w:r>
    </w:p>
    <w:p>
      <w:pPr>
        <w:numPr>
          <w:ilvl w:val="0"/>
          <w:numId w:val="184"/>
        </w:numPr>
        <w:spacing w:before="120" w:after="160" w:line="240" w:lineRule="auto"/>
        <w:contextualSpacing/>
        <w:jc w:val="both"/>
        <w:rPr>
          <w:rFonts w:ascii="Times New Roman" w:hAnsi="Times New Roman" w:cs="Times New Roman"/>
          <w:noProof/>
          <w:sz w:val="24"/>
          <w:szCs w:val="24"/>
        </w:rPr>
      </w:pPr>
      <w:r>
        <w:rPr>
          <w:rFonts w:ascii="Times New Roman" w:hAnsi="Times New Roman"/>
          <w:noProof/>
          <w:sz w:val="24"/>
          <w:szCs w:val="24"/>
        </w:rPr>
        <w:t xml:space="preserve">Действия за подобряване на управлението на горите, насочени към борбата с горските пожари и други интервенции за управление на горите; техническа подкрепа за собствениците на гори и администрациите за консолидиране на публичната собственост; планове за управление на горите за насърчаване на биологичното разнообразие и устойчивото използване на горите. </w:t>
      </w:r>
    </w:p>
    <w:p>
      <w:pPr>
        <w:numPr>
          <w:ilvl w:val="0"/>
          <w:numId w:val="184"/>
        </w:numPr>
        <w:spacing w:before="120" w:after="160" w:line="240" w:lineRule="auto"/>
        <w:contextualSpacing/>
        <w:jc w:val="both"/>
        <w:rPr>
          <w:rFonts w:ascii="Times New Roman" w:hAnsi="Times New Roman" w:cs="Times New Roman"/>
          <w:noProof/>
          <w:sz w:val="24"/>
          <w:szCs w:val="24"/>
        </w:rPr>
      </w:pPr>
      <w:r>
        <w:rPr>
          <w:rFonts w:ascii="Times New Roman" w:hAnsi="Times New Roman"/>
          <w:noProof/>
          <w:sz w:val="24"/>
          <w:szCs w:val="24"/>
        </w:rPr>
        <w:t xml:space="preserve">Действия за защита и адаптиране към изменението на климата, включително подновяване на най-малко 100 противопожарни активи със специална цел, база на противопожарните служби и напредък по отношение на действията за подобряване на горите. </w:t>
      </w:r>
    </w:p>
    <w:p>
      <w:pPr>
        <w:numPr>
          <w:ilvl w:val="0"/>
          <w:numId w:val="184"/>
        </w:numPr>
        <w:spacing w:before="120" w:after="120" w:line="240" w:lineRule="auto"/>
        <w:ind w:left="357" w:hanging="357"/>
        <w:jc w:val="both"/>
        <w:rPr>
          <w:rFonts w:ascii="Times New Roman" w:hAnsi="Times New Roman" w:cs="Times New Roman"/>
          <w:noProof/>
          <w:sz w:val="24"/>
          <w:szCs w:val="24"/>
        </w:rPr>
      </w:pPr>
      <w:r>
        <w:rPr>
          <w:rFonts w:ascii="Times New Roman" w:hAnsi="Times New Roman"/>
          <w:noProof/>
          <w:sz w:val="24"/>
          <w:szCs w:val="24"/>
        </w:rPr>
        <w:t xml:space="preserve">С набор от действия се подкрепя секторът на горското стопанство като ключов ресурс за справяне с демографското предизвикателство, със специален акцент върху екологосъобразното предприемачество и местната биоикономика. Тази част от инвестициите включва безвъзмездни средства за местните органи и други публични и частни участници за насърчаване на конкурентоспособността, предприемачеството и устойчивостта на сектора на горското стопанство и неговата промишленост. Тези действия са насочени специално към създаването на „зелени“ работни места, по-специално чрез подкрепа за участието на жените и младите хора в сектора на горското стопанство и екологосъобразното предприемачество.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Очаква се тази мярка да не навреди значително на екологичните цели по смисъла на член 17 от Регламент (ЕС) 2020/852, като се вземат предвид описанието на мярката и смекчаващите стъпки, определени в плана за възстановяване и устойчивост в съответствие с Техническите насоки за спазването на принципа за „ненанасяне на значителни вреди“ (2021/C58/01). По-специално мярката изрично предотвратява и изключва подпомагането за насаждения с монокултури, особено евкалипт, с цел свеждане до минимум на риска от недостиг на вода и пожар. За придобиването на въздушни активи (въздухоплавателни средства или хеликоптери) и за закупуването на ново оборудване за гасене на пожари на сушата се подпомагат само най-добрите налични технологии с най-слабо въздействие върху околната среда в сектора, като се взема предвид специалното предназначение, което те обслужват.</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Изпълнението на инвестицията приключва до 30 юни 2026 г.</w:t>
      </w:r>
    </w:p>
    <w:p>
      <w:pPr>
        <w:spacing w:before="120" w:after="120" w:line="240" w:lineRule="auto"/>
        <w:jc w:val="both"/>
        <w:rPr>
          <w:rFonts w:ascii="Times New Roman" w:hAnsi="Times New Roman" w:cs="Times New Roman"/>
          <w:b/>
          <w:bCs/>
          <w:noProof/>
          <w:sz w:val="24"/>
          <w:u w:val="single"/>
        </w:rPr>
      </w:pPr>
      <w:r>
        <w:rPr>
          <w:rFonts w:ascii="Times New Roman" w:hAnsi="Times New Roman"/>
          <w:b/>
          <w:bCs/>
          <w:noProof/>
          <w:sz w:val="24"/>
          <w:u w:val="single"/>
        </w:rPr>
        <w:t xml:space="preserve">Г.2. </w:t>
      </w:r>
      <w:r>
        <w:rPr>
          <w:rFonts w:ascii="Times New Roman" w:hAnsi="Times New Roman"/>
          <w:b/>
          <w:noProof/>
          <w:sz w:val="24"/>
          <w:u w:val="single"/>
        </w:rPr>
        <w:tab/>
      </w:r>
      <w:r>
        <w:rPr>
          <w:rFonts w:ascii="Times New Roman" w:hAnsi="Times New Roman"/>
          <w:b/>
          <w:bCs/>
          <w:noProof/>
          <w:sz w:val="24"/>
          <w:u w:val="single"/>
        </w:rPr>
        <w:t>Ключови етапи, цели, показатели и график за мониторинг и изпълнение на безвъзмездната финансова подкрепа</w:t>
      </w:r>
    </w:p>
    <w:p>
      <w:pPr>
        <w:spacing w:before="120" w:after="120" w:line="240" w:lineRule="auto"/>
        <w:jc w:val="both"/>
        <w:rPr>
          <w:rFonts w:ascii="Times New Roman" w:hAnsi="Times New Roman" w:cs="Times New Roman"/>
          <w:noProof/>
          <w:color w:val="1F497D"/>
        </w:rPr>
      </w:pPr>
      <w:r>
        <w:rPr>
          <w:rFonts w:ascii="Times New Roman" w:hAnsi="Times New Roman"/>
          <w:i/>
          <w:iCs/>
          <w:noProof/>
          <w:color w:val="000000"/>
          <w:sz w:val="24"/>
        </w:rPr>
        <w:t>Вж. таблицата по-долу.</w:t>
      </w:r>
      <w:r>
        <w:rPr>
          <w:rFonts w:ascii="Times New Roman" w:hAnsi="Times New Roman"/>
          <w:noProof/>
          <w:color w:val="1F497D"/>
          <w:sz w:val="24"/>
        </w:rPr>
        <w:t xml:space="preserve"> </w:t>
      </w:r>
      <w:r>
        <w:rPr>
          <w:rFonts w:ascii="Times New Roman" w:hAnsi="Times New Roman"/>
          <w:i/>
          <w:iCs/>
          <w:noProof/>
          <w:color w:val="000000"/>
          <w:sz w:val="24"/>
        </w:rPr>
        <w:t>Датата на базовата линия за всички показатели е 1 февруари, освен ако не е посочено друго в описанието на действието. Сумите в таблицата не включват ДДС.</w:t>
      </w:r>
    </w:p>
    <w:p>
      <w:pPr>
        <w:spacing w:before="120" w:after="120" w:line="240" w:lineRule="auto"/>
        <w:jc w:val="both"/>
        <w:rPr>
          <w:rFonts w:ascii="Times New Roman" w:hAnsi="Times New Roman" w:cs="Times New Roman"/>
          <w:noProof/>
          <w:sz w:val="24"/>
          <w:lang w:val="en-IE"/>
        </w:rPr>
        <w:sectPr>
          <w:headerReference w:type="even" r:id="rId55"/>
          <w:headerReference w:type="default" r:id="rId56"/>
          <w:footerReference w:type="even" r:id="rId57"/>
          <w:footerReference w:type="default" r:id="rId58"/>
          <w:headerReference w:type="first" r:id="rId59"/>
          <w:footerReference w:type="first" r:id="rId60"/>
          <w:pgSz w:w="11907" w:h="16839"/>
          <w:pgMar w:top="1134" w:right="1417" w:bottom="1134" w:left="1417" w:header="709" w:footer="709" w:gutter="0"/>
          <w:cols w:space="720"/>
          <w:docGrid w:linePitch="360"/>
        </w:sectPr>
      </w:pPr>
    </w:p>
    <w:tbl>
      <w:tblPr>
        <w:tblW w:w="15310"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851"/>
        <w:gridCol w:w="851"/>
        <w:gridCol w:w="992"/>
        <w:gridCol w:w="2126"/>
        <w:gridCol w:w="1262"/>
        <w:gridCol w:w="864"/>
        <w:gridCol w:w="666"/>
        <w:gridCol w:w="610"/>
        <w:gridCol w:w="290"/>
        <w:gridCol w:w="702"/>
        <w:gridCol w:w="6096"/>
      </w:tblGrid>
      <w:tr>
        <w:trPr>
          <w:trHeight w:val="309"/>
          <w:tblHeader/>
        </w:trPr>
        <w:tc>
          <w:tcPr>
            <w:tcW w:w="851"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themeColor="text1"/>
                <w:sz w:val="18"/>
                <w:szCs w:val="18"/>
              </w:rPr>
            </w:pPr>
            <w:r>
              <w:rPr>
                <w:rFonts w:ascii="Times New Roman" w:hAnsi="Times New Roman"/>
                <w:b/>
                <w:bCs/>
                <w:noProof/>
                <w:color w:val="000000"/>
                <w:sz w:val="18"/>
                <w:szCs w:val="18"/>
              </w:rPr>
              <w:t>Номер</w:t>
            </w:r>
          </w:p>
        </w:tc>
        <w:tc>
          <w:tcPr>
            <w:tcW w:w="851"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sz w:val="18"/>
                <w:szCs w:val="18"/>
              </w:rPr>
            </w:pPr>
            <w:r>
              <w:rPr>
                <w:rFonts w:ascii="Times New Roman" w:hAnsi="Times New Roman"/>
                <w:b/>
                <w:bCs/>
                <w:noProof/>
                <w:color w:val="000000"/>
                <w:sz w:val="18"/>
                <w:szCs w:val="18"/>
              </w:rPr>
              <w:t>Мярка</w:t>
            </w:r>
          </w:p>
        </w:tc>
        <w:tc>
          <w:tcPr>
            <w:tcW w:w="992"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sz w:val="18"/>
                <w:szCs w:val="18"/>
              </w:rPr>
            </w:pPr>
            <w:r>
              <w:rPr>
                <w:rFonts w:ascii="Times New Roman" w:hAnsi="Times New Roman"/>
                <w:b/>
                <w:bCs/>
                <w:noProof/>
                <w:color w:val="000000"/>
                <w:sz w:val="18"/>
                <w:szCs w:val="18"/>
              </w:rPr>
              <w:t>Ключов етап /Цел</w:t>
            </w:r>
          </w:p>
        </w:tc>
        <w:tc>
          <w:tcPr>
            <w:tcW w:w="2126"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sz w:val="18"/>
                <w:szCs w:val="18"/>
              </w:rPr>
            </w:pPr>
            <w:r>
              <w:rPr>
                <w:rFonts w:ascii="Times New Roman" w:hAnsi="Times New Roman"/>
                <w:b/>
                <w:bCs/>
                <w:noProof/>
                <w:color w:val="000000"/>
                <w:sz w:val="18"/>
                <w:szCs w:val="18"/>
              </w:rPr>
              <w:t>Наименование</w:t>
            </w:r>
          </w:p>
        </w:tc>
        <w:tc>
          <w:tcPr>
            <w:tcW w:w="1262"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sz w:val="18"/>
                <w:szCs w:val="18"/>
              </w:rPr>
            </w:pPr>
            <w:r>
              <w:rPr>
                <w:rFonts w:ascii="Times New Roman" w:hAnsi="Times New Roman"/>
                <w:b/>
                <w:bCs/>
                <w:noProof/>
                <w:color w:val="000000"/>
                <w:sz w:val="18"/>
                <w:szCs w:val="18"/>
              </w:rPr>
              <w:t>Качествени показатели за ключовите етапи</w:t>
            </w:r>
          </w:p>
        </w:tc>
        <w:tc>
          <w:tcPr>
            <w:tcW w:w="2140" w:type="dxa"/>
            <w:gridSpan w:val="3"/>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sz w:val="18"/>
                <w:szCs w:val="18"/>
              </w:rPr>
            </w:pPr>
            <w:r>
              <w:rPr>
                <w:rFonts w:ascii="Times New Roman" w:hAnsi="Times New Roman"/>
                <w:b/>
                <w:bCs/>
                <w:noProof/>
                <w:color w:val="000000"/>
                <w:sz w:val="18"/>
                <w:szCs w:val="18"/>
              </w:rPr>
              <w:t>Количествени показатели за целите</w:t>
            </w:r>
          </w:p>
        </w:tc>
        <w:tc>
          <w:tcPr>
            <w:tcW w:w="992" w:type="dxa"/>
            <w:gridSpan w:val="2"/>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sz w:val="18"/>
                <w:szCs w:val="18"/>
              </w:rPr>
            </w:pPr>
            <w:r>
              <w:rPr>
                <w:rFonts w:ascii="Times New Roman" w:hAnsi="Times New Roman"/>
                <w:b/>
                <w:bCs/>
                <w:noProof/>
                <w:color w:val="000000"/>
                <w:sz w:val="18"/>
                <w:szCs w:val="18"/>
              </w:rPr>
              <w:t>Време</w:t>
            </w:r>
          </w:p>
        </w:tc>
        <w:tc>
          <w:tcPr>
            <w:tcW w:w="6096"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sz w:val="18"/>
                <w:szCs w:val="18"/>
              </w:rPr>
            </w:pPr>
            <w:r>
              <w:rPr>
                <w:rFonts w:ascii="Times New Roman" w:hAnsi="Times New Roman"/>
                <w:b/>
                <w:bCs/>
                <w:noProof/>
                <w:sz w:val="18"/>
                <w:szCs w:val="18"/>
              </w:rPr>
              <w:t>Описание на всеки ключов етап и всяка цел</w:t>
            </w:r>
          </w:p>
        </w:tc>
      </w:tr>
      <w:tr>
        <w:trPr>
          <w:trHeight w:val="309"/>
          <w:tblHeader/>
        </w:trPr>
        <w:tc>
          <w:tcPr>
            <w:tcW w:w="851"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851"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992"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2126" w:type="dxa"/>
            <w:tcBorders>
              <w:top w:val="nil"/>
            </w:tcBorders>
            <w:shd w:val="clear" w:color="auto" w:fill="C6D9F1" w:themeFill="text2" w:themeFillTint="33"/>
            <w:noWrap/>
          </w:tcPr>
          <w:p>
            <w:pPr>
              <w:spacing w:after="0" w:line="240" w:lineRule="auto"/>
              <w:rPr>
                <w:rFonts w:ascii="Times New Roman" w:hAnsi="Times New Roman" w:cs="Times New Roman"/>
                <w:b/>
                <w:noProof/>
                <w:color w:val="000000"/>
                <w:sz w:val="18"/>
                <w:szCs w:val="18"/>
              </w:rPr>
            </w:pPr>
          </w:p>
        </w:tc>
        <w:tc>
          <w:tcPr>
            <w:tcW w:w="1262"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864" w:type="dxa"/>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sz w:val="18"/>
                <w:szCs w:val="18"/>
              </w:rPr>
            </w:pPr>
            <w:r>
              <w:rPr>
                <w:rFonts w:ascii="Times New Roman" w:hAnsi="Times New Roman"/>
                <w:b/>
                <w:bCs/>
                <w:noProof/>
                <w:color w:val="000000"/>
                <w:sz w:val="18"/>
                <w:szCs w:val="18"/>
              </w:rPr>
              <w:t>Мерна единица</w:t>
            </w:r>
          </w:p>
        </w:tc>
        <w:tc>
          <w:tcPr>
            <w:tcW w:w="666" w:type="dxa"/>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sz w:val="18"/>
                <w:szCs w:val="18"/>
              </w:rPr>
            </w:pPr>
            <w:r>
              <w:rPr>
                <w:rFonts w:ascii="Times New Roman" w:hAnsi="Times New Roman"/>
                <w:b/>
                <w:bCs/>
                <w:noProof/>
                <w:color w:val="000000"/>
                <w:sz w:val="18"/>
                <w:szCs w:val="18"/>
              </w:rPr>
              <w:t>Базова линия</w:t>
            </w:r>
          </w:p>
        </w:tc>
        <w:tc>
          <w:tcPr>
            <w:tcW w:w="610" w:type="dxa"/>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sz w:val="18"/>
                <w:szCs w:val="18"/>
              </w:rPr>
            </w:pPr>
            <w:r>
              <w:rPr>
                <w:rFonts w:ascii="Times New Roman" w:hAnsi="Times New Roman"/>
                <w:b/>
                <w:bCs/>
                <w:noProof/>
                <w:color w:val="000000"/>
                <w:sz w:val="18"/>
                <w:szCs w:val="18"/>
              </w:rPr>
              <w:t>Цел</w:t>
            </w:r>
          </w:p>
        </w:tc>
        <w:tc>
          <w:tcPr>
            <w:tcW w:w="290" w:type="dxa"/>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sz w:val="18"/>
                <w:szCs w:val="18"/>
              </w:rPr>
            </w:pPr>
            <w:r>
              <w:rPr>
                <w:rFonts w:ascii="Times New Roman" w:hAnsi="Times New Roman"/>
                <w:b/>
                <w:bCs/>
                <w:noProof/>
                <w:color w:val="000000"/>
                <w:sz w:val="18"/>
                <w:szCs w:val="18"/>
              </w:rPr>
              <w:t>T</w:t>
            </w:r>
          </w:p>
        </w:tc>
        <w:tc>
          <w:tcPr>
            <w:tcW w:w="702" w:type="dxa"/>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sz w:val="18"/>
                <w:szCs w:val="18"/>
              </w:rPr>
            </w:pPr>
            <w:r>
              <w:rPr>
                <w:rFonts w:ascii="Times New Roman" w:hAnsi="Times New Roman"/>
                <w:b/>
                <w:bCs/>
                <w:noProof/>
                <w:color w:val="000000"/>
                <w:sz w:val="18"/>
                <w:szCs w:val="18"/>
              </w:rPr>
              <w:t>Година</w:t>
            </w:r>
          </w:p>
        </w:tc>
        <w:tc>
          <w:tcPr>
            <w:tcW w:w="6096" w:type="dxa"/>
            <w:tcBorders>
              <w:top w:val="nil"/>
            </w:tcBorders>
            <w:shd w:val="clear" w:color="auto" w:fill="C6D9F1" w:themeFill="text2" w:themeFillTint="33"/>
            <w:noWrap/>
          </w:tcPr>
          <w:p>
            <w:pPr>
              <w:spacing w:after="0" w:line="240" w:lineRule="auto"/>
              <w:rPr>
                <w:rFonts w:ascii="Times New Roman" w:hAnsi="Times New Roman" w:cs="Times New Roman"/>
                <w:b/>
                <w:noProof/>
                <w:color w:val="000000"/>
                <w:sz w:val="18"/>
                <w:szCs w:val="18"/>
                <w:lang w:val="en-IE"/>
              </w:rPr>
            </w:pPr>
          </w:p>
        </w:tc>
      </w:tr>
      <w:tr>
        <w:trPr>
          <w:trHeight w:val="309"/>
        </w:trPr>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62</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C4.R1</w:t>
            </w:r>
          </w:p>
        </w:tc>
        <w:tc>
          <w:tcPr>
            <w:tcW w:w="992"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2126"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Стратегически план за природното наследство и биологичното разнообразие и План за мрежата от защитени морски зони </w:t>
            </w:r>
          </w:p>
        </w:tc>
        <w:tc>
          <w:tcPr>
            <w:tcW w:w="1262"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Публикуване в Официален вестник</w:t>
            </w:r>
          </w:p>
        </w:tc>
        <w:tc>
          <w:tcPr>
            <w:tcW w:w="864"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w:t>
            </w:r>
          </w:p>
        </w:tc>
        <w:tc>
          <w:tcPr>
            <w:tcW w:w="666"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w:t>
            </w:r>
          </w:p>
        </w:tc>
        <w:tc>
          <w:tcPr>
            <w:tcW w:w="61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w:t>
            </w:r>
          </w:p>
        </w:tc>
        <w:tc>
          <w:tcPr>
            <w:tcW w:w="29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702"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2022</w:t>
            </w:r>
          </w:p>
        </w:tc>
        <w:tc>
          <w:tcPr>
            <w:tcW w:w="6096"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Приемане на Стратегическия план за природното наследство и биологичното разнообразие (Кралски указ) и на Плана за мрежата от планове за защитени морски зони (Кралски указ), включително създаването на най-малко девет морски бази за управление.</w:t>
            </w:r>
          </w:p>
        </w:tc>
      </w:tr>
      <w:tr>
        <w:trPr>
          <w:trHeight w:val="309"/>
        </w:trPr>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63</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C4.R2</w:t>
            </w:r>
          </w:p>
        </w:tc>
        <w:tc>
          <w:tcPr>
            <w:tcW w:w="992"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2126"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Приемане на национална стратегия за екологосъобразна инфраструктура, свързаност и екологично възстановяване</w:t>
            </w:r>
          </w:p>
        </w:tc>
        <w:tc>
          <w:tcPr>
            <w:tcW w:w="1262"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Публикуване в Официален вестник</w:t>
            </w:r>
          </w:p>
        </w:tc>
        <w:tc>
          <w:tcPr>
            <w:tcW w:w="864"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666"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61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29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T2</w:t>
            </w:r>
          </w:p>
        </w:tc>
        <w:tc>
          <w:tcPr>
            <w:tcW w:w="702"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2021</w:t>
            </w:r>
          </w:p>
        </w:tc>
        <w:tc>
          <w:tcPr>
            <w:tcW w:w="6096"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Приемане на национална стратегия за екологосъобразна инфраструктура, свързаност и екологично възстановяване. Стратегията включва насоки за действие за постигане на: I) Намаляване на последиците от раздробяването и загубата на екологична свързаност; II) възстановяване на екосистемите в ключови области; III) поддържане и подобряване на предоставянето на екосистемни услуги; IV) подобряване на устойчивостта; v) определяне на модел на управление; и vi) комуникация, образование и участие на заинтересованите страни.</w:t>
            </w:r>
          </w:p>
        </w:tc>
      </w:tr>
      <w:tr>
        <w:trPr>
          <w:trHeight w:val="309"/>
        </w:trPr>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64</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C4.R3</w:t>
            </w:r>
          </w:p>
        </w:tc>
        <w:tc>
          <w:tcPr>
            <w:tcW w:w="992"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2126"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Одобряване на испанската стратегия и план за подпомагане на горите</w:t>
            </w:r>
          </w:p>
        </w:tc>
        <w:tc>
          <w:tcPr>
            <w:tcW w:w="1262"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Публикуване в Официален вестник</w:t>
            </w:r>
          </w:p>
        </w:tc>
        <w:tc>
          <w:tcPr>
            <w:tcW w:w="864"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666"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61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29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702"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2022</w:t>
            </w:r>
          </w:p>
        </w:tc>
        <w:tc>
          <w:tcPr>
            <w:tcW w:w="6096"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Приемане на испанската стратегия и план за подпомагане на горите, които включват насоки за устойчиво управление на горите.</w:t>
            </w:r>
          </w:p>
        </w:tc>
      </w:tr>
      <w:tr>
        <w:trPr>
          <w:trHeight w:val="309"/>
        </w:trPr>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65</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C4.I1</w:t>
            </w:r>
          </w:p>
        </w:tc>
        <w:tc>
          <w:tcPr>
            <w:tcW w:w="992"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2126"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Възлагане на договори за въздухоплавателни средства със специално предназначение за гасене на пожари и създаване на система за мониторинг и управление на знанията за биологичното разнообразие</w:t>
            </w:r>
          </w:p>
        </w:tc>
        <w:tc>
          <w:tcPr>
            <w:tcW w:w="1262"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Възлагане на поръчки</w:t>
            </w:r>
          </w:p>
        </w:tc>
        <w:tc>
          <w:tcPr>
            <w:tcW w:w="864"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666"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61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29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T2</w:t>
            </w:r>
          </w:p>
        </w:tc>
        <w:tc>
          <w:tcPr>
            <w:tcW w:w="702"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2022</w:t>
            </w:r>
          </w:p>
        </w:tc>
        <w:tc>
          <w:tcPr>
            <w:tcW w:w="6096"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Възлагане на договори за актуализиране и модернизиране на най-малко десет самолета със специално предназначение (Canadair) за борба с пожарите и предоставяне на системата за наблюдение и управление на знанията в областта на биологичното разнообразие. Системата включва повишаване на знанията за видовете и местообитанията и цифрова платформа. Инвестицията гарантира съответствие с техническите насоки „Ненанасяне на значителни вреди“ (2021/C58/01) чрез модернизиране само на съществуващи въздухоплавателни средства, които не увеличават техния експлоатационен срок или капацитет.</w:t>
            </w:r>
          </w:p>
        </w:tc>
      </w:tr>
      <w:tr>
        <w:trPr>
          <w:trHeight w:val="309"/>
        </w:trPr>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66</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C4.I1</w:t>
            </w:r>
          </w:p>
        </w:tc>
        <w:tc>
          <w:tcPr>
            <w:tcW w:w="992"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2126"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Завършване на актуализациите и модернизирането на противопожарните въздухоплавателни средства и привеждане в действие на системата за мониторинг и управление на знанията за биологичното разнообразие</w:t>
            </w:r>
          </w:p>
        </w:tc>
        <w:tc>
          <w:tcPr>
            <w:tcW w:w="1262" w:type="dxa"/>
            <w:shd w:val="clear" w:color="auto" w:fill="C6EFCE"/>
            <w:noWrap/>
          </w:tcPr>
          <w:p>
            <w:pPr>
              <w:spacing w:after="0" w:line="240" w:lineRule="auto"/>
              <w:jc w:val="center"/>
              <w:rPr>
                <w:rFonts w:ascii="Times New Roman" w:eastAsia="Times New Roman" w:hAnsi="Times New Roman" w:cs="Times New Roman"/>
                <w:i/>
                <w:noProof/>
                <w:sz w:val="18"/>
                <w:szCs w:val="18"/>
              </w:rPr>
            </w:pPr>
            <w:r>
              <w:rPr>
                <w:rFonts w:ascii="Times New Roman" w:hAnsi="Times New Roman"/>
                <w:i/>
                <w:noProof/>
                <w:color w:val="000000"/>
                <w:sz w:val="18"/>
                <w:szCs w:val="18"/>
              </w:rPr>
              <w:t>ACTA de recepción</w:t>
            </w:r>
          </w:p>
        </w:tc>
        <w:tc>
          <w:tcPr>
            <w:tcW w:w="864"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w:t>
            </w:r>
          </w:p>
        </w:tc>
        <w:tc>
          <w:tcPr>
            <w:tcW w:w="666"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w:t>
            </w:r>
          </w:p>
        </w:tc>
        <w:tc>
          <w:tcPr>
            <w:tcW w:w="61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w:t>
            </w:r>
          </w:p>
        </w:tc>
        <w:tc>
          <w:tcPr>
            <w:tcW w:w="29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T2</w:t>
            </w:r>
          </w:p>
        </w:tc>
        <w:tc>
          <w:tcPr>
            <w:tcW w:w="702"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2026</w:t>
            </w:r>
          </w:p>
        </w:tc>
        <w:tc>
          <w:tcPr>
            <w:tcW w:w="6096"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szCs w:val="18"/>
              </w:rPr>
              <w:t xml:space="preserve">Завършен е най-малко десет актуализирани и модернизирани ВС със специално предназначение за борба с пожарите (Canadair), а системата за мониторинг и управление на знанията за биологичното разнообразие е завършена и функционира (включително цифровата платформа). </w:t>
            </w:r>
          </w:p>
        </w:tc>
      </w:tr>
      <w:tr>
        <w:trPr>
          <w:trHeight w:val="309"/>
        </w:trPr>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67</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C4.I2</w:t>
            </w:r>
          </w:p>
        </w:tc>
        <w:tc>
          <w:tcPr>
            <w:tcW w:w="992"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w:t>
            </w:r>
          </w:p>
        </w:tc>
        <w:tc>
          <w:tcPr>
            <w:tcW w:w="2126"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Морски защитени територии </w:t>
            </w:r>
          </w:p>
        </w:tc>
        <w:tc>
          <w:tcPr>
            <w:tcW w:w="1262" w:type="dxa"/>
            <w:shd w:val="clear" w:color="auto" w:fill="C6EFCE"/>
            <w:noWrap/>
          </w:tcPr>
          <w:p>
            <w:pPr>
              <w:spacing w:after="0" w:line="240" w:lineRule="auto"/>
              <w:jc w:val="center"/>
              <w:rPr>
                <w:rFonts w:ascii="Times New Roman" w:eastAsia="Times New Roman" w:hAnsi="Times New Roman" w:cs="Times New Roman"/>
                <w:noProof/>
                <w:sz w:val="18"/>
                <w:szCs w:val="18"/>
                <w:lang w:val="en-IE" w:eastAsia="en-GB"/>
              </w:rPr>
            </w:pPr>
          </w:p>
        </w:tc>
        <w:tc>
          <w:tcPr>
            <w:tcW w:w="864" w:type="dxa"/>
            <w:shd w:val="clear" w:color="auto" w:fill="C6EFCE"/>
            <w:noWrap/>
          </w:tcPr>
          <w:p>
            <w:pPr>
              <w:spacing w:after="0" w:line="240" w:lineRule="auto"/>
              <w:jc w:val="center"/>
              <w:rPr>
                <w:rFonts w:ascii="Times New Roman" w:eastAsia="Times New Roman" w:hAnsi="Times New Roman" w:cs="Times New Roman"/>
                <w:noProof/>
                <w:spacing w:val="-6"/>
                <w:sz w:val="18"/>
                <w:szCs w:val="18"/>
              </w:rPr>
            </w:pPr>
            <w:r>
              <w:rPr>
                <w:rFonts w:ascii="Times New Roman" w:hAnsi="Times New Roman"/>
                <w:noProof/>
                <w:color w:val="000000"/>
                <w:spacing w:val="-6"/>
                <w:sz w:val="18"/>
                <w:szCs w:val="18"/>
              </w:rPr>
              <w:t>% от испанската морска територия</w:t>
            </w:r>
          </w:p>
        </w:tc>
        <w:tc>
          <w:tcPr>
            <w:tcW w:w="666"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13</w:t>
            </w:r>
          </w:p>
        </w:tc>
        <w:tc>
          <w:tcPr>
            <w:tcW w:w="61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15</w:t>
            </w:r>
          </w:p>
        </w:tc>
        <w:tc>
          <w:tcPr>
            <w:tcW w:w="29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702"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2023</w:t>
            </w:r>
          </w:p>
        </w:tc>
        <w:tc>
          <w:tcPr>
            <w:tcW w:w="6096"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Изграждане на защитена морска зона от най-малко 15 % от испанската морска територия. Защитена морска зона е морска територия, включена в мрежата „Натура 2000“, или други категории защитени природни пространства, както е установено със Закон 42/2007; зоните, защитени от международни инструменти и морски резервати, ще бъдат включени в RAMPE (испанската мрежа за защитени морски зони). (Базово равнище: 31 декември 2020 г. </w:t>
            </w:r>
          </w:p>
        </w:tc>
      </w:tr>
      <w:tr>
        <w:trPr>
          <w:trHeight w:val="309"/>
        </w:trPr>
        <w:tc>
          <w:tcPr>
            <w:tcW w:w="851"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68</w:t>
            </w:r>
          </w:p>
        </w:tc>
        <w:tc>
          <w:tcPr>
            <w:tcW w:w="851"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C4.I2</w:t>
            </w:r>
          </w:p>
        </w:tc>
        <w:tc>
          <w:tcPr>
            <w:tcW w:w="992"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T</w:t>
            </w:r>
          </w:p>
        </w:tc>
        <w:tc>
          <w:tcPr>
            <w:tcW w:w="2126"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szCs w:val="18"/>
              </w:rPr>
              <w:t xml:space="preserve">Морски защитени територии </w:t>
            </w:r>
          </w:p>
        </w:tc>
        <w:tc>
          <w:tcPr>
            <w:tcW w:w="1262" w:type="dxa"/>
            <w:shd w:val="clear" w:color="auto" w:fill="C6EFCE"/>
            <w:noWrap/>
          </w:tcPr>
          <w:p>
            <w:pPr>
              <w:spacing w:after="0" w:line="240" w:lineRule="auto"/>
              <w:jc w:val="center"/>
              <w:rPr>
                <w:rFonts w:ascii="Times New Roman" w:hAnsi="Times New Roman" w:cs="Times New Roman"/>
                <w:noProof/>
                <w:color w:val="000000"/>
                <w:sz w:val="18"/>
                <w:szCs w:val="18"/>
                <w:lang w:val="en-IE"/>
              </w:rPr>
            </w:pPr>
          </w:p>
        </w:tc>
        <w:tc>
          <w:tcPr>
            <w:tcW w:w="864" w:type="dxa"/>
            <w:shd w:val="clear" w:color="auto" w:fill="C6EFCE"/>
            <w:noWrap/>
          </w:tcPr>
          <w:p>
            <w:pPr>
              <w:spacing w:after="0" w:line="240" w:lineRule="auto"/>
              <w:jc w:val="center"/>
              <w:rPr>
                <w:rFonts w:ascii="Times New Roman" w:hAnsi="Times New Roman" w:cs="Times New Roman"/>
                <w:noProof/>
                <w:color w:val="000000"/>
                <w:spacing w:val="-6"/>
                <w:sz w:val="18"/>
                <w:szCs w:val="18"/>
              </w:rPr>
            </w:pPr>
            <w:r>
              <w:rPr>
                <w:rFonts w:ascii="Times New Roman" w:hAnsi="Times New Roman"/>
                <w:noProof/>
                <w:color w:val="000000"/>
                <w:spacing w:val="-6"/>
                <w:sz w:val="18"/>
                <w:szCs w:val="18"/>
              </w:rPr>
              <w:t>% от испанската морска територия</w:t>
            </w:r>
          </w:p>
        </w:tc>
        <w:tc>
          <w:tcPr>
            <w:tcW w:w="666"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15</w:t>
            </w:r>
          </w:p>
        </w:tc>
        <w:tc>
          <w:tcPr>
            <w:tcW w:w="610"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18</w:t>
            </w:r>
          </w:p>
        </w:tc>
        <w:tc>
          <w:tcPr>
            <w:tcW w:w="290"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T4</w:t>
            </w:r>
          </w:p>
        </w:tc>
        <w:tc>
          <w:tcPr>
            <w:tcW w:w="702"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2025</w:t>
            </w:r>
          </w:p>
        </w:tc>
        <w:tc>
          <w:tcPr>
            <w:tcW w:w="6096"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szCs w:val="18"/>
              </w:rPr>
              <w:t>Изграждане на защитена морска зона от най-малко 18 % от испанската морска територия. Защитена морска зона е морска територия, включена в мрежата „Натура 2000“, или други категории защитени природни пространства, както е установено със Закон 42/2007; зоните, защитени от международни инструменти и морски резервати, ще бъдат включени в RAMPE (испанската мрежа за защитени морски зони). (Базово равнище: 31 декември 2023 г.</w:t>
            </w:r>
          </w:p>
        </w:tc>
      </w:tr>
      <w:tr>
        <w:trPr>
          <w:trHeight w:val="309"/>
        </w:trPr>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69</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C4.I2</w:t>
            </w:r>
          </w:p>
        </w:tc>
        <w:tc>
          <w:tcPr>
            <w:tcW w:w="992"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w:t>
            </w:r>
          </w:p>
        </w:tc>
        <w:tc>
          <w:tcPr>
            <w:tcW w:w="2126"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Действия за опазване на биологичното разнообразие</w:t>
            </w:r>
          </w:p>
        </w:tc>
        <w:tc>
          <w:tcPr>
            <w:tcW w:w="1262" w:type="dxa"/>
            <w:shd w:val="clear" w:color="auto" w:fill="C6EFCE"/>
            <w:noWrap/>
          </w:tcPr>
          <w:p>
            <w:pPr>
              <w:spacing w:after="0" w:line="240" w:lineRule="auto"/>
              <w:jc w:val="center"/>
              <w:rPr>
                <w:rFonts w:ascii="Times New Roman" w:eastAsia="Times New Roman" w:hAnsi="Times New Roman" w:cs="Times New Roman"/>
                <w:noProof/>
                <w:sz w:val="18"/>
                <w:szCs w:val="18"/>
                <w:lang w:eastAsia="en-GB"/>
              </w:rPr>
            </w:pPr>
          </w:p>
        </w:tc>
        <w:tc>
          <w:tcPr>
            <w:tcW w:w="86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Брой (хектари)</w:t>
            </w:r>
          </w:p>
        </w:tc>
        <w:tc>
          <w:tcPr>
            <w:tcW w:w="666"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0</w:t>
            </w:r>
          </w:p>
        </w:tc>
        <w:tc>
          <w:tcPr>
            <w:tcW w:w="61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50 000</w:t>
            </w:r>
          </w:p>
        </w:tc>
        <w:tc>
          <w:tcPr>
            <w:tcW w:w="29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T2</w:t>
            </w:r>
          </w:p>
        </w:tc>
        <w:tc>
          <w:tcPr>
            <w:tcW w:w="702"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2026</w:t>
            </w:r>
          </w:p>
        </w:tc>
        <w:tc>
          <w:tcPr>
            <w:tcW w:w="6096"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Най-малко 50 000 хектара, обхванати от приключили действия за опазване на биологичното разнообразие. Действията за опазване включват следното: действия за предотвратяване на смъртността на ендемични видове от флората и фауната, ii) действия за ранно откриване, контрол или премахване на инвазивни видове, iii) мерки за управление и подобряване на местообитанията, предприети по отношение на застрашени видове, iv) действия за възстановяване на влажните зони, като например подобряване на естествената динамика, количеството и качеството на водите, и v) действия за осигуряване, обновяване и модернизиране на съоръженията и инфраструктурата, свързани с управлението на природното наследство, и по-специално защитените зони (Конвенцията „Натура 2000“ и Конвенцията за опазване на CITES). За закупуването на плавателни съдове със специално предназначение критериите за подбор на инвестицията гарантират съответствие с техническите насоки „Ненанасяне на значителни вреди“ (2021/C58/01) чрез подпомагане само на най-добрите налични технологии с най-слабо въздействие върху околната среда в сектора, като се взема предвид специалното предназначение, което те обслужват. </w:t>
            </w:r>
          </w:p>
        </w:tc>
      </w:tr>
      <w:tr>
        <w:trPr>
          <w:trHeight w:val="309"/>
        </w:trPr>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70</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C4.I3</w:t>
            </w:r>
          </w:p>
        </w:tc>
        <w:tc>
          <w:tcPr>
            <w:tcW w:w="992"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w:t>
            </w:r>
          </w:p>
        </w:tc>
        <w:tc>
          <w:tcPr>
            <w:tcW w:w="2126"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Рехабилитация на бивши мини (най-малко 20 бивши мини)</w:t>
            </w:r>
          </w:p>
        </w:tc>
        <w:tc>
          <w:tcPr>
            <w:tcW w:w="1262" w:type="dxa"/>
            <w:shd w:val="clear" w:color="auto" w:fill="C6EFCE"/>
            <w:noWrap/>
          </w:tcPr>
          <w:p>
            <w:pPr>
              <w:spacing w:after="0" w:line="240" w:lineRule="auto"/>
              <w:jc w:val="center"/>
              <w:rPr>
                <w:rFonts w:ascii="Times New Roman" w:eastAsia="Times New Roman" w:hAnsi="Times New Roman" w:cs="Times New Roman"/>
                <w:noProof/>
                <w:sz w:val="18"/>
                <w:szCs w:val="18"/>
                <w:lang w:eastAsia="en-GB"/>
              </w:rPr>
            </w:pPr>
          </w:p>
        </w:tc>
        <w:tc>
          <w:tcPr>
            <w:tcW w:w="86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Брой (мини)</w:t>
            </w:r>
          </w:p>
        </w:tc>
        <w:tc>
          <w:tcPr>
            <w:tcW w:w="666"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0</w:t>
            </w:r>
          </w:p>
        </w:tc>
        <w:tc>
          <w:tcPr>
            <w:tcW w:w="61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20</w:t>
            </w:r>
          </w:p>
        </w:tc>
        <w:tc>
          <w:tcPr>
            <w:tcW w:w="29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T2</w:t>
            </w:r>
          </w:p>
        </w:tc>
        <w:tc>
          <w:tcPr>
            <w:tcW w:w="702"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2023</w:t>
            </w:r>
          </w:p>
        </w:tc>
        <w:tc>
          <w:tcPr>
            <w:tcW w:w="6096"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Рехабилитация на най-малко 50 % от всеки минен обект, насочена към най-малко 20 бивши миннодобивни обекта, включително обеззаразяване на почвата, възстановяване на морфологията, рекултивация и натурализация.</w:t>
            </w:r>
          </w:p>
        </w:tc>
      </w:tr>
      <w:tr>
        <w:trPr>
          <w:trHeight w:val="309"/>
        </w:trPr>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71</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C4.I3</w:t>
            </w:r>
          </w:p>
        </w:tc>
        <w:tc>
          <w:tcPr>
            <w:tcW w:w="992"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w:t>
            </w:r>
          </w:p>
        </w:tc>
        <w:tc>
          <w:tcPr>
            <w:tcW w:w="2126"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Действия за възстановяване на екосистемите </w:t>
            </w:r>
          </w:p>
        </w:tc>
        <w:tc>
          <w:tcPr>
            <w:tcW w:w="1262" w:type="dxa"/>
            <w:shd w:val="clear" w:color="auto" w:fill="C6EFCE"/>
            <w:noWrap/>
          </w:tcPr>
          <w:p>
            <w:pPr>
              <w:spacing w:after="0" w:line="240" w:lineRule="auto"/>
              <w:jc w:val="center"/>
              <w:rPr>
                <w:rFonts w:ascii="Times New Roman" w:eastAsia="Times New Roman" w:hAnsi="Times New Roman" w:cs="Times New Roman"/>
                <w:noProof/>
                <w:sz w:val="18"/>
                <w:szCs w:val="18"/>
                <w:lang w:eastAsia="en-GB"/>
              </w:rPr>
            </w:pPr>
          </w:p>
        </w:tc>
        <w:tc>
          <w:tcPr>
            <w:tcW w:w="864"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Брой (хектари)</w:t>
            </w:r>
          </w:p>
        </w:tc>
        <w:tc>
          <w:tcPr>
            <w:tcW w:w="666"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0</w:t>
            </w:r>
          </w:p>
        </w:tc>
        <w:tc>
          <w:tcPr>
            <w:tcW w:w="61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30 000</w:t>
            </w:r>
          </w:p>
        </w:tc>
        <w:tc>
          <w:tcPr>
            <w:tcW w:w="29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702"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2024</w:t>
            </w:r>
          </w:p>
        </w:tc>
        <w:tc>
          <w:tcPr>
            <w:tcW w:w="6096"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Най-малко 30 000 хектара, обхванати от завършени действия за възстановяване на екосистемите във влошени територии или екосистеми, включително премахване на изкуствени елементи, подобряване на почвата и морфологията, рекултивация и натурализация. </w:t>
            </w:r>
          </w:p>
        </w:tc>
      </w:tr>
      <w:tr>
        <w:trPr>
          <w:trHeight w:val="309"/>
        </w:trPr>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72</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C4.I3</w:t>
            </w:r>
          </w:p>
        </w:tc>
        <w:tc>
          <w:tcPr>
            <w:tcW w:w="992"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w:t>
            </w:r>
          </w:p>
        </w:tc>
        <w:tc>
          <w:tcPr>
            <w:tcW w:w="2126"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Завършване на санирането на бивши мини (най-малко 30 бивши мини)</w:t>
            </w:r>
          </w:p>
        </w:tc>
        <w:tc>
          <w:tcPr>
            <w:tcW w:w="1262" w:type="dxa"/>
            <w:shd w:val="clear" w:color="auto" w:fill="C6EFCE"/>
            <w:noWrap/>
          </w:tcPr>
          <w:p>
            <w:pPr>
              <w:spacing w:after="0" w:line="240" w:lineRule="auto"/>
              <w:jc w:val="center"/>
              <w:rPr>
                <w:rFonts w:ascii="Times New Roman" w:eastAsia="Times New Roman" w:hAnsi="Times New Roman" w:cs="Times New Roman"/>
                <w:noProof/>
                <w:sz w:val="18"/>
                <w:szCs w:val="18"/>
                <w:lang w:eastAsia="en-GB"/>
              </w:rPr>
            </w:pPr>
          </w:p>
        </w:tc>
        <w:tc>
          <w:tcPr>
            <w:tcW w:w="864"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Брой (мини)</w:t>
            </w:r>
          </w:p>
        </w:tc>
        <w:tc>
          <w:tcPr>
            <w:tcW w:w="666"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0</w:t>
            </w:r>
          </w:p>
        </w:tc>
        <w:tc>
          <w:tcPr>
            <w:tcW w:w="61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30</w:t>
            </w:r>
          </w:p>
        </w:tc>
        <w:tc>
          <w:tcPr>
            <w:tcW w:w="29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T2</w:t>
            </w:r>
          </w:p>
        </w:tc>
        <w:tc>
          <w:tcPr>
            <w:tcW w:w="702"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2026</w:t>
            </w:r>
          </w:p>
        </w:tc>
        <w:tc>
          <w:tcPr>
            <w:tcW w:w="6096"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Най-малко 30 бивши минни обекта са били рехабилитирани, включително обеззаразяване на почвата, възстановяване на морфологията и възстановяване и натурализация на бившите миннодобивни обекти, които вече не са в експлоатация. </w:t>
            </w:r>
          </w:p>
        </w:tc>
      </w:tr>
      <w:tr>
        <w:trPr>
          <w:trHeight w:val="309"/>
        </w:trPr>
        <w:tc>
          <w:tcPr>
            <w:tcW w:w="851"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73</w:t>
            </w:r>
          </w:p>
        </w:tc>
        <w:tc>
          <w:tcPr>
            <w:tcW w:w="851"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C4.I4</w:t>
            </w:r>
          </w:p>
        </w:tc>
        <w:tc>
          <w:tcPr>
            <w:tcW w:w="992"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M</w:t>
            </w:r>
          </w:p>
        </w:tc>
        <w:tc>
          <w:tcPr>
            <w:tcW w:w="2126"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szCs w:val="18"/>
              </w:rPr>
              <w:t xml:space="preserve">Действия за устойчиво управление на горите </w:t>
            </w:r>
          </w:p>
        </w:tc>
        <w:tc>
          <w:tcPr>
            <w:tcW w:w="1262" w:type="dxa"/>
            <w:shd w:val="clear" w:color="auto" w:fill="C6EFCE"/>
            <w:noWrap/>
          </w:tcPr>
          <w:p>
            <w:pPr>
              <w:spacing w:after="0" w:line="240" w:lineRule="auto"/>
              <w:jc w:val="center"/>
              <w:rPr>
                <w:rFonts w:ascii="Times New Roman" w:hAnsi="Times New Roman" w:cs="Times New Roman"/>
                <w:noProof/>
                <w:color w:val="000000"/>
                <w:spacing w:val="-2"/>
                <w:sz w:val="18"/>
                <w:szCs w:val="18"/>
              </w:rPr>
            </w:pPr>
            <w:r>
              <w:rPr>
                <w:rFonts w:ascii="Times New Roman" w:hAnsi="Times New Roman"/>
                <w:noProof/>
                <w:color w:val="000000"/>
                <w:spacing w:val="-2"/>
                <w:sz w:val="18"/>
                <w:szCs w:val="18"/>
              </w:rPr>
              <w:t>Удостоверение, подписано от MITERD</w:t>
            </w:r>
          </w:p>
        </w:tc>
        <w:tc>
          <w:tcPr>
            <w:tcW w:w="864"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 </w:t>
            </w:r>
          </w:p>
        </w:tc>
        <w:tc>
          <w:tcPr>
            <w:tcW w:w="666"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 </w:t>
            </w:r>
          </w:p>
        </w:tc>
        <w:tc>
          <w:tcPr>
            <w:tcW w:w="610"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 </w:t>
            </w:r>
          </w:p>
        </w:tc>
        <w:tc>
          <w:tcPr>
            <w:tcW w:w="290"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T2</w:t>
            </w:r>
          </w:p>
        </w:tc>
        <w:tc>
          <w:tcPr>
            <w:tcW w:w="702"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2023</w:t>
            </w:r>
          </w:p>
        </w:tc>
        <w:tc>
          <w:tcPr>
            <w:tcW w:w="6096"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szCs w:val="18"/>
              </w:rPr>
              <w:t xml:space="preserve">Приключване на действията за устойчиво управление на горите, включително подновяване на най-малко 100 превозни средства със специално предназначение за гасене на пожари, обновяване на базите на противопожарните служби и приключване на действията за подобряване на горите, включително планиране на адаптивни устойчиви практики за управление на горите и обогатяване на видовете. Критериите за подбор на инвестицията гарантират съответствие с техническите насоки „Ненанасяне на значителни вреди“ (2021/C58/01) чрез подпомагане само на най-добрите налични технологии с най-слабо въздействие върху околната среда в сектора, като се взема предвид специалното предназначение, което те обслужват. </w:t>
            </w:r>
          </w:p>
        </w:tc>
      </w:tr>
    </w:tbl>
    <w:p>
      <w:pPr>
        <w:spacing w:before="120" w:after="120" w:line="240" w:lineRule="auto"/>
        <w:jc w:val="both"/>
        <w:rPr>
          <w:rFonts w:ascii="Times New Roman" w:hAnsi="Times New Roman" w:cs="Times New Roman"/>
          <w:noProof/>
          <w:sz w:val="24"/>
          <w:szCs w:val="24"/>
        </w:rPr>
      </w:pPr>
    </w:p>
    <w:p>
      <w:pPr>
        <w:spacing w:before="120" w:after="120" w:line="240" w:lineRule="auto"/>
        <w:jc w:val="both"/>
        <w:rPr>
          <w:rFonts w:ascii="Times New Roman" w:hAnsi="Times New Roman" w:cs="Times New Roman"/>
          <w:noProof/>
          <w:sz w:val="24"/>
        </w:rPr>
        <w:sectPr>
          <w:headerReference w:type="even" r:id="rId61"/>
          <w:headerReference w:type="default" r:id="rId62"/>
          <w:footerReference w:type="even" r:id="rId63"/>
          <w:footerReference w:type="default" r:id="rId64"/>
          <w:headerReference w:type="first" r:id="rId65"/>
          <w:footerReference w:type="first" r:id="rId66"/>
          <w:pgSz w:w="16839" w:h="11907" w:orient="landscape"/>
          <w:pgMar w:top="1417" w:right="1134" w:bottom="1417" w:left="1134" w:header="709" w:footer="709" w:gutter="0"/>
          <w:cols w:space="720"/>
          <w:docGrid w:linePitch="360"/>
        </w:sectPr>
      </w:pPr>
    </w:p>
    <w:p>
      <w:pPr>
        <w:pStyle w:val="Heading1"/>
        <w:rPr>
          <w:noProof/>
        </w:rPr>
      </w:pPr>
      <w:r>
        <w:rPr>
          <w:noProof/>
        </w:rPr>
        <w:t>Д. КОМПОНЕНТ 5: Крайбрежни и водни ресурси</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Този компонент има за цел подобряване на управлението на водните ресурси, прилагане на политика за адаптиране на крайбрежните зони с цел справяне с неблагоприятните последици от изменението на климата и засилване на изпълнението на морските стратегии и морските пространствени планове.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За да се подобри управлението на водните ресурси, Испания трябва да се справи с различни предизвикателства, като например идентифицирането на нови замърсители (напр. пластмасови микрочастици), съществуващия недостиг на инвестиции в планирането, приспособяването на крайбрежието към изменението на климата, контрола и управлението на публичната хидравлична област, морската и технологичната собственост и пречистването на водите, както и забавянето при внедряването на нови технологии и ИКТ технологии за управление на водите. За тази цел Испания подобрява ефективността на сектора. Испания се стреми също така да съгласува по-добре своето управление на водните ресурси с екологичните цели, като например целите, определени в Европейския зелен пакт, стратегията за биологичното разнообразие за 2030 г. и плана за действие на ЕС за нулево замърсяване. За тази цел се прилагат различни стратегии, като например цифровизацията на публичната администрация, за да има достъп до информация, включително качеството на водата и съответствието с екологичните потоци, осигуряването и подобряването на екологичната инфраструктура, безопасността на инфраструктурата или подобряването на състоянието на подземните води и възстановяването на водоносните хоризонти.</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Въздействието на ерозията и наводненията по крайбрежието се изостря от изменението на климата. Поради това този компонент на испанския план за възстановяване и устойчивост следва също така да прилага политика на адаптиране на испанското крайбрежие към неблагоприятните последици от изменението на климата. За да се противодейства на ерозията и да се намали рискът от наводнения, се въвеждат редица мерки за адаптиране, като например възстановяване на околната среда на влошени зони, подобряване на организирания и правилен достъп до публичната сухоземна морска област или разработване и прилагане на природосъобразни решения, наред с другото. Тази линия на действие ще създаде по-устойчива брегова линия спрямо последиците от изменението на климата и ще подготви по-добре туристическия сектор и други сектори, зависещи от състоянието на крайбрежните райони. Освен това по този начин допълнително ще се засили ролята на програмата „Коперник“, която е от решаващо значение за предотвратяването и оценката на щетите и въздействието на екстремните метеорологични явления.</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Като част от този компонент на испанския план за възстановяване и устойчивост Испания насърчава оптималното устойчиво развитие на морските сектори и опазва морската среда с цел постигане на добро екологично състояние чрез приемане на закон, транспониране на Рамковата директива за морска стратегия и засилване на нейното прилагане. </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Този компонент на испанския план за възстановяване и устойчивост допринася за насочването на свързаната с инвестициите икономическа политика към насърчаване на енергийната ефективност и използването на ресурсите (специфична за държавата препоръка № 3 от 2019 г.). Тя също така насочва инвестициите към екологичния и цифровия преход, по-специално чрез насърчаване на научните изследвания и иновациите, чистото и ефективно производство и използване на енергийни източници, енергийната инфраструктура, управлението на водите и отпадъците и устойчивия транспорт (специфична за държавата препоръка № 3 от 2020 г.). </w:t>
      </w:r>
    </w:p>
    <w:p>
      <w:pPr>
        <w:spacing w:before="120" w:after="120" w:line="240" w:lineRule="auto"/>
        <w:jc w:val="both"/>
        <w:rPr>
          <w:rFonts w:ascii="Times New Roman" w:hAnsi="Times New Roman" w:cs="Times New Roman"/>
          <w:noProof/>
          <w:sz w:val="24"/>
          <w:szCs w:val="24"/>
        </w:rPr>
      </w:pPr>
      <w:r>
        <w:rPr>
          <w:rFonts w:ascii="Times New Roman" w:hAnsi="Times New Roman"/>
          <w:noProof/>
          <w:color w:val="000000" w:themeColor="text1"/>
          <w:sz w:val="24"/>
          <w:szCs w:val="24"/>
        </w:rPr>
        <w:t>Очаква се, че нито една мярка в този компонент не вреди в значителна степен на екологичните цели по смисъла на член 17 от Регламент (ЕС) 2020/852, като се вземат предвид описанието на мерките и стъпките за смекчаване на последиците, определени в плана за възстановяване и устойчивост в съответствие с Техническите насоки за спазването на „принципа за ненанасяне на съществена вреда“ (2021/C58/01).</w:t>
      </w:r>
    </w:p>
    <w:p>
      <w:pPr>
        <w:keepNext/>
        <w:spacing w:before="120" w:after="120" w:line="240" w:lineRule="auto"/>
        <w:ind w:left="720"/>
        <w:jc w:val="both"/>
        <w:rPr>
          <w:rFonts w:ascii="Times New Roman" w:hAnsi="Times New Roman" w:cs="Times New Roman"/>
          <w:b/>
          <w:bCs/>
          <w:i/>
          <w:iCs/>
          <w:noProof/>
          <w:color w:val="4F81BD" w:themeColor="accent1"/>
          <w:sz w:val="24"/>
        </w:rPr>
      </w:pPr>
      <w:r>
        <w:rPr>
          <w:rFonts w:ascii="Times New Roman" w:hAnsi="Times New Roman"/>
          <w:b/>
          <w:bCs/>
          <w:noProof/>
          <w:sz w:val="24"/>
          <w:u w:val="single"/>
        </w:rPr>
        <w:t xml:space="preserve">Д.1. </w:t>
      </w:r>
      <w:r>
        <w:rPr>
          <w:rFonts w:ascii="Times New Roman" w:hAnsi="Times New Roman"/>
          <w:b/>
          <w:noProof/>
          <w:sz w:val="24"/>
          <w:u w:val="single"/>
        </w:rPr>
        <w:tab/>
      </w:r>
      <w:r>
        <w:rPr>
          <w:rFonts w:ascii="Times New Roman" w:hAnsi="Times New Roman"/>
          <w:b/>
          <w:bCs/>
          <w:noProof/>
          <w:sz w:val="24"/>
          <w:u w:val="single"/>
        </w:rPr>
        <w:t>Описание на реформите и инвестициите за безвъзмездна финансова подкрепа</w:t>
      </w:r>
    </w:p>
    <w:p>
      <w:pPr>
        <w:keepNext/>
        <w:spacing w:before="120" w:after="120" w:line="240" w:lineRule="auto"/>
        <w:jc w:val="both"/>
        <w:rPr>
          <w:rFonts w:ascii="Times New Roman" w:hAnsi="Times New Roman" w:cs="Times New Roman"/>
          <w:noProof/>
          <w:sz w:val="24"/>
          <w:szCs w:val="24"/>
          <w:u w:val="single"/>
        </w:rPr>
      </w:pPr>
      <w:r>
        <w:rPr>
          <w:rFonts w:ascii="Times New Roman" w:hAnsi="Times New Roman"/>
          <w:noProof/>
          <w:sz w:val="24"/>
          <w:szCs w:val="24"/>
          <w:u w:val="single"/>
        </w:rPr>
        <w:t>Реформа 1 (C5.R1) – Водни планове и стратегии и регулаторни промени</w:t>
      </w:r>
    </w:p>
    <w:p>
      <w:pPr>
        <w:keepNext/>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Реформата се отнася до преразглеждането и актуализирането на Закона за водите, неговите разпоредби и друго вторично законодателство, за да се гарантира правна рамка, благоприятна за насърчаване на инвестициите. Реформата включва приемането и преразглеждането на редица планове и стратегии, които формират основата на инвестициите и управлението на водите, които укрепват и увеличават инвестициите. Тези регулаторни промени следва да бъдат приведени в съответствие с Европейския зелен пакт.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Тази реформа разглежда редица въпроси, свързани с всички видове води, като например подобрена финансова рамка за повторното използване на отпадъчните води, стратегия за водите за екологичен преход, приемане на технически стандарти за безопасността на язовирите и техните водоизточници, приемане на национален план за пречистване, саниране, ефективност, икономии и повторно използване на водата (прилагане на пречистване, канализация, ефективност, икономии, повторно използване и безопасност на инфраструктурата – план DSEAR), трети цикъл на плановете за управление на речните басейни и втори цикъл на плановете за управление на риска от наводнения. </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Изпълнението на мярката приключва на 30 юни 2023 г. </w:t>
      </w:r>
    </w:p>
    <w:p>
      <w:pPr>
        <w:spacing w:before="120" w:after="120" w:line="240" w:lineRule="auto"/>
        <w:jc w:val="both"/>
        <w:rPr>
          <w:rFonts w:ascii="Times New Roman" w:hAnsi="Times New Roman" w:cs="Times New Roman"/>
          <w:noProof/>
          <w:sz w:val="24"/>
          <w:u w:val="single"/>
        </w:rPr>
      </w:pPr>
      <w:r>
        <w:rPr>
          <w:rFonts w:ascii="Times New Roman" w:hAnsi="Times New Roman"/>
          <w:noProof/>
          <w:sz w:val="24"/>
          <w:u w:val="single"/>
        </w:rPr>
        <w:t>Инвестиция 1 (C5.I1) – Прилагане на действия за третиране, канализация, ефективност, икономии, повторна употреба и безопасност на инфраструктурата (DESEAR)</w:t>
      </w:r>
    </w:p>
    <w:p>
      <w:pPr>
        <w:spacing w:before="120" w:after="120" w:line="240" w:lineRule="auto"/>
        <w:jc w:val="both"/>
        <w:rPr>
          <w:rFonts w:ascii="Times New Roman" w:hAnsi="Times New Roman" w:cs="Times New Roman"/>
          <w:noProof/>
          <w:sz w:val="24"/>
        </w:rPr>
      </w:pPr>
      <w:r>
        <w:rPr>
          <w:rFonts w:ascii="Times New Roman" w:hAnsi="Times New Roman"/>
          <w:noProof/>
          <w:sz w:val="24"/>
        </w:rPr>
        <w:t>С тази инвестиция се извършват следните действия:</w:t>
      </w:r>
    </w:p>
    <w:p>
      <w:pPr>
        <w:numPr>
          <w:ilvl w:val="0"/>
          <w:numId w:val="47"/>
        </w:numPr>
        <w:spacing w:before="120" w:after="160" w:line="240" w:lineRule="auto"/>
        <w:contextualSpacing/>
        <w:jc w:val="both"/>
        <w:rPr>
          <w:rFonts w:ascii="Times New Roman" w:hAnsi="Times New Roman" w:cs="Times New Roman"/>
          <w:noProof/>
          <w:sz w:val="24"/>
          <w:szCs w:val="24"/>
        </w:rPr>
      </w:pPr>
      <w:r>
        <w:rPr>
          <w:rFonts w:ascii="Times New Roman" w:hAnsi="Times New Roman"/>
          <w:noProof/>
          <w:sz w:val="24"/>
          <w:szCs w:val="24"/>
        </w:rPr>
        <w:t xml:space="preserve">Прилагане на мерки за пречистване, канализация и повторно използване на водата. Целта на тази линия на действие е да се подобри събирането и пречистването на градските отпадъчни води. В някои случаи действията трябва да използват повторно градските отпадъчни води, като по този начин се намалява настоящият натиск за водочерпене. С новите мерки за пречистване се постига нулево нетно потребление на енергия от цялата система за пречистване на отпадъчни води. Инфраструктурата се разглежда поне за нови или модернизирани инфраструктури за пречистване на отпадъчни води, осигуряващи допълнителен капацитет за пречистване на отпадъчни води. Пречистването ще бъде новоопределено или модернизирано до ниво, най-малкото в съответствие с Директивата за пречистването на градските отпадъчни води (Директива 91/271/ЕИО). Подобряването и обновяването на съществуващата инфраструктура води до намаляване на средното потребление на енергия с най-малко 10 %. Тези икономии се постигат чрез прилагането на мерки за енергийна ефективност (когенерация, оползотворяване на енергия и топлина, фотоволтаични панели, светодиодно осветление и др.) при изготвянето на проектите и чрез въвеждане на клаузи и критерии за енергийна ефективност в поканите за представяне на проекти и дейности. </w:t>
      </w:r>
    </w:p>
    <w:p>
      <w:pPr>
        <w:numPr>
          <w:ilvl w:val="0"/>
          <w:numId w:val="47"/>
        </w:numPr>
        <w:spacing w:before="120" w:after="160" w:line="240" w:lineRule="auto"/>
        <w:contextualSpacing/>
        <w:jc w:val="both"/>
        <w:rPr>
          <w:rFonts w:ascii="Times New Roman" w:hAnsi="Times New Roman" w:cs="Times New Roman"/>
          <w:noProof/>
          <w:sz w:val="24"/>
          <w:szCs w:val="24"/>
        </w:rPr>
      </w:pPr>
      <w:r>
        <w:rPr>
          <w:rFonts w:ascii="Times New Roman" w:hAnsi="Times New Roman"/>
          <w:noProof/>
          <w:sz w:val="24"/>
          <w:szCs w:val="24"/>
        </w:rPr>
        <w:t xml:space="preserve">Действия за подобряване на ефективността и намаляване на загубите на вода. С действията се изпълнява схема за субсидиране за подобряване на ефективността на водоснабдителните мрежи на средните и малките общини, като се дава възможност на общините или публичните органи, отговарящи за водоснабдяването, да го подобрят чрез намаляване на загубите в разпределителните мрежи и действия за ремонт и подобряване на съоръженията за съхранение на вода, както и на съоръженията в средните и малките общини. Обитателите, обслужвани от тези инфраструктури, съответстват на тези, обслужвани от водоразпределителната система. </w:t>
      </w:r>
    </w:p>
    <w:p>
      <w:pPr>
        <w:numPr>
          <w:ilvl w:val="0"/>
          <w:numId w:val="47"/>
        </w:numPr>
        <w:spacing w:before="120" w:after="120" w:line="240" w:lineRule="auto"/>
        <w:ind w:left="357" w:hanging="357"/>
        <w:jc w:val="both"/>
        <w:rPr>
          <w:rFonts w:ascii="Times New Roman" w:hAnsi="Times New Roman" w:cs="Times New Roman"/>
          <w:noProof/>
          <w:sz w:val="24"/>
        </w:rPr>
      </w:pPr>
      <w:r>
        <w:rPr>
          <w:rFonts w:ascii="Times New Roman" w:hAnsi="Times New Roman"/>
          <w:noProof/>
          <w:sz w:val="24"/>
          <w:szCs w:val="24"/>
        </w:rPr>
        <w:t>Инвестиции за подобряване на безопасността на язовирите и резервоарите. Това са действия, които гарантират безопасността на съществуващите големи държавни язовири чрез изпълнение на съответните планове за действие при извънредни ситуации и други допълнителни действия. Това не води до изграждане на нови язовири или разширяване на съществуващи язовири.</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Инвестицията приключва не по-късно от 30 септември 2023 г. </w:t>
      </w:r>
    </w:p>
    <w:p>
      <w:pPr>
        <w:spacing w:before="120" w:after="120" w:line="240" w:lineRule="auto"/>
        <w:jc w:val="both"/>
        <w:rPr>
          <w:rFonts w:ascii="Times New Roman" w:hAnsi="Times New Roman" w:cs="Times New Roman"/>
          <w:noProof/>
          <w:sz w:val="24"/>
          <w:u w:val="single"/>
        </w:rPr>
      </w:pPr>
      <w:r>
        <w:rPr>
          <w:rFonts w:ascii="Times New Roman" w:hAnsi="Times New Roman"/>
          <w:noProof/>
          <w:sz w:val="24"/>
          <w:u w:val="single"/>
        </w:rPr>
        <w:t>Инвестиция 2 (C5.I2) – Мониторинг и възстановяване на речните екосистеми, възстановяване на водоносния хоризонт и смекчаване на риска от наводнения</w:t>
      </w:r>
    </w:p>
    <w:p>
      <w:pPr>
        <w:spacing w:before="120" w:after="120" w:line="240" w:lineRule="auto"/>
        <w:jc w:val="both"/>
        <w:rPr>
          <w:rFonts w:ascii="Times New Roman" w:hAnsi="Times New Roman" w:cs="Times New Roman"/>
          <w:noProof/>
          <w:sz w:val="24"/>
        </w:rPr>
      </w:pPr>
      <w:r>
        <w:rPr>
          <w:rFonts w:ascii="Times New Roman" w:hAnsi="Times New Roman"/>
          <w:noProof/>
          <w:sz w:val="24"/>
        </w:rPr>
        <w:t>Целите на тази инвестиция са:</w:t>
      </w:r>
    </w:p>
    <w:p>
      <w:pPr>
        <w:numPr>
          <w:ilvl w:val="0"/>
          <w:numId w:val="48"/>
        </w:numPr>
        <w:spacing w:before="120" w:after="160" w:line="240" w:lineRule="auto"/>
        <w:contextualSpacing/>
        <w:jc w:val="both"/>
        <w:rPr>
          <w:rFonts w:ascii="Times New Roman" w:hAnsi="Times New Roman" w:cs="Times New Roman"/>
          <w:noProof/>
          <w:sz w:val="24"/>
          <w:szCs w:val="24"/>
        </w:rPr>
      </w:pPr>
      <w:r>
        <w:rPr>
          <w:rFonts w:ascii="Times New Roman" w:hAnsi="Times New Roman"/>
          <w:noProof/>
          <w:sz w:val="24"/>
          <w:szCs w:val="24"/>
        </w:rPr>
        <w:t>Наблюдение и възстановяване на речните екосистеми и естествените речни резервати. Този бюджетен ред обхваща редица конкретни действия, насочени към възстановяване на речното пространство, разширяване на мрежите за мониторинг и подобряване на описите на хидроморфологичния натиск, който го застрашава.</w:t>
      </w:r>
    </w:p>
    <w:p>
      <w:pPr>
        <w:numPr>
          <w:ilvl w:val="0"/>
          <w:numId w:val="48"/>
        </w:numPr>
        <w:spacing w:before="120" w:after="160" w:line="240" w:lineRule="auto"/>
        <w:contextualSpacing/>
        <w:jc w:val="both"/>
        <w:rPr>
          <w:rFonts w:ascii="Times New Roman" w:hAnsi="Times New Roman" w:cs="Times New Roman"/>
          <w:noProof/>
          <w:sz w:val="24"/>
          <w:szCs w:val="24"/>
        </w:rPr>
      </w:pPr>
      <w:r>
        <w:rPr>
          <w:rFonts w:ascii="Times New Roman" w:hAnsi="Times New Roman"/>
          <w:noProof/>
          <w:sz w:val="24"/>
          <w:szCs w:val="24"/>
        </w:rPr>
        <w:t>Установяване на действия за намаляване на риска от наводнения. Тази линия на действие включва вече съществуващи планове за управление на риска от наводнения, включително превантивни мерки за пространственото и градското планиране, разработването на технически насоки за намаляване на уязвимостта на изложените на риск райони в зоните на наводнения и за насърчаване на адаптирането към риска от наводнения в различните икономически сектори. Освен това общините разглеждат прилагането на мерки за възстановяване на реките в градска среда, въвеждат устойчиви отводнителни системи и подобряват пропускливостта на градската среда и връзката им с екологичните ценности на реките в градските райони чрез разработване на технически насоки и цели на водното планиране.</w:t>
      </w:r>
    </w:p>
    <w:p>
      <w:pPr>
        <w:numPr>
          <w:ilvl w:val="0"/>
          <w:numId w:val="48"/>
        </w:numPr>
        <w:spacing w:before="120" w:after="120" w:line="240" w:lineRule="auto"/>
        <w:ind w:left="357" w:hanging="357"/>
        <w:jc w:val="both"/>
        <w:rPr>
          <w:rFonts w:ascii="Times New Roman" w:hAnsi="Times New Roman" w:cs="Times New Roman"/>
          <w:noProof/>
          <w:sz w:val="24"/>
        </w:rPr>
      </w:pPr>
      <w:r>
        <w:rPr>
          <w:rFonts w:ascii="Times New Roman" w:hAnsi="Times New Roman"/>
          <w:noProof/>
          <w:sz w:val="24"/>
          <w:szCs w:val="24"/>
        </w:rPr>
        <w:t xml:space="preserve">Приемане на мерки за намаляване на водочерпенето на подземни води чрез използване на алтернативни ресурси (възстановяване на водоносния хоризонт). Тези мерки намаляват водочерпенето на някои подземни водни обекти – по-специално тези, които застрашават района на </w:t>
      </w:r>
      <w:r>
        <w:rPr>
          <w:rFonts w:ascii="Times New Roman" w:hAnsi="Times New Roman"/>
          <w:i/>
          <w:noProof/>
          <w:sz w:val="24"/>
          <w:szCs w:val="24"/>
        </w:rPr>
        <w:t>Doñana</w:t>
      </w:r>
      <w:r>
        <w:rPr>
          <w:rFonts w:ascii="Times New Roman" w:hAnsi="Times New Roman"/>
          <w:noProof/>
          <w:sz w:val="24"/>
          <w:szCs w:val="24"/>
        </w:rPr>
        <w:t xml:space="preserve"> и някои водоносни хоризонти в югоизточната част на Испания – и разширяват пиезометричните мрежи за мониторинг.</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Тази инвестиция приключва до 31 декември 2023 г. </w:t>
      </w:r>
    </w:p>
    <w:p>
      <w:pPr>
        <w:spacing w:before="120" w:after="120" w:line="240" w:lineRule="auto"/>
        <w:jc w:val="both"/>
        <w:rPr>
          <w:rFonts w:ascii="Times New Roman" w:hAnsi="Times New Roman" w:cs="Times New Roman"/>
          <w:noProof/>
          <w:sz w:val="24"/>
          <w:u w:val="single"/>
        </w:rPr>
      </w:pPr>
      <w:r>
        <w:rPr>
          <w:rFonts w:ascii="Times New Roman" w:hAnsi="Times New Roman"/>
          <w:noProof/>
          <w:sz w:val="24"/>
          <w:u w:val="single"/>
        </w:rPr>
        <w:t>Инвестиция 3 (C5.I3) – Цифров преход във водния сектор (цифрово правоприлагане в областта на околната среда)</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Цифровият преход може да играе решаваща роля за подобряване на ефективността на водния сектор. За да се подобри цифровизацията на управлението на водите, в тази инвестиция трябва да има три направления на действие: </w:t>
      </w:r>
    </w:p>
    <w:p>
      <w:pPr>
        <w:numPr>
          <w:ilvl w:val="0"/>
          <w:numId w:val="49"/>
        </w:numPr>
        <w:spacing w:before="120" w:after="160" w:line="240" w:lineRule="auto"/>
        <w:contextualSpacing/>
        <w:jc w:val="both"/>
        <w:rPr>
          <w:rFonts w:ascii="Times New Roman" w:hAnsi="Times New Roman" w:cs="Times New Roman"/>
          <w:noProof/>
          <w:sz w:val="24"/>
          <w:szCs w:val="24"/>
        </w:rPr>
      </w:pPr>
      <w:r>
        <w:rPr>
          <w:rFonts w:ascii="Times New Roman" w:hAnsi="Times New Roman"/>
          <w:noProof/>
          <w:sz w:val="24"/>
          <w:szCs w:val="24"/>
        </w:rPr>
        <w:t xml:space="preserve">Подобряване на знанията и използването на водните ресурси вследствие на действия като подобряване на цифровите системи за мониторинг на водите, засилване на мониторинга и контрола на публичните водни ресурси и инфраструктура и прилагане на ефективни системи за прогнозиране и сигнализиране с цел намаляване на въздействието на наводненията. </w:t>
      </w:r>
    </w:p>
    <w:p>
      <w:pPr>
        <w:numPr>
          <w:ilvl w:val="0"/>
          <w:numId w:val="49"/>
        </w:numPr>
        <w:spacing w:before="120" w:after="160" w:line="240" w:lineRule="auto"/>
        <w:contextualSpacing/>
        <w:jc w:val="both"/>
        <w:rPr>
          <w:rFonts w:ascii="Times New Roman" w:hAnsi="Times New Roman" w:cs="Times New Roman"/>
          <w:noProof/>
          <w:sz w:val="24"/>
          <w:szCs w:val="24"/>
        </w:rPr>
      </w:pPr>
      <w:r>
        <w:rPr>
          <w:rFonts w:ascii="Times New Roman" w:hAnsi="Times New Roman"/>
          <w:noProof/>
          <w:sz w:val="24"/>
          <w:szCs w:val="24"/>
        </w:rPr>
        <w:t xml:space="preserve">Действия за мониторинг на валежите в речните басейни и крайбрежните райони. Тази линия на действие насърчава обновяването на мрежата от метеорологични радари и допълването ѝ с нови късообхватни съоръжения, като например обновяването и подобряването на автоматични метеорологични станции за калибриране на радара в реално време и проектирането, разработването и изграждането на национален радарен център. </w:t>
      </w:r>
    </w:p>
    <w:p>
      <w:pPr>
        <w:numPr>
          <w:ilvl w:val="0"/>
          <w:numId w:val="49"/>
        </w:numPr>
        <w:spacing w:before="120" w:after="120" w:line="240" w:lineRule="auto"/>
        <w:ind w:left="357" w:hanging="357"/>
        <w:jc w:val="both"/>
        <w:rPr>
          <w:rFonts w:ascii="Times New Roman" w:hAnsi="Times New Roman" w:cs="Times New Roman"/>
          <w:noProof/>
          <w:sz w:val="24"/>
          <w:szCs w:val="24"/>
        </w:rPr>
      </w:pPr>
      <w:r>
        <w:rPr>
          <w:rFonts w:ascii="Times New Roman" w:hAnsi="Times New Roman"/>
          <w:noProof/>
          <w:sz w:val="24"/>
          <w:szCs w:val="24"/>
        </w:rPr>
        <w:t xml:space="preserve">Подобрено метеорологично наблюдение и наблюдение и предотвратяване на климатичните рискове, което включва нова интегрирана система за метеорологична помощ, инструменти за метеорологично наблюдение за ранно предупреждение, включително прилагането на интегрираната глобална система за наблюдение, създаването на възлагане на външни изпълнители, автоматичен контрол на качеството и етикетиране на метеорологичните данни чрез използване на техники за изкуствен интелект, дълбочината на данните от NOSQL за ефективното прилагане на данни въз основа на обработката на големи обеми от данни. </w:t>
      </w:r>
    </w:p>
    <w:p>
      <w:pPr>
        <w:spacing w:before="120" w:after="120" w:line="240" w:lineRule="auto"/>
        <w:jc w:val="both"/>
        <w:rPr>
          <w:rFonts w:ascii="Times New Roman" w:hAnsi="Times New Roman" w:cs="Times New Roman"/>
          <w:noProof/>
          <w:sz w:val="24"/>
        </w:rPr>
      </w:pPr>
      <w:r>
        <w:rPr>
          <w:rFonts w:ascii="Times New Roman" w:hAnsi="Times New Roman"/>
          <w:noProof/>
          <w:sz w:val="24"/>
        </w:rPr>
        <w:t>Инвестицията е насочена към въвеждането в експлоатация на 26 инструмента или обновена инфраструктура за подобряване на знанията и използването на водните ресурси, както и за мониторинг на валежите и други метеорологични данни с цел предотвратяване на климатичните рискове.</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Инвестицията приключва не по-късно от 31 декември 2023 г. </w:t>
      </w:r>
    </w:p>
    <w:p>
      <w:pPr>
        <w:keepNext/>
        <w:spacing w:before="120" w:after="120" w:line="240" w:lineRule="auto"/>
        <w:jc w:val="both"/>
        <w:rPr>
          <w:rFonts w:ascii="Times New Roman" w:hAnsi="Times New Roman" w:cs="Times New Roman"/>
          <w:noProof/>
          <w:sz w:val="24"/>
          <w:u w:val="single"/>
        </w:rPr>
      </w:pPr>
      <w:r>
        <w:rPr>
          <w:rFonts w:ascii="Times New Roman" w:hAnsi="Times New Roman"/>
          <w:noProof/>
          <w:sz w:val="24"/>
          <w:u w:val="single"/>
        </w:rPr>
        <w:t>Инвестиция 4 (C5.I4) – Адаптиране на бреговата ивица към изменението на климата и прилагане на морски стратегии и планове за морско пространствено планиране</w:t>
      </w:r>
    </w:p>
    <w:p>
      <w:pPr>
        <w:keepNext/>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Изменението на климата има и се очаква да окаже силно неблагоприятно въздействие върху испанското крайбрежие. С тези инвестиции се изпълнява Стратегията за адаптиране на крайбрежието към последиците от изменението на климата, с цел да се повиши устойчивостта на испанското крайбрежие спрямо изменението на климата и променливостта на климата, както и да се включи адаптирането към изменението на климата в планирането и управлението на испанското крайбрежие. Това включва създаването на ескортиращи, изкуствени плажове, плаващи повърхности, управление на седиментите, решения, основани на природата, възстановяване на плажната и дюновата система, инфраструктура за защита на бреговете, изграждане на интелигентни мрежи за дистанционно наблюдение на бреговата ерозия или действия с подобен ефект. </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Тази инвестиция трябва да опазва и възстановява крайбрежните екосистеми или влошените зони. Това се постига чрез различни действия, като например: </w:t>
      </w:r>
      <w:r>
        <w:rPr>
          <w:rFonts w:ascii="Times New Roman" w:hAnsi="Times New Roman"/>
          <w:noProof/>
          <w:sz w:val="24"/>
          <w:lang w:val="en-US"/>
        </w:rPr>
        <w:t>i</w:t>
      </w:r>
      <w:r>
        <w:rPr>
          <w:rFonts w:ascii="Times New Roman" w:hAnsi="Times New Roman"/>
          <w:noProof/>
          <w:sz w:val="24"/>
        </w:rPr>
        <w:t xml:space="preserve">) преместване на инсталациите, засегнати от връщане назад; ii) определяне на границите на крайбрежната ивица, която е държавна собственост; iii) възстановяване на неправомерно или неправилно окупирани крайбрежни земи, които са държавна собственост; iv) оценка и управление на риска или подобни действия; </w:t>
      </w:r>
      <w:r>
        <w:rPr>
          <w:rFonts w:ascii="Times New Roman" w:hAnsi="Times New Roman"/>
          <w:noProof/>
          <w:sz w:val="24"/>
          <w:lang w:val="en-US"/>
        </w:rPr>
        <w:t>v</w:t>
      </w:r>
      <w:r>
        <w:rPr>
          <w:rFonts w:ascii="Times New Roman" w:hAnsi="Times New Roman"/>
          <w:noProof/>
          <w:sz w:val="24"/>
        </w:rPr>
        <w:t xml:space="preserve">) възстановяване на околната среда на влошени крайбрежни зони и екосистеми, опазване и управление на бреговата ивица; и vi) действия с подобен ефект. </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Мярката подобрява също така организирания и правилен достъп до публичната сухоземна морска област чрез възстановяване на земята с цел осигуряване на достъп до публичната собственост, планиране, управление и възстановяване на достъпа или действия с подобен ефект. Инвестицията е насочена към изпълнението на политиките за стратегическо морско планиране. Това се осъществява чрез морско пространствено планиране, морски стратегии, научни становища относно океаните и климата и разработването на географско реферирано уеб приложение за морските потребители. </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Тази инвестиция приключва до 31 декември 2023 г. </w:t>
      </w:r>
    </w:p>
    <w:p>
      <w:pPr>
        <w:spacing w:before="120" w:after="120" w:line="240" w:lineRule="auto"/>
        <w:ind w:left="720"/>
        <w:jc w:val="both"/>
        <w:rPr>
          <w:rFonts w:ascii="Times New Roman" w:hAnsi="Times New Roman" w:cs="Times New Roman"/>
          <w:b/>
          <w:bCs/>
          <w:noProof/>
          <w:sz w:val="24"/>
          <w:u w:val="single"/>
        </w:rPr>
      </w:pPr>
      <w:r>
        <w:rPr>
          <w:rFonts w:ascii="Times New Roman" w:hAnsi="Times New Roman"/>
          <w:b/>
          <w:bCs/>
          <w:noProof/>
          <w:sz w:val="24"/>
          <w:u w:val="single"/>
        </w:rPr>
        <w:t xml:space="preserve">Д.2. </w:t>
      </w:r>
      <w:r>
        <w:rPr>
          <w:rFonts w:ascii="Times New Roman" w:hAnsi="Times New Roman"/>
          <w:b/>
          <w:noProof/>
          <w:sz w:val="24"/>
          <w:u w:val="single"/>
        </w:rPr>
        <w:tab/>
      </w:r>
      <w:r>
        <w:rPr>
          <w:rFonts w:ascii="Times New Roman" w:hAnsi="Times New Roman"/>
          <w:b/>
          <w:bCs/>
          <w:noProof/>
          <w:sz w:val="24"/>
          <w:u w:val="single"/>
        </w:rPr>
        <w:t>Ключови етапи, цели, показатели и график за мониторинг и изпълнение на безвъзмездната финансова подкрепа</w:t>
      </w:r>
    </w:p>
    <w:p>
      <w:pPr>
        <w:spacing w:before="120" w:after="120" w:line="240" w:lineRule="auto"/>
        <w:jc w:val="both"/>
        <w:rPr>
          <w:rFonts w:ascii="Times New Roman" w:hAnsi="Times New Roman" w:cs="Times New Roman"/>
          <w:noProof/>
          <w:sz w:val="24"/>
        </w:rPr>
      </w:pPr>
      <w:r>
        <w:rPr>
          <w:rFonts w:ascii="Times New Roman" w:hAnsi="Times New Roman"/>
          <w:i/>
          <w:iCs/>
          <w:noProof/>
          <w:color w:val="000000"/>
          <w:sz w:val="24"/>
        </w:rPr>
        <w:t>Вж. таблицата по-долу.</w:t>
      </w:r>
      <w:r>
        <w:rPr>
          <w:rFonts w:ascii="Times New Roman" w:hAnsi="Times New Roman"/>
          <w:noProof/>
          <w:color w:val="1F497D"/>
          <w:sz w:val="24"/>
        </w:rPr>
        <w:t xml:space="preserve"> </w:t>
      </w:r>
      <w:r>
        <w:rPr>
          <w:rFonts w:ascii="Times New Roman" w:hAnsi="Times New Roman"/>
          <w:i/>
          <w:iCs/>
          <w:noProof/>
          <w:color w:val="000000"/>
          <w:sz w:val="24"/>
        </w:rPr>
        <w:t>Датата на базовата линия за всички показатели е 1 февруари 2020 г., освен ако не е посочено друго в описанието на действието. Сумите в таблицата не включват ДДС.</w:t>
      </w:r>
    </w:p>
    <w:p>
      <w:pPr>
        <w:spacing w:before="120" w:after="120" w:line="240" w:lineRule="auto"/>
        <w:ind w:left="709"/>
        <w:jc w:val="both"/>
        <w:rPr>
          <w:rFonts w:ascii="Times New Roman" w:hAnsi="Times New Roman" w:cs="Times New Roman"/>
          <w:noProof/>
          <w:sz w:val="24"/>
          <w:lang w:val="en-IE"/>
        </w:rPr>
        <w:sectPr>
          <w:headerReference w:type="even" r:id="rId67"/>
          <w:headerReference w:type="default" r:id="rId68"/>
          <w:footerReference w:type="even" r:id="rId69"/>
          <w:footerReference w:type="default" r:id="rId70"/>
          <w:headerReference w:type="first" r:id="rId71"/>
          <w:footerReference w:type="first" r:id="rId72"/>
          <w:pgSz w:w="11907" w:h="16839"/>
          <w:pgMar w:top="1134" w:right="1417" w:bottom="1134" w:left="1417" w:header="709" w:footer="709" w:gutter="0"/>
          <w:cols w:space="720"/>
          <w:docGrid w:linePitch="360"/>
        </w:sectPr>
      </w:pPr>
    </w:p>
    <w:tbl>
      <w:tblPr>
        <w:tblW w:w="15310"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09"/>
        <w:gridCol w:w="851"/>
        <w:gridCol w:w="850"/>
        <w:gridCol w:w="2502"/>
        <w:gridCol w:w="1170"/>
        <w:gridCol w:w="1080"/>
        <w:gridCol w:w="630"/>
        <w:gridCol w:w="430"/>
        <w:gridCol w:w="290"/>
        <w:gridCol w:w="702"/>
        <w:gridCol w:w="6096"/>
      </w:tblGrid>
      <w:tr>
        <w:trPr>
          <w:trHeight w:val="309"/>
          <w:tblHeader/>
        </w:trPr>
        <w:tc>
          <w:tcPr>
            <w:tcW w:w="709"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themeColor="text1"/>
                <w:sz w:val="18"/>
                <w:szCs w:val="18"/>
              </w:rPr>
            </w:pPr>
            <w:r>
              <w:rPr>
                <w:rFonts w:ascii="Times New Roman" w:hAnsi="Times New Roman"/>
                <w:b/>
                <w:bCs/>
                <w:noProof/>
                <w:color w:val="000000"/>
                <w:sz w:val="18"/>
                <w:szCs w:val="18"/>
              </w:rPr>
              <w:t>Номер</w:t>
            </w:r>
          </w:p>
        </w:tc>
        <w:tc>
          <w:tcPr>
            <w:tcW w:w="851"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sz w:val="18"/>
                <w:szCs w:val="18"/>
              </w:rPr>
            </w:pPr>
            <w:r>
              <w:rPr>
                <w:rFonts w:ascii="Times New Roman" w:hAnsi="Times New Roman"/>
                <w:b/>
                <w:bCs/>
                <w:noProof/>
                <w:color w:val="000000"/>
                <w:sz w:val="18"/>
                <w:szCs w:val="18"/>
              </w:rPr>
              <w:t>Мярка</w:t>
            </w:r>
          </w:p>
        </w:tc>
        <w:tc>
          <w:tcPr>
            <w:tcW w:w="850"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sz w:val="18"/>
                <w:szCs w:val="18"/>
              </w:rPr>
            </w:pPr>
            <w:r>
              <w:rPr>
                <w:rFonts w:ascii="Times New Roman" w:hAnsi="Times New Roman"/>
                <w:b/>
                <w:bCs/>
                <w:noProof/>
                <w:color w:val="000000"/>
                <w:sz w:val="18"/>
                <w:szCs w:val="18"/>
              </w:rPr>
              <w:t>Ключов етап /Цел</w:t>
            </w:r>
          </w:p>
        </w:tc>
        <w:tc>
          <w:tcPr>
            <w:tcW w:w="2502"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sz w:val="18"/>
                <w:szCs w:val="18"/>
              </w:rPr>
            </w:pPr>
            <w:r>
              <w:rPr>
                <w:rFonts w:ascii="Times New Roman" w:hAnsi="Times New Roman"/>
                <w:b/>
                <w:bCs/>
                <w:noProof/>
                <w:color w:val="000000"/>
                <w:sz w:val="18"/>
                <w:szCs w:val="18"/>
              </w:rPr>
              <w:t>Наименование</w:t>
            </w:r>
          </w:p>
        </w:tc>
        <w:tc>
          <w:tcPr>
            <w:tcW w:w="1170"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sz w:val="18"/>
                <w:szCs w:val="18"/>
              </w:rPr>
            </w:pPr>
            <w:r>
              <w:rPr>
                <w:rFonts w:ascii="Times New Roman" w:hAnsi="Times New Roman"/>
                <w:b/>
                <w:bCs/>
                <w:noProof/>
                <w:color w:val="000000"/>
                <w:sz w:val="18"/>
                <w:szCs w:val="18"/>
              </w:rPr>
              <w:t>Качествени показатели за ключовите етапи</w:t>
            </w:r>
          </w:p>
        </w:tc>
        <w:tc>
          <w:tcPr>
            <w:tcW w:w="2140" w:type="dxa"/>
            <w:gridSpan w:val="3"/>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sz w:val="18"/>
                <w:szCs w:val="18"/>
              </w:rPr>
            </w:pPr>
            <w:r>
              <w:rPr>
                <w:rFonts w:ascii="Times New Roman" w:hAnsi="Times New Roman"/>
                <w:b/>
                <w:bCs/>
                <w:noProof/>
                <w:color w:val="000000"/>
                <w:sz w:val="18"/>
                <w:szCs w:val="18"/>
              </w:rPr>
              <w:t>Количествени показатели за целите</w:t>
            </w:r>
          </w:p>
        </w:tc>
        <w:tc>
          <w:tcPr>
            <w:tcW w:w="992" w:type="dxa"/>
            <w:gridSpan w:val="2"/>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sz w:val="18"/>
                <w:szCs w:val="18"/>
              </w:rPr>
            </w:pPr>
            <w:r>
              <w:rPr>
                <w:rFonts w:ascii="Times New Roman" w:hAnsi="Times New Roman"/>
                <w:b/>
                <w:bCs/>
                <w:noProof/>
                <w:color w:val="000000"/>
                <w:sz w:val="18"/>
                <w:szCs w:val="18"/>
              </w:rPr>
              <w:t>Време</w:t>
            </w:r>
          </w:p>
        </w:tc>
        <w:tc>
          <w:tcPr>
            <w:tcW w:w="6096"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sz w:val="18"/>
                <w:szCs w:val="18"/>
              </w:rPr>
            </w:pPr>
            <w:r>
              <w:rPr>
                <w:rFonts w:ascii="Times New Roman" w:hAnsi="Times New Roman"/>
                <w:b/>
                <w:bCs/>
                <w:noProof/>
                <w:sz w:val="18"/>
                <w:szCs w:val="18"/>
              </w:rPr>
              <w:t>Описание на всеки ключов етап и всяка цел</w:t>
            </w:r>
          </w:p>
        </w:tc>
      </w:tr>
      <w:tr>
        <w:trPr>
          <w:trHeight w:val="309"/>
          <w:tblHeader/>
        </w:trPr>
        <w:tc>
          <w:tcPr>
            <w:tcW w:w="709"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851"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850"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2502" w:type="dxa"/>
            <w:tcBorders>
              <w:top w:val="nil"/>
            </w:tcBorders>
            <w:shd w:val="clear" w:color="auto" w:fill="C6D9F1" w:themeFill="text2" w:themeFillTint="33"/>
            <w:noWrap/>
          </w:tcPr>
          <w:p>
            <w:pPr>
              <w:spacing w:after="0" w:line="240" w:lineRule="auto"/>
              <w:rPr>
                <w:rFonts w:ascii="Times New Roman" w:hAnsi="Times New Roman" w:cs="Times New Roman"/>
                <w:b/>
                <w:noProof/>
                <w:color w:val="000000"/>
                <w:sz w:val="18"/>
                <w:szCs w:val="18"/>
              </w:rPr>
            </w:pPr>
          </w:p>
        </w:tc>
        <w:tc>
          <w:tcPr>
            <w:tcW w:w="1170"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1080" w:type="dxa"/>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sz w:val="18"/>
                <w:szCs w:val="18"/>
              </w:rPr>
            </w:pPr>
            <w:r>
              <w:rPr>
                <w:rFonts w:ascii="Times New Roman" w:hAnsi="Times New Roman"/>
                <w:b/>
                <w:bCs/>
                <w:noProof/>
                <w:color w:val="000000"/>
                <w:sz w:val="18"/>
                <w:szCs w:val="18"/>
              </w:rPr>
              <w:t>Мерна единица</w:t>
            </w:r>
          </w:p>
        </w:tc>
        <w:tc>
          <w:tcPr>
            <w:tcW w:w="630" w:type="dxa"/>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sz w:val="18"/>
                <w:szCs w:val="18"/>
              </w:rPr>
            </w:pPr>
            <w:r>
              <w:rPr>
                <w:rFonts w:ascii="Times New Roman" w:hAnsi="Times New Roman"/>
                <w:b/>
                <w:bCs/>
                <w:noProof/>
                <w:color w:val="000000"/>
                <w:sz w:val="18"/>
                <w:szCs w:val="18"/>
              </w:rPr>
              <w:t>Базова линия</w:t>
            </w:r>
          </w:p>
        </w:tc>
        <w:tc>
          <w:tcPr>
            <w:tcW w:w="430" w:type="dxa"/>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sz w:val="18"/>
                <w:szCs w:val="18"/>
              </w:rPr>
            </w:pPr>
            <w:r>
              <w:rPr>
                <w:rFonts w:ascii="Times New Roman" w:hAnsi="Times New Roman"/>
                <w:b/>
                <w:bCs/>
                <w:noProof/>
                <w:color w:val="000000"/>
                <w:sz w:val="18"/>
                <w:szCs w:val="18"/>
              </w:rPr>
              <w:t>Цел</w:t>
            </w:r>
          </w:p>
        </w:tc>
        <w:tc>
          <w:tcPr>
            <w:tcW w:w="290" w:type="dxa"/>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sz w:val="18"/>
                <w:szCs w:val="18"/>
              </w:rPr>
            </w:pPr>
            <w:r>
              <w:rPr>
                <w:rFonts w:ascii="Times New Roman" w:hAnsi="Times New Roman"/>
                <w:b/>
                <w:bCs/>
                <w:noProof/>
                <w:color w:val="000000"/>
                <w:sz w:val="18"/>
                <w:szCs w:val="18"/>
              </w:rPr>
              <w:t>T</w:t>
            </w:r>
          </w:p>
        </w:tc>
        <w:tc>
          <w:tcPr>
            <w:tcW w:w="702" w:type="dxa"/>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sz w:val="18"/>
                <w:szCs w:val="18"/>
              </w:rPr>
            </w:pPr>
            <w:r>
              <w:rPr>
                <w:rFonts w:ascii="Times New Roman" w:hAnsi="Times New Roman"/>
                <w:b/>
                <w:bCs/>
                <w:noProof/>
                <w:color w:val="000000"/>
                <w:sz w:val="18"/>
                <w:szCs w:val="18"/>
              </w:rPr>
              <w:t>Година</w:t>
            </w:r>
          </w:p>
        </w:tc>
        <w:tc>
          <w:tcPr>
            <w:tcW w:w="6096" w:type="dxa"/>
            <w:tcBorders>
              <w:top w:val="nil"/>
            </w:tcBorders>
            <w:shd w:val="clear" w:color="auto" w:fill="C6D9F1" w:themeFill="text2" w:themeFillTint="33"/>
            <w:noWrap/>
          </w:tcPr>
          <w:p>
            <w:pPr>
              <w:spacing w:after="0" w:line="240" w:lineRule="auto"/>
              <w:rPr>
                <w:rFonts w:ascii="Times New Roman" w:hAnsi="Times New Roman" w:cs="Times New Roman"/>
                <w:b/>
                <w:noProof/>
                <w:color w:val="000000"/>
                <w:sz w:val="18"/>
                <w:szCs w:val="18"/>
                <w:lang w:val="en-IE"/>
              </w:rPr>
            </w:pP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74</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C5.R1</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2502"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Влизане в сила на измененията на Регламента за хидрологично планиране </w:t>
            </w:r>
          </w:p>
        </w:tc>
        <w:tc>
          <w:tcPr>
            <w:tcW w:w="117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Разпоредба на кралския указ относно влизането в сила</w:t>
            </w:r>
          </w:p>
        </w:tc>
        <w:tc>
          <w:tcPr>
            <w:tcW w:w="108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63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43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29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702"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2021</w:t>
            </w:r>
          </w:p>
        </w:tc>
        <w:tc>
          <w:tcPr>
            <w:tcW w:w="6096"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Кралски указ за изменение на Наредбата за хидрологично планиране (Официален вестник). Измененията засягат аспекти, свързани със сушите и недостига на вода, изискванията за прилагане на Рамковата директива за водите и съответните стандарти в рамките на Общата стратегия за прилагане на директивите за водите. </w:t>
            </w:r>
          </w:p>
        </w:tc>
      </w:tr>
      <w:tr>
        <w:trPr>
          <w:trHeight w:val="309"/>
        </w:trPr>
        <w:tc>
          <w:tcPr>
            <w:tcW w:w="709"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75</w:t>
            </w:r>
          </w:p>
        </w:tc>
        <w:tc>
          <w:tcPr>
            <w:tcW w:w="851"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C5.R1</w:t>
            </w:r>
          </w:p>
        </w:tc>
        <w:tc>
          <w:tcPr>
            <w:tcW w:w="850"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M</w:t>
            </w:r>
          </w:p>
        </w:tc>
        <w:tc>
          <w:tcPr>
            <w:tcW w:w="2502"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szCs w:val="18"/>
              </w:rPr>
              <w:t>Влизане в сила на изменението на Закона за водите и новата наредба, заменяща Кралски указ 1620/2007</w:t>
            </w:r>
          </w:p>
        </w:tc>
        <w:tc>
          <w:tcPr>
            <w:tcW w:w="1170"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 xml:space="preserve">Разпоредби на Закона за водите относно влизането в сила </w:t>
            </w:r>
          </w:p>
        </w:tc>
        <w:tc>
          <w:tcPr>
            <w:tcW w:w="1080"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 xml:space="preserve"> </w:t>
            </w:r>
          </w:p>
        </w:tc>
        <w:tc>
          <w:tcPr>
            <w:tcW w:w="630"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 xml:space="preserve"> </w:t>
            </w:r>
          </w:p>
        </w:tc>
        <w:tc>
          <w:tcPr>
            <w:tcW w:w="430"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 xml:space="preserve"> </w:t>
            </w:r>
          </w:p>
        </w:tc>
        <w:tc>
          <w:tcPr>
            <w:tcW w:w="290"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T2</w:t>
            </w:r>
          </w:p>
        </w:tc>
        <w:tc>
          <w:tcPr>
            <w:tcW w:w="702"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2023</w:t>
            </w:r>
          </w:p>
        </w:tc>
        <w:tc>
          <w:tcPr>
            <w:tcW w:w="6096"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szCs w:val="18"/>
              </w:rPr>
              <w:t xml:space="preserve">Изменение на Закона за водите с цел включване на преразглеждане на данъците върху заустването на отпадъчни води и системата за възстановяване на разходите за водната инфраструктура в съответствие с принципите „замърсителят плаща“ и „възстановяване на разходите“. Новият регламент, който заменя Кралски указ 1620/2007, изменя регулаторната и финансовата рамка за повторното използване на отпадъчните води в съответствие с принципите „замърсителят плаща и „замърсителят плаща“, като подобрява мониторинга и опазването на водните обекти, включително подземните води, и разглежда аспектите, свързани със сушите и недостига. </w:t>
            </w:r>
          </w:p>
        </w:tc>
      </w:tr>
      <w:tr>
        <w:trPr>
          <w:trHeight w:val="309"/>
        </w:trPr>
        <w:tc>
          <w:tcPr>
            <w:tcW w:w="709"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76</w:t>
            </w:r>
          </w:p>
        </w:tc>
        <w:tc>
          <w:tcPr>
            <w:tcW w:w="851"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C5.I1</w:t>
            </w:r>
          </w:p>
        </w:tc>
        <w:tc>
          <w:tcPr>
            <w:tcW w:w="850"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T</w:t>
            </w:r>
          </w:p>
        </w:tc>
        <w:tc>
          <w:tcPr>
            <w:tcW w:w="2502"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szCs w:val="18"/>
              </w:rPr>
              <w:t xml:space="preserve">Подобрена инфраструктура за пречистване на водите и отпадъчните води </w:t>
            </w:r>
          </w:p>
        </w:tc>
        <w:tc>
          <w:tcPr>
            <w:tcW w:w="1170" w:type="dxa"/>
            <w:shd w:val="clear" w:color="auto" w:fill="C6EFCE"/>
            <w:noWrap/>
          </w:tcPr>
          <w:p>
            <w:pPr>
              <w:spacing w:after="0" w:line="240" w:lineRule="auto"/>
              <w:jc w:val="center"/>
              <w:rPr>
                <w:rFonts w:ascii="Times New Roman" w:hAnsi="Times New Roman" w:cs="Times New Roman"/>
                <w:noProof/>
                <w:color w:val="000000"/>
                <w:sz w:val="18"/>
                <w:szCs w:val="18"/>
              </w:rPr>
            </w:pPr>
          </w:p>
        </w:tc>
        <w:tc>
          <w:tcPr>
            <w:tcW w:w="1080"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Номер</w:t>
            </w:r>
          </w:p>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(население)</w:t>
            </w:r>
          </w:p>
        </w:tc>
        <w:tc>
          <w:tcPr>
            <w:tcW w:w="630"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0</w:t>
            </w:r>
          </w:p>
        </w:tc>
        <w:tc>
          <w:tcPr>
            <w:tcW w:w="430"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175 000</w:t>
            </w:r>
          </w:p>
        </w:tc>
        <w:tc>
          <w:tcPr>
            <w:tcW w:w="290"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T2</w:t>
            </w:r>
          </w:p>
        </w:tc>
        <w:tc>
          <w:tcPr>
            <w:tcW w:w="702"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2023</w:t>
            </w:r>
          </w:p>
        </w:tc>
        <w:tc>
          <w:tcPr>
            <w:tcW w:w="6096"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szCs w:val="18"/>
              </w:rPr>
              <w:t>Въвеждане в експлоатация на инфраструктури за пречистване на води и отпадъчни води, предоставящи услуги на най-малко 175 000 еквивалент жители, с цел да се осигури съответствие с Директива 91/271/ЕИО и да се постигнат критерии за енергийна ефективност или да се подобри ефективността и/или да се намалят загубите на вода във водоразпределителните системи.</w:t>
            </w:r>
          </w:p>
        </w:tc>
      </w:tr>
      <w:tr>
        <w:trPr>
          <w:trHeight w:val="309"/>
        </w:trPr>
        <w:tc>
          <w:tcPr>
            <w:tcW w:w="709"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77</w:t>
            </w:r>
          </w:p>
        </w:tc>
        <w:tc>
          <w:tcPr>
            <w:tcW w:w="851"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C5.I2</w:t>
            </w:r>
          </w:p>
        </w:tc>
        <w:tc>
          <w:tcPr>
            <w:tcW w:w="850"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M</w:t>
            </w:r>
          </w:p>
        </w:tc>
        <w:tc>
          <w:tcPr>
            <w:tcW w:w="2502"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szCs w:val="18"/>
              </w:rPr>
              <w:t>Възстановяване на защитата от наводнения на речните брегове</w:t>
            </w:r>
          </w:p>
        </w:tc>
        <w:tc>
          <w:tcPr>
            <w:tcW w:w="1170"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Сертификати, подписани от MITERD</w:t>
            </w:r>
          </w:p>
        </w:tc>
        <w:tc>
          <w:tcPr>
            <w:tcW w:w="1080"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 </w:t>
            </w:r>
          </w:p>
        </w:tc>
        <w:tc>
          <w:tcPr>
            <w:tcW w:w="630"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 </w:t>
            </w:r>
          </w:p>
        </w:tc>
        <w:tc>
          <w:tcPr>
            <w:tcW w:w="430"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 </w:t>
            </w:r>
          </w:p>
        </w:tc>
        <w:tc>
          <w:tcPr>
            <w:tcW w:w="290"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T4</w:t>
            </w:r>
          </w:p>
        </w:tc>
        <w:tc>
          <w:tcPr>
            <w:tcW w:w="702"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2022</w:t>
            </w:r>
          </w:p>
        </w:tc>
        <w:tc>
          <w:tcPr>
            <w:tcW w:w="6096"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szCs w:val="18"/>
              </w:rPr>
              <w:t>Реставрирани са най-малко 200 км речни брегове и най-малко 40 000 жители са защитени от риск от наводнения.</w:t>
            </w:r>
          </w:p>
        </w:tc>
      </w:tr>
      <w:tr>
        <w:trPr>
          <w:trHeight w:val="309"/>
        </w:trPr>
        <w:tc>
          <w:tcPr>
            <w:tcW w:w="709"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78</w:t>
            </w:r>
          </w:p>
        </w:tc>
        <w:tc>
          <w:tcPr>
            <w:tcW w:w="851"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C5.I2</w:t>
            </w:r>
          </w:p>
        </w:tc>
        <w:tc>
          <w:tcPr>
            <w:tcW w:w="850"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T</w:t>
            </w:r>
          </w:p>
        </w:tc>
        <w:tc>
          <w:tcPr>
            <w:tcW w:w="2502"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szCs w:val="18"/>
              </w:rPr>
              <w:t xml:space="preserve">Намаляване на обема на водата, извлечена от водоносните хоризонти </w:t>
            </w:r>
          </w:p>
        </w:tc>
        <w:tc>
          <w:tcPr>
            <w:tcW w:w="1170" w:type="dxa"/>
            <w:shd w:val="clear" w:color="auto" w:fill="C6EFCE"/>
            <w:noWrap/>
          </w:tcPr>
          <w:p>
            <w:pPr>
              <w:spacing w:after="0" w:line="240" w:lineRule="auto"/>
              <w:jc w:val="center"/>
              <w:rPr>
                <w:rFonts w:ascii="Times New Roman" w:hAnsi="Times New Roman" w:cs="Times New Roman"/>
                <w:noProof/>
                <w:color w:val="000000"/>
                <w:sz w:val="18"/>
                <w:szCs w:val="18"/>
              </w:rPr>
            </w:pPr>
          </w:p>
        </w:tc>
        <w:tc>
          <w:tcPr>
            <w:tcW w:w="1080"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Номер</w:t>
            </w:r>
          </w:p>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(Чм3/год. )</w:t>
            </w:r>
          </w:p>
        </w:tc>
        <w:tc>
          <w:tcPr>
            <w:tcW w:w="630"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510</w:t>
            </w:r>
          </w:p>
        </w:tc>
        <w:tc>
          <w:tcPr>
            <w:tcW w:w="430"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470</w:t>
            </w:r>
          </w:p>
        </w:tc>
        <w:tc>
          <w:tcPr>
            <w:tcW w:w="290"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T4</w:t>
            </w:r>
          </w:p>
        </w:tc>
        <w:tc>
          <w:tcPr>
            <w:tcW w:w="702"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2023</w:t>
            </w:r>
          </w:p>
        </w:tc>
        <w:tc>
          <w:tcPr>
            <w:tcW w:w="6096"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szCs w:val="18"/>
              </w:rPr>
              <w:t>Намаляване на годишния обем на водата, извлечена от водоносните хоризонти, разположени в Doñana, Segura-Mar Menor, Mancha Oriental и Правила от 510 hm3/годишно на 470 hm3/год.</w:t>
            </w:r>
          </w:p>
        </w:tc>
      </w:tr>
      <w:tr>
        <w:trPr>
          <w:trHeight w:val="309"/>
        </w:trPr>
        <w:tc>
          <w:tcPr>
            <w:tcW w:w="709"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79</w:t>
            </w:r>
          </w:p>
        </w:tc>
        <w:tc>
          <w:tcPr>
            <w:tcW w:w="851"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C5.I3</w:t>
            </w:r>
          </w:p>
        </w:tc>
        <w:tc>
          <w:tcPr>
            <w:tcW w:w="850"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M</w:t>
            </w:r>
          </w:p>
        </w:tc>
        <w:tc>
          <w:tcPr>
            <w:tcW w:w="2502"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szCs w:val="18"/>
              </w:rPr>
              <w:t xml:space="preserve">Въвеждане в експлоатация на инструменти за подобряване на знанията и използването на водните ресурси, както и за мониторинг на валежите и други метеорологични данни </w:t>
            </w:r>
          </w:p>
        </w:tc>
        <w:tc>
          <w:tcPr>
            <w:tcW w:w="1170"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pacing w:val="-8"/>
                <w:sz w:val="18"/>
                <w:szCs w:val="18"/>
              </w:rPr>
              <w:t>Сертифициране</w:t>
            </w:r>
            <w:r>
              <w:rPr>
                <w:rFonts w:ascii="Times New Roman" w:hAnsi="Times New Roman"/>
                <w:noProof/>
                <w:color w:val="000000"/>
                <w:sz w:val="18"/>
                <w:szCs w:val="18"/>
              </w:rPr>
              <w:t xml:space="preserve"> на разходите</w:t>
            </w:r>
          </w:p>
        </w:tc>
        <w:tc>
          <w:tcPr>
            <w:tcW w:w="1080"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 </w:t>
            </w:r>
          </w:p>
        </w:tc>
        <w:tc>
          <w:tcPr>
            <w:tcW w:w="630"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 </w:t>
            </w:r>
          </w:p>
        </w:tc>
        <w:tc>
          <w:tcPr>
            <w:tcW w:w="430"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 </w:t>
            </w:r>
          </w:p>
        </w:tc>
        <w:tc>
          <w:tcPr>
            <w:tcW w:w="290"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T4</w:t>
            </w:r>
          </w:p>
        </w:tc>
        <w:tc>
          <w:tcPr>
            <w:tcW w:w="702"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2023</w:t>
            </w:r>
          </w:p>
        </w:tc>
        <w:tc>
          <w:tcPr>
            <w:tcW w:w="6096"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szCs w:val="18"/>
              </w:rPr>
              <w:t>Въвеждане в експлоатация на 26 инструмента или обновена инфраструктура за подобряване на знанията и използването на водните ресурси, както и за мониторинг на валежите и други метеорологични данни с цел предотвратяване на климатичните рискове. Действията са свързани предимно с проектирането и прилагането на електронния регистър на водите, управлението на хидроложките данни и качеството на водите, цифровизацията на обработката на досиетата и модернизирането на мрежата за аеронавигационно метеорологично наблюдение.</w:t>
            </w:r>
          </w:p>
        </w:tc>
      </w:tr>
      <w:tr>
        <w:trPr>
          <w:trHeight w:val="309"/>
        </w:trPr>
        <w:tc>
          <w:tcPr>
            <w:tcW w:w="709"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80</w:t>
            </w:r>
          </w:p>
        </w:tc>
        <w:tc>
          <w:tcPr>
            <w:tcW w:w="851"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C5.I4</w:t>
            </w:r>
          </w:p>
        </w:tc>
        <w:tc>
          <w:tcPr>
            <w:tcW w:w="850"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T</w:t>
            </w:r>
          </w:p>
        </w:tc>
        <w:tc>
          <w:tcPr>
            <w:tcW w:w="2502"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szCs w:val="18"/>
              </w:rPr>
              <w:t xml:space="preserve">Възстановяване на деградирали зони и екосистеми на най-малко 50 километра брегова линия </w:t>
            </w:r>
          </w:p>
        </w:tc>
        <w:tc>
          <w:tcPr>
            <w:tcW w:w="1170" w:type="dxa"/>
            <w:shd w:val="clear" w:color="auto" w:fill="C6EFCE"/>
            <w:noWrap/>
          </w:tcPr>
          <w:p>
            <w:pPr>
              <w:spacing w:after="0" w:line="240" w:lineRule="auto"/>
              <w:jc w:val="center"/>
              <w:rPr>
                <w:rFonts w:ascii="Times New Roman" w:hAnsi="Times New Roman" w:cs="Times New Roman"/>
                <w:noProof/>
                <w:color w:val="000000"/>
                <w:sz w:val="18"/>
                <w:szCs w:val="18"/>
              </w:rPr>
            </w:pPr>
          </w:p>
        </w:tc>
        <w:tc>
          <w:tcPr>
            <w:tcW w:w="1080"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Брой (километри)</w:t>
            </w:r>
          </w:p>
        </w:tc>
        <w:tc>
          <w:tcPr>
            <w:tcW w:w="630"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0</w:t>
            </w:r>
          </w:p>
        </w:tc>
        <w:tc>
          <w:tcPr>
            <w:tcW w:w="430"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50</w:t>
            </w:r>
          </w:p>
        </w:tc>
        <w:tc>
          <w:tcPr>
            <w:tcW w:w="290"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T4</w:t>
            </w:r>
          </w:p>
        </w:tc>
        <w:tc>
          <w:tcPr>
            <w:tcW w:w="702"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2022</w:t>
            </w:r>
          </w:p>
        </w:tc>
        <w:tc>
          <w:tcPr>
            <w:tcW w:w="6096"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szCs w:val="18"/>
              </w:rPr>
              <w:t>Завършване на най-малко 50 километра брегова линия за възстановяване на деградирали зони и екосистеми, опазване и увеличаване на достъпността до крайбрежните райони, смекчаване на ерозията, по-добро познаване и повишаване на устойчивостта на крайбрежните райони и адаптиране към последиците от изменението на климата, дистанционно наблюдение и прилагане на политики за стратегическо морско планиране. Действията отчитат всяко едно от следните:</w:t>
            </w:r>
            <w:r>
              <w:rPr>
                <w:rFonts w:ascii="Times New Roman" w:hAnsi="Times New Roman"/>
                <w:noProof/>
                <w:color w:val="000000"/>
                <w:sz w:val="18"/>
                <w:szCs w:val="18"/>
              </w:rPr>
              <w:br/>
              <w:t>i ) повишаване на устойчивостта на испанското крайбрежие на неблагоприятните последици от изменението на климата чрез борба с ерозията и укрепване на бреговата ивица. Това включва създаването на ескортиращи, изкуствени плажове, плаващи повърхности, управление на седиментите, решения, основани на природата, възстановяване на плажната и дюновата система, инфраструктура за защита на бреговете, изграждане на интелигентни мрежи за наблюдение на бреговата ерозия или действия с подобен ефект.</w:t>
            </w:r>
            <w:r>
              <w:rPr>
                <w:rFonts w:ascii="Times New Roman" w:hAnsi="Times New Roman"/>
                <w:noProof/>
                <w:color w:val="000000"/>
                <w:sz w:val="18"/>
                <w:szCs w:val="18"/>
              </w:rPr>
              <w:br/>
            </w:r>
            <w:r>
              <w:rPr>
                <w:rFonts w:ascii="Times New Roman" w:hAnsi="Times New Roman"/>
                <w:noProof/>
                <w:color w:val="000000"/>
                <w:sz w:val="18"/>
                <w:szCs w:val="18"/>
                <w:lang w:val="en-US"/>
              </w:rPr>
              <w:t>ii</w:t>
            </w:r>
            <w:r>
              <w:rPr>
                <w:rFonts w:ascii="Times New Roman" w:hAnsi="Times New Roman"/>
                <w:noProof/>
                <w:color w:val="000000"/>
                <w:sz w:val="18"/>
                <w:szCs w:val="18"/>
              </w:rPr>
              <w:t xml:space="preserve">) очертаване на границите на крайбрежната ивица, която е държавна собственост; Това се извършва чрез: а) преместване на инсталациите, засегнати от свлачища; б) определяне на границите на държавната сухоземна морска област; в) възстановяване на неправомерно или неправилно окупирани земи в крайбрежната зона – държавна собственост; г) оценка и управление на риска или подобни действия; д) екологично възстановяване на увредени крайбрежни зони и екосистеми; е) опазване и управление на бреговата ивица. и ж) действия с подобни ефекти. </w:t>
            </w:r>
            <w:r>
              <w:rPr>
                <w:rFonts w:ascii="Times New Roman" w:hAnsi="Times New Roman"/>
                <w:noProof/>
                <w:color w:val="000000"/>
                <w:sz w:val="18"/>
                <w:szCs w:val="18"/>
              </w:rPr>
              <w:br/>
              <w:t>iii) Подобряване на редовния и правилен достъп до публичната сухоземна морска област. Това се извършва чрез възстановяване на земя с цел осигуряване на достъп до публичната собственост, планиране, управление и възстановяване на достъпа или действия с подобен ефект.</w:t>
            </w:r>
            <w:r>
              <w:rPr>
                <w:rFonts w:ascii="Times New Roman" w:hAnsi="Times New Roman"/>
                <w:noProof/>
                <w:color w:val="000000"/>
                <w:sz w:val="18"/>
                <w:szCs w:val="18"/>
              </w:rPr>
              <w:br/>
              <w:t>iv) Изпълнение на политиките за стратегическо морско планиране. Това се постига чрез прилагането на морско пространствено планиране, морски стратегии, научни становища относно океаните, климата и крайбрежията, както и чрез разработване на географскиреференцирано уеб приложение за морските потребители.</w:t>
            </w:r>
          </w:p>
        </w:tc>
      </w:tr>
      <w:tr>
        <w:trPr>
          <w:trHeight w:val="309"/>
        </w:trPr>
        <w:tc>
          <w:tcPr>
            <w:tcW w:w="709"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81</w:t>
            </w:r>
          </w:p>
        </w:tc>
        <w:tc>
          <w:tcPr>
            <w:tcW w:w="851"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C5.I4</w:t>
            </w:r>
          </w:p>
        </w:tc>
        <w:tc>
          <w:tcPr>
            <w:tcW w:w="850"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T</w:t>
            </w:r>
          </w:p>
        </w:tc>
        <w:tc>
          <w:tcPr>
            <w:tcW w:w="2502"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szCs w:val="18"/>
              </w:rPr>
              <w:t>Възстановяване на деградирали зони и екосистеми на най-малко 100 километра брегова линия</w:t>
            </w:r>
          </w:p>
        </w:tc>
        <w:tc>
          <w:tcPr>
            <w:tcW w:w="1170" w:type="dxa"/>
            <w:shd w:val="clear" w:color="auto" w:fill="C6EFCE"/>
            <w:noWrap/>
          </w:tcPr>
          <w:p>
            <w:pPr>
              <w:spacing w:after="0" w:line="240" w:lineRule="auto"/>
              <w:jc w:val="center"/>
              <w:rPr>
                <w:rFonts w:ascii="Times New Roman" w:hAnsi="Times New Roman" w:cs="Times New Roman"/>
                <w:noProof/>
                <w:color w:val="000000"/>
                <w:sz w:val="18"/>
                <w:szCs w:val="18"/>
              </w:rPr>
            </w:pPr>
          </w:p>
        </w:tc>
        <w:tc>
          <w:tcPr>
            <w:tcW w:w="1080"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Брой (километри)</w:t>
            </w:r>
          </w:p>
        </w:tc>
        <w:tc>
          <w:tcPr>
            <w:tcW w:w="630"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50</w:t>
            </w:r>
          </w:p>
        </w:tc>
        <w:tc>
          <w:tcPr>
            <w:tcW w:w="430"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100</w:t>
            </w:r>
          </w:p>
        </w:tc>
        <w:tc>
          <w:tcPr>
            <w:tcW w:w="290"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T4</w:t>
            </w:r>
          </w:p>
        </w:tc>
        <w:tc>
          <w:tcPr>
            <w:tcW w:w="702"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2023</w:t>
            </w:r>
          </w:p>
        </w:tc>
        <w:tc>
          <w:tcPr>
            <w:tcW w:w="6096"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szCs w:val="18"/>
              </w:rPr>
              <w:t xml:space="preserve">Завършване на строителни работи през най-малко 100 километра брегова линия за възстановяване на деградирали зони и екосистеми, опазване и увеличаване на достъпността до крайбрежните райони, смекчаване на ерозията, по-добро познаване и повишаване на устойчивостта на крайбрежните райони и адаптиране към последиците от изменението на климата, дистанционно наблюдение и прилагане на политики за стратегическо морско планиране. Строителните работи включват всяко от следните действия: </w:t>
            </w:r>
            <w:r>
              <w:rPr>
                <w:rFonts w:ascii="Times New Roman" w:hAnsi="Times New Roman"/>
                <w:noProof/>
                <w:color w:val="000000"/>
                <w:sz w:val="18"/>
                <w:szCs w:val="18"/>
              </w:rPr>
              <w:br/>
              <w:t>i) повишаване на устойчивостта на испанското крайбрежие спрямо неблагоприятните последици от изменението на климата чрез борба с ерозията и укрепване на бреговата ивица. Това включва създаването на ескортиращи, изкуствени плажове, плаващи повърхности, управление на седиментите, решения, основани на природата, възстановяване на плажната и дюновата система, инфраструктура за защита на бреговете, изграждане на интелигентни мрежи за наблюдение на бреговата ерозия или действия с подобен ефект.</w:t>
            </w:r>
            <w:r>
              <w:rPr>
                <w:rFonts w:ascii="Times New Roman" w:hAnsi="Times New Roman"/>
                <w:noProof/>
                <w:color w:val="000000"/>
                <w:sz w:val="18"/>
                <w:szCs w:val="18"/>
              </w:rPr>
              <w:br/>
              <w:t xml:space="preserve">ii) Опазване и възстановяване на крайбрежните екосистеми или увредените зони. Това се извършва чрез: а) преместване на инсталациите, засегнати от свлачища; б) определяне на границите на държавната сухоземна морска област; в) възстановяване на неправомерно или неправилно окупирани земи в крайбрежната зона – държавна собственост; г) оценка и управление на риска или подобни действия; д) екологично възстановяване на увредени крайбрежни зони и екосистеми; е) опазване и управление на бреговата ивица. и ж) действия с подобни ефекти. </w:t>
            </w:r>
            <w:r>
              <w:rPr>
                <w:rFonts w:ascii="Times New Roman" w:hAnsi="Times New Roman"/>
                <w:noProof/>
                <w:color w:val="000000"/>
                <w:sz w:val="18"/>
                <w:szCs w:val="18"/>
              </w:rPr>
              <w:br/>
              <w:t>iii) Подобряване на редовния и правилен достъп до публичната сухоземна морска област. Това се извършва чрез възстановяване на земя с цел осигуряване на достъп до публичната собственост, планиране, управление и възстановяване на достъпа или действия с подобен ефект.</w:t>
            </w:r>
            <w:r>
              <w:rPr>
                <w:rFonts w:ascii="Times New Roman" w:hAnsi="Times New Roman"/>
                <w:noProof/>
                <w:color w:val="000000"/>
                <w:sz w:val="18"/>
                <w:szCs w:val="18"/>
              </w:rPr>
              <w:br/>
              <w:t>iv) Изпълнение на политиките за стратегическо морско планиране. Това се постига чрез прилагането на морско пространствено планиране, морски стратегии, научни становища относно океаните, климата и крайбрежията, както и чрез разработване на географскиреференцирано уеб приложение за морските потребители. (Базово равнище: 31 декември 2022 г.</w:t>
            </w:r>
          </w:p>
        </w:tc>
      </w:tr>
    </w:tbl>
    <w:p>
      <w:pPr>
        <w:spacing w:before="120" w:after="120" w:line="240" w:lineRule="auto"/>
        <w:jc w:val="both"/>
        <w:rPr>
          <w:rFonts w:ascii="Times New Roman" w:hAnsi="Times New Roman" w:cs="Times New Roman"/>
          <w:noProof/>
          <w:sz w:val="24"/>
          <w:szCs w:val="24"/>
          <w:lang w:val="en-IE"/>
        </w:rPr>
        <w:sectPr>
          <w:headerReference w:type="even" r:id="rId73"/>
          <w:headerReference w:type="default" r:id="rId74"/>
          <w:footerReference w:type="even" r:id="rId75"/>
          <w:footerReference w:type="default" r:id="rId76"/>
          <w:headerReference w:type="first" r:id="rId77"/>
          <w:footerReference w:type="first" r:id="rId78"/>
          <w:pgSz w:w="16839" w:h="11907" w:orient="landscape"/>
          <w:pgMar w:top="1417" w:right="1134" w:bottom="1417" w:left="1134" w:header="709" w:footer="709" w:gutter="0"/>
          <w:cols w:space="720"/>
          <w:docGrid w:linePitch="360"/>
        </w:sectPr>
      </w:pPr>
    </w:p>
    <w:p>
      <w:pPr>
        <w:pStyle w:val="Heading1"/>
        <w:rPr>
          <w:noProof/>
        </w:rPr>
      </w:pPr>
      <w:r>
        <w:rPr>
          <w:noProof/>
        </w:rPr>
        <w:t>Е. КОМПОНЕНТ 6: Устойчива мобилност (дълги разстояния)</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Този компонент на испанския план за възстановяване и устойчивост е насочен към следните предизвикателства: 1) преход към по-устойчиви видове транспорт; 2) намаляване на емисиите от транспортния сектор; 3) транспортен сектор да стане по-безопасен, по-достъпен, устойчив и приобщаващ.</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Целите на компонента са следните: развитието на испанската железопътна мрежа (по-специално основните коридори на TEN-T и неосновната мрежа TEN-T); създаване на по-оперативна транспортна мрежа (железопътен, автомобилен, пристанище) с цел намаляване на въглеродния ѝ отпечатък; подобряване на трансграничните връзки с Франция и Португалия; модернизирането на транспортния сектор с внедряването на модерни цифрови технологии. </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Този компонент е насочен към специфичните за всяка държава препоръки за насърчаване на инвестициите в енергийна ефективност и използване на ресурсите и за насърчаване на инфраструктурата за железопътен товарен превоз (специфична за държавата препоръка № 3 от 2019 г.) и за инвестиции в екологичния и цифровия преход и устойчивия транспорт (специфична за държавата препоръка № 3 от 2020 г.).</w:t>
      </w:r>
    </w:p>
    <w:p>
      <w:pPr>
        <w:spacing w:line="240" w:lineRule="auto"/>
        <w:jc w:val="both"/>
        <w:rPr>
          <w:rFonts w:ascii="Times New Roman" w:hAnsi="Times New Roman" w:cs="Times New Roman"/>
          <w:noProof/>
          <w:sz w:val="24"/>
          <w:szCs w:val="24"/>
        </w:rPr>
      </w:pPr>
      <w:r>
        <w:rPr>
          <w:rFonts w:ascii="Times New Roman" w:hAnsi="Times New Roman"/>
          <w:noProof/>
          <w:color w:val="000000" w:themeColor="text1"/>
          <w:sz w:val="24"/>
          <w:szCs w:val="24"/>
        </w:rPr>
        <w:t>Очаква се, че нито една мярка в този компонент не вреди в значителна степен на екологичните цели по смисъла на член 17 от Регламент (ЕС) 2020/852, като се вземат предвид описанието на мерките и стъпките за смекчаване на последиците, определени в плана за възстановяване и устойчивост в съответствие с Техническите насоки за спазването на „принципа за ненанасяне на съществена вреда“ (2021/C58/01).</w:t>
      </w:r>
    </w:p>
    <w:p>
      <w:pPr>
        <w:spacing w:before="120" w:after="120" w:line="240" w:lineRule="auto"/>
        <w:ind w:left="709"/>
        <w:jc w:val="both"/>
        <w:rPr>
          <w:rFonts w:ascii="Times New Roman" w:hAnsi="Times New Roman" w:cs="Times New Roman"/>
          <w:b/>
          <w:i/>
          <w:noProof/>
          <w:color w:val="4F81BD" w:themeColor="accent1"/>
          <w:sz w:val="24"/>
        </w:rPr>
      </w:pPr>
      <w:r>
        <w:rPr>
          <w:rFonts w:ascii="Times New Roman" w:hAnsi="Times New Roman"/>
          <w:b/>
          <w:bCs/>
          <w:noProof/>
          <w:sz w:val="24"/>
          <w:u w:val="single"/>
        </w:rPr>
        <w:t xml:space="preserve">Е.1. </w:t>
      </w:r>
      <w:r>
        <w:rPr>
          <w:rFonts w:ascii="Times New Roman" w:hAnsi="Times New Roman"/>
          <w:b/>
          <w:noProof/>
          <w:sz w:val="24"/>
          <w:u w:val="single"/>
        </w:rPr>
        <w:tab/>
      </w:r>
      <w:r>
        <w:rPr>
          <w:rFonts w:ascii="Times New Roman" w:hAnsi="Times New Roman"/>
          <w:b/>
          <w:bCs/>
          <w:noProof/>
          <w:sz w:val="24"/>
          <w:u w:val="single"/>
        </w:rPr>
        <w:t>Описание на реформите и инвестициите за безвъзмездна финансова подкрепа</w:t>
      </w:r>
    </w:p>
    <w:p>
      <w:pPr>
        <w:spacing w:line="240" w:lineRule="auto"/>
        <w:jc w:val="both"/>
        <w:rPr>
          <w:rFonts w:ascii="Times New Roman" w:hAnsi="Times New Roman" w:cs="Times New Roman"/>
          <w:noProof/>
          <w:sz w:val="24"/>
          <w:u w:val="single"/>
        </w:rPr>
      </w:pPr>
      <w:r>
        <w:rPr>
          <w:rFonts w:ascii="Times New Roman" w:hAnsi="Times New Roman"/>
          <w:noProof/>
          <w:sz w:val="24"/>
          <w:u w:val="single"/>
        </w:rPr>
        <w:t>Реформа 1 (C6.R1) – Стратегия за безопасна, устойчива и свързана мобилност</w:t>
      </w:r>
    </w:p>
    <w:p>
      <w:pPr>
        <w:spacing w:line="240" w:lineRule="auto"/>
        <w:jc w:val="both"/>
        <w:rPr>
          <w:rFonts w:ascii="Times New Roman" w:hAnsi="Times New Roman" w:cs="Times New Roman"/>
          <w:noProof/>
          <w:sz w:val="24"/>
          <w:szCs w:val="24"/>
        </w:rPr>
      </w:pPr>
      <w:r>
        <w:rPr>
          <w:rFonts w:ascii="Times New Roman" w:hAnsi="Times New Roman"/>
          <w:noProof/>
          <w:sz w:val="24"/>
        </w:rPr>
        <w:t>Целите на регламента са следните:</w:t>
      </w:r>
      <w:r>
        <w:rPr>
          <w:rFonts w:ascii="Times New Roman" w:hAnsi="Times New Roman"/>
          <w:noProof/>
          <w:sz w:val="24"/>
          <w:szCs w:val="24"/>
        </w:rPr>
        <w:t xml:space="preserve"> </w:t>
      </w:r>
    </w:p>
    <w:p>
      <w:pPr>
        <w:pStyle w:val="ListParagraph"/>
        <w:numPr>
          <w:ilvl w:val="0"/>
          <w:numId w:val="127"/>
        </w:num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повишаване на сигурността на мрежата за мобилност, като се гарантира по-добра защита на хората и стоките, подобряване на стандартите и намаляване на произшествията. </w:t>
      </w:r>
    </w:p>
    <w:p>
      <w:pPr>
        <w:pStyle w:val="ListParagraph"/>
        <w:numPr>
          <w:ilvl w:val="0"/>
          <w:numId w:val="127"/>
        </w:num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повишаване на устойчивостта, като се отдава приоритет на ежедневната мобилност, икономическата и социалната справедливост, енергийната ефективност и борбата с изменението на климата. </w:t>
      </w:r>
    </w:p>
    <w:p>
      <w:pPr>
        <w:pStyle w:val="ListParagraph"/>
        <w:numPr>
          <w:ilvl w:val="0"/>
          <w:numId w:val="127"/>
        </w:numPr>
        <w:spacing w:line="240" w:lineRule="auto"/>
        <w:jc w:val="both"/>
        <w:rPr>
          <w:rFonts w:ascii="Times New Roman" w:hAnsi="Times New Roman" w:cs="Times New Roman"/>
          <w:noProof/>
          <w:sz w:val="24"/>
          <w:szCs w:val="24"/>
        </w:rPr>
      </w:pPr>
      <w:r>
        <w:rPr>
          <w:rFonts w:ascii="Times New Roman" w:hAnsi="Times New Roman"/>
          <w:noProof/>
          <w:sz w:val="24"/>
          <w:szCs w:val="24"/>
        </w:rPr>
        <w:t>одобряване на свързаността с цифровизацията, технологичния напредък и мултимодалната свързаност.</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Стратегията е насочена към конкретни действия в следните девет области: </w:t>
      </w:r>
    </w:p>
    <w:p>
      <w:pPr>
        <w:pStyle w:val="ListParagraph"/>
        <w:numPr>
          <w:ilvl w:val="0"/>
          <w:numId w:val="128"/>
        </w:num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мобилност за всички (осигуряване на всеобща достъпност на разумна цена); </w:t>
      </w:r>
    </w:p>
    <w:p>
      <w:pPr>
        <w:pStyle w:val="ListParagraph"/>
        <w:numPr>
          <w:ilvl w:val="0"/>
          <w:numId w:val="128"/>
        </w:num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нови инвестиционни политики (за да се осигури адекватно финансиране на транспортните инфраструктури и услуги); </w:t>
      </w:r>
    </w:p>
    <w:p>
      <w:pPr>
        <w:pStyle w:val="ListParagraph"/>
        <w:numPr>
          <w:ilvl w:val="0"/>
          <w:numId w:val="128"/>
        </w:num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сигурна мобилност (приоритетизиране на инвестициите в мониторинг, поддръжка и киберсигурност); </w:t>
      </w:r>
    </w:p>
    <w:p>
      <w:pPr>
        <w:pStyle w:val="ListParagraph"/>
        <w:numPr>
          <w:ilvl w:val="0"/>
          <w:numId w:val="128"/>
        </w:num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мобилност с ниски емисии (повишаване на ефективността, намаляване на потреблението на енергия); </w:t>
      </w:r>
    </w:p>
    <w:p>
      <w:pPr>
        <w:pStyle w:val="ListParagraph"/>
        <w:numPr>
          <w:ilvl w:val="0"/>
          <w:numId w:val="128"/>
        </w:num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интелигентна мобилност (стимулиране на научноизследователската и развойна дейност и иновациите в областта на мобилността, изграждане и управление на интелигентна инфраструктура); </w:t>
      </w:r>
    </w:p>
    <w:p>
      <w:pPr>
        <w:pStyle w:val="ListParagraph"/>
        <w:numPr>
          <w:ilvl w:val="0"/>
          <w:numId w:val="128"/>
        </w:num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интелигентни интермодални логистични вериги (приоритет на железопътния транспорт на товари в публични и частни програми); </w:t>
      </w:r>
    </w:p>
    <w:p>
      <w:pPr>
        <w:pStyle w:val="ListParagraph"/>
        <w:numPr>
          <w:ilvl w:val="0"/>
          <w:numId w:val="128"/>
        </w:num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свързване на Европа и свързаност със света (свързване на пристанищата с интермодални логистични терминали и засилване на сътрудничеството със съседните държави за координиране на изграждането и/или подобряването на трансграничните инфраструктури); </w:t>
      </w:r>
    </w:p>
    <w:p>
      <w:pPr>
        <w:pStyle w:val="ListParagraph"/>
        <w:numPr>
          <w:ilvl w:val="0"/>
          <w:numId w:val="128"/>
        </w:numPr>
        <w:spacing w:line="240" w:lineRule="auto"/>
        <w:jc w:val="both"/>
        <w:rPr>
          <w:rFonts w:ascii="Times New Roman" w:hAnsi="Times New Roman" w:cs="Times New Roman"/>
          <w:noProof/>
          <w:sz w:val="24"/>
          <w:szCs w:val="24"/>
        </w:rPr>
      </w:pPr>
      <w:r>
        <w:rPr>
          <w:rFonts w:ascii="Times New Roman" w:hAnsi="Times New Roman"/>
          <w:noProof/>
          <w:sz w:val="24"/>
          <w:szCs w:val="24"/>
        </w:rPr>
        <w:t>социални и трудови аспекти (баланс между половете и действия за преквалификация и повишаване на квалификацията на работната сила в транспортния сектор); и</w:t>
      </w:r>
    </w:p>
    <w:p>
      <w:pPr>
        <w:pStyle w:val="ListParagraph"/>
        <w:numPr>
          <w:ilvl w:val="0"/>
          <w:numId w:val="128"/>
        </w:numPr>
        <w:spacing w:line="240" w:lineRule="auto"/>
        <w:jc w:val="both"/>
        <w:rPr>
          <w:rFonts w:ascii="Times New Roman" w:hAnsi="Times New Roman" w:cs="Times New Roman"/>
          <w:noProof/>
          <w:sz w:val="24"/>
          <w:szCs w:val="24"/>
        </w:rPr>
      </w:pPr>
      <w:r>
        <w:rPr>
          <w:rFonts w:ascii="Times New Roman" w:hAnsi="Times New Roman"/>
          <w:noProof/>
          <w:sz w:val="24"/>
          <w:szCs w:val="24"/>
        </w:rPr>
        <w:t>цифровизация на Министерството на транспорта, мобилността и програмата за градовете, за да се възприеме цифровият преход и да стане по-отворен и иновативен.</w:t>
      </w:r>
    </w:p>
    <w:p>
      <w:pPr>
        <w:autoSpaceDE w:val="0"/>
        <w:autoSpaceDN w:val="0"/>
        <w:spacing w:before="40" w:after="4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Изпълнението на мярката приключва до 31 декември 2021 г.</w:t>
      </w:r>
    </w:p>
    <w:p>
      <w:pPr>
        <w:keepNext/>
        <w:spacing w:line="240" w:lineRule="auto"/>
        <w:jc w:val="both"/>
        <w:rPr>
          <w:rFonts w:ascii="Times New Roman" w:hAnsi="Times New Roman" w:cs="Times New Roman"/>
          <w:noProof/>
          <w:sz w:val="24"/>
          <w:u w:val="single"/>
        </w:rPr>
      </w:pPr>
      <w:r>
        <w:rPr>
          <w:rFonts w:ascii="Times New Roman" w:hAnsi="Times New Roman"/>
          <w:noProof/>
          <w:sz w:val="24"/>
          <w:u w:val="single"/>
        </w:rPr>
        <w:t>Реформа 2 (C6.R2) – индикативна стратегия за железопътния транспорт</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Целта на реформата е създаването на инструменти, които да гарантират, че железопътната мрежа отговаря на нуждите от мобилност на бъдещето по последователен и ефективен начин. Стратегията определя ясен сценарий за планиране на вида железопътен транспорт и дава възможност за привеждане на инвестиционните приоритети в съответствие със стратегията за безопасна, устойчива и свързана мобилност (R1).</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Реформата ще се състои от няколко действия, включително: </w:t>
      </w:r>
    </w:p>
    <w:p>
      <w:pPr>
        <w:pStyle w:val="ListParagraph"/>
        <w:numPr>
          <w:ilvl w:val="0"/>
          <w:numId w:val="129"/>
        </w:num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установяване на по-ясно планиране на действията в железопътния сектор, особено насочени към ежедневната мобилност; </w:t>
      </w:r>
    </w:p>
    <w:p>
      <w:pPr>
        <w:pStyle w:val="ListParagraph"/>
        <w:numPr>
          <w:ilvl w:val="0"/>
          <w:numId w:val="129"/>
        </w:num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подобряване на поддръжката на мрежата; </w:t>
      </w:r>
    </w:p>
    <w:p>
      <w:pPr>
        <w:pStyle w:val="ListParagraph"/>
        <w:numPr>
          <w:ilvl w:val="0"/>
          <w:numId w:val="129"/>
        </w:num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осигуряване на икономическа устойчивост на железопътната мрежа; </w:t>
      </w:r>
    </w:p>
    <w:p>
      <w:pPr>
        <w:pStyle w:val="ListParagraph"/>
        <w:numPr>
          <w:ilvl w:val="0"/>
          <w:numId w:val="129"/>
        </w:num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даване на приоритет на ефективното използване на ресурсите с предварителна и последваща оценка на инвестиционните проекти; </w:t>
      </w:r>
    </w:p>
    <w:p>
      <w:pPr>
        <w:pStyle w:val="ListParagraph"/>
        <w:numPr>
          <w:ilvl w:val="0"/>
          <w:numId w:val="129"/>
        </w:num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подобряване на оперативната съвместимост на мрежата, особено по коридорите на трансевропейската мрежа, и интермодалността на мрежата; </w:t>
      </w:r>
    </w:p>
    <w:p>
      <w:pPr>
        <w:pStyle w:val="ListParagraph"/>
        <w:numPr>
          <w:ilvl w:val="0"/>
          <w:numId w:val="129"/>
        </w:num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насърчаване на железопътния товарен превоз; </w:t>
      </w:r>
    </w:p>
    <w:p>
      <w:pPr>
        <w:pStyle w:val="ListParagraph"/>
        <w:numPr>
          <w:ilvl w:val="0"/>
          <w:numId w:val="129"/>
        </w:numPr>
        <w:spacing w:line="240" w:lineRule="auto"/>
        <w:jc w:val="both"/>
        <w:rPr>
          <w:rFonts w:ascii="Times New Roman" w:hAnsi="Times New Roman" w:cs="Times New Roman"/>
          <w:noProof/>
          <w:sz w:val="24"/>
          <w:szCs w:val="24"/>
        </w:rPr>
      </w:pPr>
      <w:r>
        <w:rPr>
          <w:rFonts w:ascii="Times New Roman" w:hAnsi="Times New Roman"/>
          <w:noProof/>
          <w:sz w:val="24"/>
          <w:szCs w:val="24"/>
        </w:rPr>
        <w:t>повишаване на безопасността в железопътния транспорт и</w:t>
      </w:r>
    </w:p>
    <w:p>
      <w:pPr>
        <w:pStyle w:val="ListParagraph"/>
        <w:numPr>
          <w:ilvl w:val="0"/>
          <w:numId w:val="129"/>
        </w:numPr>
        <w:spacing w:line="240" w:lineRule="auto"/>
        <w:jc w:val="both"/>
        <w:rPr>
          <w:rFonts w:ascii="Times New Roman" w:hAnsi="Times New Roman" w:cs="Times New Roman"/>
          <w:noProof/>
          <w:sz w:val="24"/>
          <w:szCs w:val="24"/>
        </w:rPr>
      </w:pPr>
      <w:r>
        <w:rPr>
          <w:rFonts w:ascii="Times New Roman" w:hAnsi="Times New Roman"/>
          <w:noProof/>
          <w:sz w:val="24"/>
          <w:szCs w:val="24"/>
        </w:rPr>
        <w:t>насърчаване на цифровизацията на транспорта и иновациите, за да се гарантира свързаната мобилност.</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Изпълнението на мярката приключва до 31 декември 2022 г.</w:t>
      </w:r>
    </w:p>
    <w:p>
      <w:pPr>
        <w:spacing w:line="240" w:lineRule="auto"/>
        <w:jc w:val="both"/>
        <w:rPr>
          <w:rFonts w:ascii="Times New Roman" w:hAnsi="Times New Roman" w:cs="Times New Roman"/>
          <w:noProof/>
          <w:sz w:val="24"/>
          <w:u w:val="single"/>
        </w:rPr>
      </w:pPr>
      <w:r>
        <w:rPr>
          <w:rFonts w:ascii="Times New Roman" w:hAnsi="Times New Roman"/>
          <w:noProof/>
          <w:sz w:val="24"/>
          <w:u w:val="single"/>
        </w:rPr>
        <w:t>Инвестиция 1 (C6.I1) – Национална преносна мрежа: Европейски коридори</w:t>
      </w:r>
    </w:p>
    <w:p>
      <w:pPr>
        <w:spacing w:line="240" w:lineRule="auto"/>
        <w:jc w:val="both"/>
        <w:rPr>
          <w:rFonts w:ascii="Times New Roman" w:hAnsi="Times New Roman" w:cs="Times New Roman"/>
          <w:noProof/>
          <w:sz w:val="24"/>
        </w:rPr>
      </w:pPr>
      <w:r>
        <w:rPr>
          <w:rFonts w:ascii="Times New Roman" w:hAnsi="Times New Roman"/>
          <w:noProof/>
          <w:sz w:val="24"/>
        </w:rPr>
        <w:t>Целта на мярката е да се изгради нова железопътна инфраструктура в основните европейски коридори на TEN-T и да се модернизират и модернизират съществуващите.</w:t>
      </w:r>
    </w:p>
    <w:p>
      <w:pPr>
        <w:spacing w:line="240" w:lineRule="auto"/>
        <w:jc w:val="both"/>
        <w:rPr>
          <w:rFonts w:ascii="Times New Roman" w:hAnsi="Times New Roman" w:cs="Times New Roman"/>
          <w:noProof/>
          <w:sz w:val="24"/>
        </w:rPr>
      </w:pPr>
      <w:r>
        <w:rPr>
          <w:rFonts w:ascii="Times New Roman" w:hAnsi="Times New Roman"/>
          <w:noProof/>
          <w:sz w:val="24"/>
        </w:rPr>
        <w:t xml:space="preserve">Инвестицията се състои от действия в следните основни направления: </w:t>
      </w:r>
    </w:p>
    <w:p>
      <w:pPr>
        <w:pStyle w:val="ListParagraph"/>
        <w:numPr>
          <w:ilvl w:val="0"/>
          <w:numId w:val="130"/>
        </w:numPr>
        <w:spacing w:line="240" w:lineRule="auto"/>
        <w:jc w:val="both"/>
        <w:rPr>
          <w:rFonts w:ascii="Times New Roman" w:hAnsi="Times New Roman" w:cs="Times New Roman"/>
          <w:noProof/>
          <w:sz w:val="24"/>
          <w:szCs w:val="24"/>
        </w:rPr>
      </w:pPr>
      <w:r>
        <w:rPr>
          <w:rFonts w:ascii="Times New Roman" w:hAnsi="Times New Roman"/>
          <w:noProof/>
          <w:sz w:val="24"/>
          <w:szCs w:val="24"/>
        </w:rPr>
        <w:t>платформа: Проекти, които дават възможност за изграждане на инфраструктура, която поддържа железопътните линии и която включва насипи, разчистване, виадукти, тунели и т.н. Те са основно изграждане на нова инфраструктура;</w:t>
      </w:r>
    </w:p>
    <w:p>
      <w:pPr>
        <w:pStyle w:val="ListParagraph"/>
        <w:numPr>
          <w:ilvl w:val="0"/>
          <w:numId w:val="130"/>
        </w:numPr>
        <w:spacing w:line="240" w:lineRule="auto"/>
        <w:jc w:val="both"/>
        <w:rPr>
          <w:rFonts w:ascii="Times New Roman" w:hAnsi="Times New Roman" w:cs="Times New Roman"/>
          <w:noProof/>
          <w:sz w:val="24"/>
          <w:szCs w:val="24"/>
        </w:rPr>
      </w:pPr>
      <w:r>
        <w:rPr>
          <w:rFonts w:ascii="Times New Roman" w:hAnsi="Times New Roman"/>
          <w:noProof/>
          <w:sz w:val="24"/>
          <w:szCs w:val="24"/>
        </w:rPr>
        <w:t>замяна на услуги: Действия, които възстановяват съществуващите услуги (светлина, напояване, вода и т.н.), които са засегнати по време на изпълнението на жп работите;</w:t>
      </w:r>
    </w:p>
    <w:p>
      <w:pPr>
        <w:pStyle w:val="ListParagraph"/>
        <w:numPr>
          <w:ilvl w:val="0"/>
          <w:numId w:val="130"/>
        </w:numPr>
        <w:spacing w:line="240" w:lineRule="auto"/>
        <w:jc w:val="both"/>
        <w:rPr>
          <w:rFonts w:ascii="Times New Roman" w:hAnsi="Times New Roman" w:cs="Times New Roman"/>
          <w:noProof/>
          <w:sz w:val="24"/>
          <w:szCs w:val="24"/>
        </w:rPr>
      </w:pPr>
      <w:r>
        <w:rPr>
          <w:rFonts w:ascii="Times New Roman" w:hAnsi="Times New Roman"/>
          <w:noProof/>
          <w:sz w:val="24"/>
          <w:szCs w:val="24"/>
        </w:rPr>
        <w:t>вериги Действия за сглобяване и доставка на релсови материали (баласт, траверси, релси, стрелки и разширителни устройства) по нови железопътни участъци, както и обновяване на съществуващи коловози;</w:t>
      </w:r>
    </w:p>
    <w:p>
      <w:pPr>
        <w:pStyle w:val="ListParagraph"/>
        <w:numPr>
          <w:ilvl w:val="0"/>
          <w:numId w:val="130"/>
        </w:numPr>
        <w:spacing w:line="240" w:lineRule="auto"/>
        <w:jc w:val="both"/>
        <w:rPr>
          <w:rFonts w:ascii="Times New Roman" w:hAnsi="Times New Roman" w:cs="Times New Roman"/>
          <w:noProof/>
          <w:sz w:val="24"/>
          <w:szCs w:val="24"/>
        </w:rPr>
      </w:pPr>
      <w:r>
        <w:rPr>
          <w:rFonts w:ascii="Times New Roman" w:hAnsi="Times New Roman"/>
          <w:noProof/>
          <w:sz w:val="24"/>
          <w:szCs w:val="24"/>
        </w:rPr>
        <w:t>електроенергия: Действия, насочени към електрификацията на линиите, включително: надземна контактна линия, тягови подстанции, преобразуващи центрове, дистанционно управление на мощността, високоволтови електропроводи;</w:t>
      </w:r>
    </w:p>
    <w:p>
      <w:pPr>
        <w:pStyle w:val="ListParagraph"/>
        <w:numPr>
          <w:ilvl w:val="0"/>
          <w:numId w:val="130"/>
        </w:numPr>
        <w:spacing w:line="240" w:lineRule="auto"/>
        <w:jc w:val="both"/>
        <w:rPr>
          <w:rFonts w:ascii="Times New Roman" w:hAnsi="Times New Roman" w:cs="Times New Roman"/>
          <w:noProof/>
          <w:sz w:val="24"/>
          <w:szCs w:val="24"/>
        </w:rPr>
      </w:pPr>
      <w:r>
        <w:rPr>
          <w:rFonts w:ascii="Times New Roman" w:hAnsi="Times New Roman"/>
          <w:noProof/>
          <w:sz w:val="24"/>
          <w:szCs w:val="24"/>
        </w:rPr>
        <w:t>сигнализация и контрол на движението: Проекти, насочени към въвеждането на нови системи за сигнализация и контрол на движението;</w:t>
      </w:r>
    </w:p>
    <w:p>
      <w:pPr>
        <w:pStyle w:val="ListParagraph"/>
        <w:numPr>
          <w:ilvl w:val="0"/>
          <w:numId w:val="130"/>
        </w:numPr>
        <w:spacing w:line="240" w:lineRule="auto"/>
        <w:jc w:val="both"/>
        <w:rPr>
          <w:rFonts w:ascii="Times New Roman" w:hAnsi="Times New Roman" w:cs="Times New Roman"/>
          <w:noProof/>
          <w:sz w:val="24"/>
          <w:szCs w:val="24"/>
        </w:rPr>
      </w:pPr>
      <w:r>
        <w:rPr>
          <w:rFonts w:ascii="Times New Roman" w:hAnsi="Times New Roman"/>
          <w:noProof/>
          <w:sz w:val="24"/>
          <w:szCs w:val="24"/>
        </w:rPr>
        <w:t>телекомуникации: Проекти, насочени към стационарни и мобилни телекомуникации по железопътните линии.</w:t>
      </w:r>
    </w:p>
    <w:p>
      <w:pPr>
        <w:pStyle w:val="ListParagraph"/>
        <w:numPr>
          <w:ilvl w:val="0"/>
          <w:numId w:val="130"/>
        </w:numPr>
        <w:spacing w:line="240" w:lineRule="auto"/>
        <w:jc w:val="both"/>
        <w:rPr>
          <w:rFonts w:ascii="Times New Roman" w:hAnsi="Times New Roman" w:cs="Times New Roman"/>
          <w:noProof/>
          <w:sz w:val="24"/>
          <w:szCs w:val="24"/>
        </w:rPr>
      </w:pPr>
      <w:r>
        <w:rPr>
          <w:rFonts w:ascii="Times New Roman" w:hAnsi="Times New Roman"/>
          <w:noProof/>
          <w:sz w:val="24"/>
          <w:szCs w:val="24"/>
        </w:rPr>
        <w:t>пунктове за мониторинг Модернизиране и рехабилитация на съществуващи гари, както и изграждане на нови станции.</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Работите по най-малко 1 400 километра мрежа, включени в Атлантическия и Средиземноморския коридор, включително действия за подобряване на съществуващите участъци и инвестиции за постигане на напредък в изграждането на нови участъци. </w:t>
      </w:r>
    </w:p>
    <w:p>
      <w:pPr>
        <w:spacing w:line="240" w:lineRule="auto"/>
        <w:jc w:val="both"/>
        <w:rPr>
          <w:rFonts w:ascii="Times New Roman" w:hAnsi="Times New Roman" w:cs="Times New Roman"/>
          <w:noProof/>
          <w:sz w:val="24"/>
        </w:rPr>
      </w:pPr>
      <w:r>
        <w:rPr>
          <w:rFonts w:ascii="Times New Roman" w:hAnsi="Times New Roman"/>
          <w:noProof/>
          <w:sz w:val="24"/>
          <w:szCs w:val="24"/>
        </w:rPr>
        <w:t>Изпълнението на инвестицията приключва до 30 юни 2026 г.</w:t>
      </w:r>
    </w:p>
    <w:p>
      <w:pPr>
        <w:spacing w:line="240" w:lineRule="auto"/>
        <w:jc w:val="both"/>
        <w:rPr>
          <w:rFonts w:ascii="Times New Roman" w:hAnsi="Times New Roman" w:cs="Times New Roman"/>
          <w:noProof/>
          <w:sz w:val="24"/>
          <w:u w:val="single"/>
        </w:rPr>
      </w:pPr>
      <w:r>
        <w:rPr>
          <w:rFonts w:ascii="Times New Roman" w:hAnsi="Times New Roman"/>
          <w:noProof/>
          <w:sz w:val="24"/>
          <w:u w:val="single"/>
        </w:rPr>
        <w:t>Инвестиция 2 (C6.I2) – Програма за трансевропейска транспортна мрежа, други дейности</w:t>
      </w:r>
    </w:p>
    <w:p>
      <w:pPr>
        <w:spacing w:before="60" w:afterLines="60" w:after="144" w:line="240" w:lineRule="auto"/>
        <w:jc w:val="both"/>
        <w:rPr>
          <w:rFonts w:ascii="Times New Roman" w:hAnsi="Times New Roman" w:cs="Times New Roman"/>
          <w:noProof/>
          <w:sz w:val="24"/>
        </w:rPr>
      </w:pPr>
      <w:r>
        <w:rPr>
          <w:rFonts w:ascii="Times New Roman" w:hAnsi="Times New Roman"/>
          <w:noProof/>
          <w:sz w:val="24"/>
        </w:rPr>
        <w:t>Целта на мярката е да се подобри националната транспортна мрежа, обхващаща всички видове транспорт (железопътен, автомобилен, въздушен), за да стане тя по-надеждна, устойчива, сигурна и издръжлива на сътресения.</w:t>
      </w:r>
      <w:r>
        <w:rPr>
          <w:rFonts w:ascii="Times New Roman" w:hAnsi="Times New Roman"/>
          <w:noProof/>
          <w:sz w:val="24"/>
          <w:szCs w:val="24"/>
        </w:rPr>
        <w:t xml:space="preserve"> </w:t>
      </w:r>
    </w:p>
    <w:p>
      <w:pPr>
        <w:spacing w:before="60" w:afterLines="60" w:after="144" w:line="240" w:lineRule="auto"/>
        <w:jc w:val="both"/>
        <w:rPr>
          <w:rFonts w:ascii="Times New Roman" w:hAnsi="Times New Roman" w:cs="Times New Roman"/>
          <w:noProof/>
          <w:sz w:val="24"/>
          <w:szCs w:val="24"/>
        </w:rPr>
      </w:pPr>
      <w:r>
        <w:rPr>
          <w:rFonts w:ascii="Times New Roman" w:hAnsi="Times New Roman"/>
          <w:noProof/>
          <w:sz w:val="24"/>
          <w:szCs w:val="24"/>
        </w:rPr>
        <w:t>Инвестицията се състои от следните действия:</w:t>
      </w:r>
    </w:p>
    <w:p>
      <w:pPr>
        <w:pStyle w:val="ListParagraph"/>
        <w:numPr>
          <w:ilvl w:val="0"/>
          <w:numId w:val="133"/>
        </w:numPr>
        <w:spacing w:before="60" w:afterLines="60" w:after="144" w:line="240" w:lineRule="auto"/>
        <w:ind w:left="993" w:hanging="284"/>
        <w:jc w:val="both"/>
        <w:rPr>
          <w:rFonts w:ascii="Times New Roman" w:hAnsi="Times New Roman" w:cs="Times New Roman"/>
          <w:noProof/>
          <w:sz w:val="24"/>
          <w:szCs w:val="24"/>
        </w:rPr>
      </w:pPr>
      <w:r>
        <w:rPr>
          <w:rFonts w:ascii="Times New Roman" w:hAnsi="Times New Roman"/>
          <w:noProof/>
          <w:sz w:val="24"/>
          <w:szCs w:val="24"/>
        </w:rPr>
        <w:t>модернизиране на железопътната мрежа във връзка с неосновната трансевропейска транспортна мрежа (TEN-T) с дейности на разстояние най-малко 900 километра;</w:t>
      </w:r>
    </w:p>
    <w:p>
      <w:pPr>
        <w:pStyle w:val="ListParagraph"/>
        <w:numPr>
          <w:ilvl w:val="0"/>
          <w:numId w:val="133"/>
        </w:numPr>
        <w:spacing w:before="60" w:afterLines="60" w:after="144" w:line="240" w:lineRule="auto"/>
        <w:ind w:left="993" w:hanging="284"/>
        <w:jc w:val="both"/>
        <w:rPr>
          <w:rFonts w:ascii="Times New Roman" w:hAnsi="Times New Roman" w:cs="Times New Roman"/>
          <w:noProof/>
          <w:sz w:val="24"/>
          <w:szCs w:val="24"/>
        </w:rPr>
      </w:pPr>
      <w:r>
        <w:rPr>
          <w:rFonts w:ascii="Times New Roman" w:hAnsi="Times New Roman"/>
          <w:noProof/>
          <w:sz w:val="24"/>
          <w:szCs w:val="24"/>
        </w:rPr>
        <w:t>повишаване на безопасността на пътната мрежа в съответствие с националните и европейските разпоредби.</w:t>
      </w:r>
    </w:p>
    <w:p>
      <w:pPr>
        <w:pStyle w:val="ListParagraph"/>
        <w:numPr>
          <w:ilvl w:val="0"/>
          <w:numId w:val="133"/>
        </w:numPr>
        <w:spacing w:before="60" w:afterLines="60" w:after="144" w:line="240" w:lineRule="auto"/>
        <w:ind w:left="993" w:hanging="284"/>
        <w:jc w:val="both"/>
        <w:rPr>
          <w:rFonts w:ascii="Times New Roman" w:hAnsi="Times New Roman" w:cs="Times New Roman"/>
          <w:noProof/>
          <w:sz w:val="24"/>
          <w:szCs w:val="24"/>
        </w:rPr>
      </w:pPr>
      <w:r>
        <w:rPr>
          <w:rFonts w:ascii="Times New Roman" w:hAnsi="Times New Roman"/>
          <w:noProof/>
          <w:sz w:val="24"/>
          <w:szCs w:val="24"/>
        </w:rPr>
        <w:t xml:space="preserve">насърчаване на развитието на Единното европейско небе (20 проекта); </w:t>
      </w:r>
    </w:p>
    <w:p>
      <w:pPr>
        <w:pStyle w:val="ListParagraph"/>
        <w:numPr>
          <w:ilvl w:val="0"/>
          <w:numId w:val="133"/>
        </w:numPr>
        <w:spacing w:before="60" w:afterLines="60" w:after="144" w:line="240" w:lineRule="auto"/>
        <w:ind w:left="993" w:hanging="284"/>
        <w:jc w:val="both"/>
        <w:rPr>
          <w:rFonts w:ascii="Times New Roman" w:hAnsi="Times New Roman" w:cs="Times New Roman"/>
          <w:noProof/>
          <w:sz w:val="24"/>
          <w:szCs w:val="24"/>
        </w:rPr>
      </w:pPr>
      <w:r>
        <w:rPr>
          <w:rFonts w:ascii="Times New Roman" w:hAnsi="Times New Roman"/>
          <w:noProof/>
          <w:sz w:val="24"/>
          <w:szCs w:val="24"/>
        </w:rPr>
        <w:t xml:space="preserve">подкрепа за цифровата трансформация на Министерството на транспорта, мобилността и програмата за градовете. </w:t>
      </w:r>
    </w:p>
    <w:p>
      <w:pPr>
        <w:spacing w:before="60" w:afterLines="60" w:after="144" w:line="240" w:lineRule="auto"/>
        <w:jc w:val="both"/>
        <w:rPr>
          <w:rFonts w:ascii="Times New Roman" w:hAnsi="Times New Roman" w:cs="Times New Roman"/>
          <w:noProof/>
          <w:sz w:val="24"/>
          <w:szCs w:val="24"/>
        </w:rPr>
      </w:pPr>
      <w:r>
        <w:rPr>
          <w:rFonts w:ascii="Times New Roman" w:hAnsi="Times New Roman"/>
          <w:noProof/>
          <w:sz w:val="24"/>
          <w:szCs w:val="24"/>
        </w:rPr>
        <w:t>Критериите за подбор гарантират, че най-малко 1 010 000 000 EUR допринасят за постигане на целите във връзка с изменението на климата със 100 % коефициент в областта на климата и най-малко 301 000 000 EUR с коефициент в областта на климата от 40 % в съответствие с приложение VI към Регламент (ЕС) 2021/241 относно Механизма за възстановяване и устойчивост.</w:t>
      </w:r>
    </w:p>
    <w:p>
      <w:pPr>
        <w:spacing w:before="60" w:afterLines="60" w:after="144" w:line="240" w:lineRule="auto"/>
        <w:jc w:val="both"/>
        <w:rPr>
          <w:rFonts w:ascii="Times New Roman" w:hAnsi="Times New Roman" w:cs="Times New Roman"/>
          <w:noProof/>
          <w:sz w:val="24"/>
          <w:szCs w:val="24"/>
        </w:rPr>
      </w:pPr>
      <w:r>
        <w:rPr>
          <w:rFonts w:ascii="Times New Roman" w:hAnsi="Times New Roman"/>
          <w:noProof/>
          <w:sz w:val="24"/>
          <w:szCs w:val="24"/>
        </w:rPr>
        <w:t>Изпълнението на инвестицията приключва до 30 юни 2026 г.</w:t>
      </w:r>
    </w:p>
    <w:p>
      <w:pPr>
        <w:spacing w:line="240" w:lineRule="auto"/>
        <w:jc w:val="both"/>
        <w:rPr>
          <w:rFonts w:ascii="Times New Roman" w:hAnsi="Times New Roman" w:cs="Times New Roman"/>
          <w:noProof/>
          <w:sz w:val="24"/>
          <w:szCs w:val="24"/>
          <w:u w:val="single"/>
        </w:rPr>
      </w:pPr>
      <w:r>
        <w:rPr>
          <w:rFonts w:ascii="Times New Roman" w:hAnsi="Times New Roman"/>
          <w:noProof/>
          <w:sz w:val="24"/>
          <w:szCs w:val="24"/>
          <w:u w:val="single"/>
        </w:rPr>
        <w:t>Инвестиция 3 (C6.I3) – интермодалност и логистика</w:t>
      </w:r>
    </w:p>
    <w:p>
      <w:pPr>
        <w:spacing w:line="240" w:lineRule="auto"/>
        <w:jc w:val="both"/>
        <w:rPr>
          <w:rFonts w:ascii="Times New Roman" w:hAnsi="Times New Roman" w:cs="Times New Roman"/>
          <w:noProof/>
          <w:sz w:val="24"/>
        </w:rPr>
      </w:pPr>
      <w:r>
        <w:rPr>
          <w:rFonts w:ascii="Times New Roman" w:hAnsi="Times New Roman"/>
          <w:noProof/>
          <w:sz w:val="24"/>
        </w:rPr>
        <w:t>Целта на мярката е да се изпълни ос 6 от Стратегията за сигурна, устойчива и свързана мобилност (R1) относно интелигентни интермодални логистични вериги.</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Инвестицията се състои от три направления на действие: </w:t>
      </w:r>
    </w:p>
    <w:p>
      <w:pPr>
        <w:pStyle w:val="ListParagraph"/>
        <w:numPr>
          <w:ilvl w:val="0"/>
          <w:numId w:val="132"/>
        </w:numPr>
        <w:spacing w:line="240" w:lineRule="auto"/>
        <w:ind w:left="993" w:hanging="284"/>
        <w:jc w:val="both"/>
        <w:rPr>
          <w:rFonts w:ascii="Times New Roman" w:hAnsi="Times New Roman" w:cs="Times New Roman"/>
          <w:noProof/>
          <w:sz w:val="24"/>
          <w:szCs w:val="24"/>
        </w:rPr>
      </w:pPr>
      <w:r>
        <w:rPr>
          <w:rFonts w:ascii="Times New Roman" w:hAnsi="Times New Roman"/>
          <w:noProof/>
          <w:sz w:val="24"/>
          <w:szCs w:val="24"/>
        </w:rPr>
        <w:t xml:space="preserve">разработване или модернизиране на девет стратегически интермодални и логистични терминала, за да се интегрират в някои случаи интермодалните терминали в логистичния район и във всички случаи да се насърчи пренасочването на товарите от автомобилния към железопътния транспорт. </w:t>
      </w:r>
    </w:p>
    <w:p>
      <w:pPr>
        <w:pStyle w:val="ListParagraph"/>
        <w:numPr>
          <w:ilvl w:val="0"/>
          <w:numId w:val="132"/>
        </w:numPr>
        <w:spacing w:line="240" w:lineRule="auto"/>
        <w:ind w:left="993" w:hanging="284"/>
        <w:jc w:val="both"/>
        <w:rPr>
          <w:rFonts w:ascii="Times New Roman" w:hAnsi="Times New Roman" w:cs="Times New Roman"/>
          <w:noProof/>
          <w:sz w:val="24"/>
          <w:szCs w:val="24"/>
        </w:rPr>
      </w:pPr>
      <w:r>
        <w:rPr>
          <w:rFonts w:ascii="Times New Roman" w:hAnsi="Times New Roman"/>
          <w:noProof/>
          <w:sz w:val="24"/>
          <w:szCs w:val="24"/>
        </w:rPr>
        <w:t xml:space="preserve">подобряване на железопътния и шосейния достъп до испанските пристанища с цел насърчаване на железопътния товарен транспорт чрез подобряване на свързването на пристанищата с железопътната мрежа (2 пристанища) и пътната мрежа (едно пристанище); </w:t>
      </w:r>
    </w:p>
    <w:p>
      <w:pPr>
        <w:pStyle w:val="ListParagraph"/>
        <w:numPr>
          <w:ilvl w:val="0"/>
          <w:numId w:val="132"/>
        </w:numPr>
        <w:spacing w:line="240" w:lineRule="auto"/>
        <w:ind w:left="993" w:hanging="284"/>
        <w:jc w:val="both"/>
        <w:rPr>
          <w:rFonts w:ascii="Times New Roman" w:hAnsi="Times New Roman" w:cs="Times New Roman"/>
          <w:noProof/>
          <w:sz w:val="24"/>
          <w:szCs w:val="24"/>
        </w:rPr>
      </w:pPr>
      <w:r>
        <w:rPr>
          <w:rFonts w:ascii="Times New Roman" w:hAnsi="Times New Roman"/>
          <w:noProof/>
          <w:sz w:val="24"/>
          <w:szCs w:val="24"/>
        </w:rPr>
        <w:t>подобрена достъпност (19 проекта) и устойчивост в пристанищата (проекти в 25 пристанищни органа).</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Критериите за подбор гарантират, че най-малко 584 000 000 EUR допринасят за постигане на целите във връзка с изменението на климата със 100 % коефициент в областта на климата и най-малко 217 000 000 EUR с коефициент в областта на климата от 40 % в съответствие с приложение VI към Регламент (ЕС) 2021/241 относно Механизма за възстановяване и устойчивост.</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Изпълнението на инвестицията приключва до 30 юни 2026 г.</w:t>
      </w:r>
    </w:p>
    <w:p>
      <w:pPr>
        <w:spacing w:line="240" w:lineRule="auto"/>
        <w:jc w:val="both"/>
        <w:rPr>
          <w:rFonts w:ascii="Times New Roman" w:hAnsi="Times New Roman" w:cs="Times New Roman"/>
          <w:noProof/>
          <w:sz w:val="24"/>
          <w:u w:val="single"/>
        </w:rPr>
      </w:pPr>
      <w:r>
        <w:rPr>
          <w:rFonts w:ascii="Times New Roman" w:hAnsi="Times New Roman"/>
          <w:noProof/>
          <w:sz w:val="24"/>
          <w:u w:val="single"/>
        </w:rPr>
        <w:t>Инвестиция 4 (C6.I4) – Програма за подкрепа на устойчивия и цифровия транспорт</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Целта на мярката е да се подобри ефективността на транспортната система чрез цифровизация и въвеждане на нови технологии в сектора и чрез подпомагане на най-устойчивите транспортни средства, по-специално железопътния транспорт. Тази инвестиция е съгласувана с инициативите на работната програма на Механизма за свързване на Европа (МСЕ) и призовава за развитието на трансевропейската транспортна мрежа.</w:t>
      </w:r>
    </w:p>
    <w:p>
      <w:pPr>
        <w:spacing w:line="240" w:lineRule="auto"/>
        <w:jc w:val="both"/>
        <w:rPr>
          <w:rFonts w:ascii="Times New Roman" w:hAnsi="Times New Roman" w:cs="Times New Roman"/>
          <w:noProof/>
          <w:sz w:val="24"/>
        </w:rPr>
      </w:pPr>
      <w:r>
        <w:rPr>
          <w:rFonts w:ascii="Times New Roman" w:hAnsi="Times New Roman"/>
          <w:noProof/>
          <w:sz w:val="24"/>
        </w:rPr>
        <w:t>Инвестицията се състои от пакет от 15 действия в следните области:</w:t>
      </w:r>
    </w:p>
    <w:p>
      <w:pPr>
        <w:spacing w:line="240" w:lineRule="auto"/>
        <w:ind w:firstLine="709"/>
        <w:jc w:val="both"/>
        <w:rPr>
          <w:rFonts w:ascii="Times New Roman" w:hAnsi="Times New Roman" w:cs="Times New Roman"/>
          <w:noProof/>
          <w:sz w:val="24"/>
        </w:rPr>
      </w:pPr>
      <w:r>
        <w:rPr>
          <w:rFonts w:ascii="Times New Roman" w:hAnsi="Times New Roman"/>
          <w:i/>
          <w:noProof/>
          <w:sz w:val="24"/>
        </w:rPr>
        <w:t xml:space="preserve">Направление по действие 1. Оперативна съвместимост в железопътния товарен транспорт </w:t>
      </w:r>
    </w:p>
    <w:p>
      <w:pPr>
        <w:spacing w:line="240" w:lineRule="auto"/>
        <w:ind w:left="709"/>
        <w:jc w:val="both"/>
        <w:rPr>
          <w:rFonts w:ascii="Times New Roman" w:hAnsi="Times New Roman" w:cs="Times New Roman"/>
          <w:noProof/>
          <w:sz w:val="24"/>
        </w:rPr>
      </w:pPr>
      <w:r>
        <w:rPr>
          <w:rFonts w:ascii="Times New Roman" w:hAnsi="Times New Roman"/>
          <w:noProof/>
          <w:sz w:val="24"/>
        </w:rPr>
        <w:t xml:space="preserve">1. Бордови европейски системи за управление на железопътното движение (ERTMS); </w:t>
      </w:r>
    </w:p>
    <w:p>
      <w:pPr>
        <w:spacing w:line="240" w:lineRule="auto"/>
        <w:ind w:left="709"/>
        <w:jc w:val="both"/>
        <w:rPr>
          <w:rFonts w:ascii="Times New Roman" w:hAnsi="Times New Roman" w:cs="Times New Roman"/>
          <w:noProof/>
          <w:sz w:val="24"/>
        </w:rPr>
      </w:pPr>
      <w:r>
        <w:rPr>
          <w:rFonts w:ascii="Times New Roman" w:hAnsi="Times New Roman"/>
          <w:noProof/>
          <w:sz w:val="24"/>
        </w:rPr>
        <w:t>2. Действия за премахване на пречките пред оперативната съвместимост на железопътния транспорт;</w:t>
      </w:r>
    </w:p>
    <w:p>
      <w:pPr>
        <w:spacing w:line="240" w:lineRule="auto"/>
        <w:ind w:left="709"/>
        <w:jc w:val="both"/>
        <w:rPr>
          <w:rFonts w:ascii="Times New Roman" w:hAnsi="Times New Roman" w:cs="Times New Roman"/>
          <w:noProof/>
          <w:sz w:val="24"/>
          <w:szCs w:val="24"/>
        </w:rPr>
      </w:pPr>
      <w:r>
        <w:rPr>
          <w:rFonts w:ascii="Times New Roman" w:hAnsi="Times New Roman"/>
          <w:noProof/>
          <w:sz w:val="24"/>
          <w:szCs w:val="24"/>
        </w:rPr>
        <w:t>3. Иновации и развитие на оста на променливото междурелсие в локомотивите;</w:t>
      </w:r>
    </w:p>
    <w:p>
      <w:pPr>
        <w:spacing w:line="240" w:lineRule="auto"/>
        <w:ind w:firstLine="709"/>
        <w:jc w:val="both"/>
        <w:rPr>
          <w:rFonts w:ascii="Times New Roman" w:hAnsi="Times New Roman" w:cs="Times New Roman"/>
          <w:i/>
          <w:noProof/>
          <w:sz w:val="24"/>
          <w:szCs w:val="24"/>
        </w:rPr>
      </w:pPr>
      <w:r>
        <w:rPr>
          <w:rFonts w:ascii="Times New Roman" w:hAnsi="Times New Roman"/>
          <w:i/>
          <w:noProof/>
          <w:sz w:val="24"/>
          <w:szCs w:val="24"/>
        </w:rPr>
        <w:t xml:space="preserve">Направление по действие 2. Насърчаване на интермодалността на транспорта </w:t>
      </w:r>
    </w:p>
    <w:p>
      <w:pPr>
        <w:spacing w:line="240" w:lineRule="auto"/>
        <w:ind w:left="709"/>
        <w:jc w:val="both"/>
        <w:rPr>
          <w:rFonts w:ascii="Times New Roman" w:hAnsi="Times New Roman" w:cs="Times New Roman"/>
          <w:noProof/>
          <w:sz w:val="24"/>
        </w:rPr>
      </w:pPr>
      <w:r>
        <w:rPr>
          <w:rFonts w:ascii="Times New Roman" w:hAnsi="Times New Roman"/>
          <w:noProof/>
          <w:sz w:val="24"/>
        </w:rPr>
        <w:t>4. Строителство, адаптиране или модернизиране на товари и интермодални железопътно-автомобилни терминали и техните наземни връзки;</w:t>
      </w:r>
    </w:p>
    <w:p>
      <w:pPr>
        <w:spacing w:line="240" w:lineRule="auto"/>
        <w:ind w:left="709"/>
        <w:jc w:val="both"/>
        <w:rPr>
          <w:rFonts w:ascii="Times New Roman" w:hAnsi="Times New Roman" w:cs="Times New Roman"/>
          <w:noProof/>
          <w:sz w:val="24"/>
          <w:szCs w:val="24"/>
        </w:rPr>
      </w:pPr>
      <w:r>
        <w:rPr>
          <w:rFonts w:ascii="Times New Roman" w:hAnsi="Times New Roman"/>
          <w:noProof/>
          <w:sz w:val="24"/>
          <w:szCs w:val="24"/>
        </w:rPr>
        <w:t>5. Подкрепа за устойчив товарен транспорт (железопътен и морски транспорт) въз основа на ECO-INCENTIVES за търсенето и предлагането;</w:t>
      </w:r>
    </w:p>
    <w:p>
      <w:pPr>
        <w:spacing w:line="240" w:lineRule="auto"/>
        <w:ind w:firstLine="709"/>
        <w:jc w:val="both"/>
        <w:rPr>
          <w:rFonts w:ascii="Times New Roman" w:hAnsi="Times New Roman" w:cs="Times New Roman"/>
          <w:i/>
          <w:noProof/>
          <w:sz w:val="24"/>
        </w:rPr>
      </w:pPr>
      <w:r>
        <w:rPr>
          <w:rFonts w:ascii="Times New Roman" w:hAnsi="Times New Roman"/>
          <w:i/>
          <w:noProof/>
          <w:sz w:val="24"/>
        </w:rPr>
        <w:t>Направление по действие 3. Модернизация на оборудването за железопътен товарен превоз</w:t>
      </w:r>
    </w:p>
    <w:p>
      <w:pPr>
        <w:spacing w:line="240" w:lineRule="auto"/>
        <w:ind w:left="709"/>
        <w:jc w:val="both"/>
        <w:rPr>
          <w:rFonts w:ascii="Times New Roman" w:hAnsi="Times New Roman" w:cs="Times New Roman"/>
          <w:noProof/>
          <w:sz w:val="24"/>
        </w:rPr>
      </w:pPr>
      <w:r>
        <w:rPr>
          <w:rFonts w:ascii="Times New Roman" w:hAnsi="Times New Roman"/>
          <w:noProof/>
          <w:sz w:val="24"/>
        </w:rPr>
        <w:t>6. Действия в подкрепа на обновяването или модернизирането на вагони за железопътен товарен превоз, включително за създаването на железопътни магистрали;</w:t>
      </w:r>
    </w:p>
    <w:p>
      <w:pPr>
        <w:spacing w:line="240" w:lineRule="auto"/>
        <w:ind w:left="709"/>
        <w:jc w:val="both"/>
        <w:rPr>
          <w:rFonts w:ascii="Times New Roman" w:hAnsi="Times New Roman" w:cs="Times New Roman"/>
          <w:noProof/>
          <w:sz w:val="24"/>
        </w:rPr>
      </w:pPr>
      <w:r>
        <w:rPr>
          <w:rFonts w:ascii="Times New Roman" w:hAnsi="Times New Roman"/>
          <w:noProof/>
          <w:sz w:val="24"/>
        </w:rPr>
        <w:t>7. Действия в подкрепа на обновяването или адаптирането на железопътно оборудване с други материали, използващи алтернативни горива като водород или електроенергия;</w:t>
      </w:r>
    </w:p>
    <w:p>
      <w:pPr>
        <w:spacing w:line="240" w:lineRule="auto"/>
        <w:ind w:firstLine="709"/>
        <w:jc w:val="both"/>
        <w:rPr>
          <w:rFonts w:ascii="Times New Roman" w:hAnsi="Times New Roman" w:cs="Times New Roman"/>
          <w:i/>
          <w:noProof/>
          <w:sz w:val="24"/>
        </w:rPr>
      </w:pPr>
      <w:r>
        <w:rPr>
          <w:rFonts w:ascii="Times New Roman" w:hAnsi="Times New Roman"/>
          <w:i/>
          <w:noProof/>
          <w:sz w:val="24"/>
        </w:rPr>
        <w:t>Направление по действие 4. Безопасен, устойчив и свързан автомобилен транспорт</w:t>
      </w:r>
    </w:p>
    <w:p>
      <w:pPr>
        <w:spacing w:line="240" w:lineRule="auto"/>
        <w:ind w:left="709"/>
        <w:jc w:val="both"/>
        <w:rPr>
          <w:rFonts w:ascii="Times New Roman" w:hAnsi="Times New Roman" w:cs="Times New Roman"/>
          <w:noProof/>
          <w:sz w:val="24"/>
        </w:rPr>
      </w:pPr>
      <w:r>
        <w:rPr>
          <w:rFonts w:ascii="Times New Roman" w:hAnsi="Times New Roman"/>
          <w:noProof/>
          <w:sz w:val="24"/>
        </w:rPr>
        <w:t>8. Изграждане и модернизиране на безопасни зони за паркиране за търговски превозни средства и предоставяне на информационни услуги;</w:t>
      </w:r>
    </w:p>
    <w:p>
      <w:pPr>
        <w:spacing w:line="240" w:lineRule="auto"/>
        <w:ind w:left="709"/>
        <w:jc w:val="both"/>
        <w:rPr>
          <w:rFonts w:ascii="Times New Roman" w:hAnsi="Times New Roman" w:cs="Times New Roman"/>
          <w:noProof/>
          <w:sz w:val="24"/>
        </w:rPr>
      </w:pPr>
      <w:r>
        <w:rPr>
          <w:rFonts w:ascii="Times New Roman" w:hAnsi="Times New Roman"/>
          <w:noProof/>
          <w:sz w:val="24"/>
        </w:rPr>
        <w:t>9. Интелигентни транспортни услуги за автомобилния сектор (ИТС) при концесии на платени автомагистрали и други услуги за пътна безопасност и опазване;</w:t>
      </w:r>
    </w:p>
    <w:p>
      <w:pPr>
        <w:spacing w:line="240" w:lineRule="auto"/>
        <w:ind w:left="709"/>
        <w:jc w:val="both"/>
        <w:rPr>
          <w:rFonts w:ascii="Times New Roman" w:hAnsi="Times New Roman" w:cs="Times New Roman"/>
          <w:noProof/>
          <w:sz w:val="24"/>
        </w:rPr>
      </w:pPr>
      <w:r>
        <w:rPr>
          <w:rFonts w:ascii="Times New Roman" w:hAnsi="Times New Roman"/>
          <w:noProof/>
          <w:sz w:val="24"/>
        </w:rPr>
        <w:t>10. Действия в подкрепа на разгръщането на инфраструктура за алтернативно зареждане на тежкотоварни превозни средства по пътната мрежа. Критериите за допустимост на тази мярка гарантират съответствие с Техническите насоки „Ненанасяне на значителни вреди“ (2021/C58/01) чрез определяне на условие, при което към момента на изграждане на инфраструктурата за преход и разпределение на газообразни горива се предоставя възможност за пренос на възобновяеми и нисковъглеродни газове;</w:t>
      </w:r>
    </w:p>
    <w:p>
      <w:pPr>
        <w:spacing w:line="240" w:lineRule="auto"/>
        <w:ind w:left="709"/>
        <w:jc w:val="both"/>
        <w:rPr>
          <w:rFonts w:ascii="Times New Roman" w:hAnsi="Times New Roman" w:cs="Times New Roman"/>
          <w:noProof/>
          <w:sz w:val="24"/>
        </w:rPr>
      </w:pPr>
      <w:r>
        <w:rPr>
          <w:rFonts w:ascii="Times New Roman" w:hAnsi="Times New Roman"/>
          <w:noProof/>
          <w:sz w:val="24"/>
        </w:rPr>
        <w:t>11. Действия в подкрепа на обновяването или адаптирането на машини за устойчиви пътни настилки, намаляване на въглеродния отпечатък и намаляване на шума;</w:t>
      </w:r>
    </w:p>
    <w:p>
      <w:pPr>
        <w:spacing w:line="240" w:lineRule="auto"/>
        <w:ind w:firstLine="709"/>
        <w:jc w:val="both"/>
        <w:rPr>
          <w:rFonts w:ascii="Times New Roman" w:hAnsi="Times New Roman" w:cs="Times New Roman"/>
          <w:i/>
          <w:noProof/>
          <w:sz w:val="24"/>
        </w:rPr>
      </w:pPr>
      <w:r>
        <w:rPr>
          <w:rFonts w:ascii="Times New Roman" w:hAnsi="Times New Roman"/>
          <w:i/>
          <w:noProof/>
          <w:sz w:val="24"/>
        </w:rPr>
        <w:t>Направление по действие 5. Устойчивост на морския и въздушния транспорт</w:t>
      </w:r>
    </w:p>
    <w:p>
      <w:pPr>
        <w:spacing w:line="240" w:lineRule="auto"/>
        <w:ind w:left="709"/>
        <w:jc w:val="both"/>
        <w:rPr>
          <w:rFonts w:ascii="Times New Roman" w:hAnsi="Times New Roman" w:cs="Times New Roman"/>
          <w:noProof/>
          <w:sz w:val="24"/>
        </w:rPr>
      </w:pPr>
      <w:r>
        <w:rPr>
          <w:rFonts w:ascii="Times New Roman" w:hAnsi="Times New Roman"/>
          <w:noProof/>
          <w:sz w:val="24"/>
        </w:rPr>
        <w:t>12. Подкрепа за внедряването на алтернативни горива в пристанищата и летищата. Критериите за допустимост на тази мярка гарантират съответствие с Техническите насоки „Ненанасяне на значителни вреди“ (2021/C58/01) чрез определяне на условие, при което към момента на изграждане на инфраструктурата за преход и разпределение на газообразни горива се предоставя възможност за пренос на възобновяеми и нисковъглеродни газове;</w:t>
      </w:r>
    </w:p>
    <w:p>
      <w:pPr>
        <w:spacing w:line="240" w:lineRule="auto"/>
        <w:ind w:left="709"/>
        <w:jc w:val="both"/>
        <w:rPr>
          <w:rFonts w:ascii="Times New Roman" w:hAnsi="Times New Roman" w:cs="Times New Roman"/>
          <w:noProof/>
          <w:sz w:val="24"/>
        </w:rPr>
      </w:pPr>
      <w:r>
        <w:rPr>
          <w:rFonts w:ascii="Times New Roman" w:hAnsi="Times New Roman"/>
          <w:noProof/>
          <w:sz w:val="24"/>
        </w:rPr>
        <w:t>13. Подкрепа за внедряването на алтернативни енергийни технологии в морския сектор;</w:t>
      </w:r>
    </w:p>
    <w:p>
      <w:pPr>
        <w:spacing w:line="240" w:lineRule="auto"/>
        <w:ind w:firstLine="709"/>
        <w:jc w:val="both"/>
        <w:rPr>
          <w:rFonts w:ascii="Times New Roman" w:hAnsi="Times New Roman" w:cs="Times New Roman"/>
          <w:i/>
          <w:noProof/>
          <w:sz w:val="24"/>
        </w:rPr>
      </w:pPr>
      <w:r>
        <w:rPr>
          <w:rFonts w:ascii="Times New Roman" w:hAnsi="Times New Roman"/>
          <w:i/>
          <w:noProof/>
          <w:sz w:val="24"/>
        </w:rPr>
        <w:t>Направление по действие 6. Цифровизация на транспорта</w:t>
      </w:r>
    </w:p>
    <w:p>
      <w:pPr>
        <w:spacing w:line="240" w:lineRule="auto"/>
        <w:ind w:left="709"/>
        <w:jc w:val="both"/>
        <w:rPr>
          <w:rFonts w:ascii="Times New Roman" w:hAnsi="Times New Roman" w:cs="Times New Roman"/>
          <w:noProof/>
          <w:sz w:val="24"/>
        </w:rPr>
      </w:pPr>
      <w:r>
        <w:rPr>
          <w:rFonts w:ascii="Times New Roman" w:hAnsi="Times New Roman"/>
          <w:noProof/>
          <w:sz w:val="24"/>
        </w:rPr>
        <w:t>14. Проекти за цифровизация на услугите за пътнически и товарен транспорт на национално равнище;</w:t>
      </w:r>
    </w:p>
    <w:p>
      <w:pPr>
        <w:spacing w:line="240" w:lineRule="auto"/>
        <w:ind w:firstLine="709"/>
        <w:jc w:val="both"/>
        <w:rPr>
          <w:rFonts w:ascii="Times New Roman" w:hAnsi="Times New Roman" w:cs="Times New Roman"/>
          <w:noProof/>
          <w:sz w:val="24"/>
        </w:rPr>
      </w:pPr>
      <w:r>
        <w:rPr>
          <w:rFonts w:ascii="Times New Roman" w:hAnsi="Times New Roman"/>
          <w:i/>
          <w:noProof/>
          <w:sz w:val="24"/>
        </w:rPr>
        <w:t xml:space="preserve">Прехвърляне към автономните области </w:t>
      </w:r>
    </w:p>
    <w:p>
      <w:pPr>
        <w:spacing w:line="240" w:lineRule="auto"/>
        <w:ind w:left="709"/>
        <w:jc w:val="both"/>
        <w:rPr>
          <w:rFonts w:ascii="Times New Roman" w:hAnsi="Times New Roman" w:cs="Times New Roman"/>
          <w:noProof/>
          <w:sz w:val="24"/>
        </w:rPr>
      </w:pPr>
      <w:r>
        <w:rPr>
          <w:rFonts w:ascii="Times New Roman" w:hAnsi="Times New Roman"/>
          <w:noProof/>
          <w:sz w:val="24"/>
        </w:rPr>
        <w:t>15. Проекти за цифровизация на услугите за превоз на пътници и товари на регионално и местно равнище;</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Критериите за подбор гарантират, че най-малко 63 500 000 EUR допринасят за постигане на целите във връзка с изменението на климата със 100 % коефициент в областта на климата и най-малко 210 000 000 EUR с коефициент в областта на климата от 40 % в съответствие с приложение VI към Регламент (ЕС) 2021/241 относно Механизма за възстановяване и устойчивост.</w:t>
      </w:r>
    </w:p>
    <w:p>
      <w:pPr>
        <w:spacing w:line="240" w:lineRule="auto"/>
        <w:jc w:val="both"/>
        <w:rPr>
          <w:rFonts w:ascii="Times New Roman" w:hAnsi="Times New Roman" w:cs="Times New Roman"/>
          <w:b/>
          <w:bCs/>
          <w:noProof/>
          <w:sz w:val="24"/>
          <w:u w:val="single"/>
        </w:rPr>
      </w:pPr>
      <w:r>
        <w:rPr>
          <w:rFonts w:ascii="Times New Roman" w:hAnsi="Times New Roman"/>
          <w:noProof/>
          <w:sz w:val="24"/>
          <w:szCs w:val="24"/>
        </w:rPr>
        <w:t>Изпълнението на инвестицията приключва до 30 юни 2026 г.</w:t>
      </w:r>
    </w:p>
    <w:p>
      <w:pPr>
        <w:spacing w:before="120" w:after="120" w:line="240" w:lineRule="auto"/>
        <w:ind w:left="709"/>
        <w:jc w:val="both"/>
        <w:rPr>
          <w:rFonts w:ascii="Times New Roman" w:hAnsi="Times New Roman" w:cs="Times New Roman"/>
          <w:b/>
          <w:bCs/>
          <w:noProof/>
          <w:sz w:val="24"/>
          <w:u w:val="single"/>
        </w:rPr>
      </w:pPr>
      <w:r>
        <w:rPr>
          <w:rFonts w:ascii="Times New Roman" w:hAnsi="Times New Roman"/>
          <w:b/>
          <w:bCs/>
          <w:noProof/>
          <w:sz w:val="24"/>
          <w:u w:val="single"/>
        </w:rPr>
        <w:t xml:space="preserve">Е.2. </w:t>
      </w:r>
      <w:r>
        <w:rPr>
          <w:rFonts w:ascii="Times New Roman" w:hAnsi="Times New Roman"/>
          <w:b/>
          <w:noProof/>
          <w:sz w:val="24"/>
          <w:u w:val="single"/>
        </w:rPr>
        <w:tab/>
      </w:r>
      <w:r>
        <w:rPr>
          <w:rFonts w:ascii="Times New Roman" w:hAnsi="Times New Roman"/>
          <w:b/>
          <w:bCs/>
          <w:noProof/>
          <w:sz w:val="24"/>
          <w:u w:val="single"/>
        </w:rPr>
        <w:t>Ключови етапи, цели, показатели и график за мониторинг и изпълнение на безвъзмездната финансова подкрепа</w:t>
      </w:r>
    </w:p>
    <w:p>
      <w:pPr>
        <w:spacing w:before="120" w:after="120" w:line="240" w:lineRule="auto"/>
        <w:jc w:val="both"/>
        <w:rPr>
          <w:rFonts w:ascii="Times New Roman" w:hAnsi="Times New Roman" w:cs="Times New Roman"/>
          <w:noProof/>
          <w:color w:val="1F497D"/>
        </w:rPr>
      </w:pPr>
      <w:r>
        <w:rPr>
          <w:rFonts w:ascii="Times New Roman" w:hAnsi="Times New Roman"/>
          <w:i/>
          <w:iCs/>
          <w:noProof/>
          <w:color w:val="000000"/>
          <w:sz w:val="24"/>
        </w:rPr>
        <w:t>Вж. таблицата по-долу.</w:t>
      </w:r>
      <w:r>
        <w:rPr>
          <w:rFonts w:ascii="Times New Roman" w:hAnsi="Times New Roman"/>
          <w:noProof/>
          <w:color w:val="1F497D"/>
          <w:sz w:val="24"/>
        </w:rPr>
        <w:t xml:space="preserve"> </w:t>
      </w:r>
      <w:r>
        <w:rPr>
          <w:rFonts w:ascii="Times New Roman" w:hAnsi="Times New Roman"/>
          <w:i/>
          <w:iCs/>
          <w:noProof/>
          <w:color w:val="000000"/>
          <w:sz w:val="24"/>
        </w:rPr>
        <w:t>Датата на базовата линия за всички показатели е 1 февруари 2020 г., освен ако не е посочено друго в описанието на действието. Сумите в таблицата не включват ДДС.</w:t>
      </w:r>
    </w:p>
    <w:p>
      <w:pPr>
        <w:spacing w:before="120" w:after="120" w:line="240" w:lineRule="auto"/>
        <w:jc w:val="both"/>
        <w:rPr>
          <w:rFonts w:ascii="Times New Roman" w:hAnsi="Times New Roman" w:cs="Times New Roman"/>
          <w:b/>
          <w:noProof/>
          <w:sz w:val="24"/>
          <w:u w:val="single"/>
          <w:lang w:val="en-IE"/>
        </w:rPr>
      </w:pPr>
    </w:p>
    <w:p>
      <w:pPr>
        <w:spacing w:before="120" w:after="120" w:line="240" w:lineRule="auto"/>
        <w:ind w:left="709"/>
        <w:jc w:val="both"/>
        <w:rPr>
          <w:rFonts w:ascii="Times New Roman" w:hAnsi="Times New Roman" w:cs="Times New Roman"/>
          <w:noProof/>
          <w:sz w:val="24"/>
          <w:lang w:val="en-IE"/>
        </w:rPr>
      </w:pPr>
    </w:p>
    <w:p>
      <w:pPr>
        <w:spacing w:before="120" w:after="120" w:line="240" w:lineRule="auto"/>
        <w:ind w:left="709"/>
        <w:jc w:val="both"/>
        <w:rPr>
          <w:rFonts w:ascii="Times New Roman" w:hAnsi="Times New Roman" w:cs="Times New Roman"/>
          <w:noProof/>
          <w:sz w:val="24"/>
          <w:lang w:val="en-IE"/>
        </w:rPr>
        <w:sectPr>
          <w:headerReference w:type="even" r:id="rId79"/>
          <w:headerReference w:type="default" r:id="rId80"/>
          <w:footerReference w:type="even" r:id="rId81"/>
          <w:footerReference w:type="default" r:id="rId82"/>
          <w:headerReference w:type="first" r:id="rId83"/>
          <w:footerReference w:type="first" r:id="rId84"/>
          <w:pgSz w:w="11907" w:h="16839"/>
          <w:pgMar w:top="1134" w:right="1417" w:bottom="1134" w:left="1417" w:header="709" w:footer="709" w:gutter="0"/>
          <w:cols w:space="720"/>
          <w:docGrid w:linePitch="360"/>
        </w:sectPr>
      </w:pPr>
    </w:p>
    <w:tbl>
      <w:tblPr>
        <w:tblW w:w="14146"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09"/>
        <w:gridCol w:w="851"/>
        <w:gridCol w:w="850"/>
        <w:gridCol w:w="1512"/>
        <w:gridCol w:w="1182"/>
        <w:gridCol w:w="798"/>
        <w:gridCol w:w="619"/>
        <w:gridCol w:w="567"/>
        <w:gridCol w:w="344"/>
        <w:gridCol w:w="648"/>
        <w:gridCol w:w="6066"/>
      </w:tblGrid>
      <w:tr>
        <w:trPr>
          <w:trHeight w:val="309"/>
          <w:tblHeader/>
        </w:trPr>
        <w:tc>
          <w:tcPr>
            <w:tcW w:w="709"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szCs w:val="18"/>
              </w:rPr>
              <w:t>Номер</w:t>
            </w:r>
          </w:p>
        </w:tc>
        <w:tc>
          <w:tcPr>
            <w:tcW w:w="851"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szCs w:val="18"/>
              </w:rPr>
              <w:t>Мярка</w:t>
            </w:r>
          </w:p>
        </w:tc>
        <w:tc>
          <w:tcPr>
            <w:tcW w:w="850"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szCs w:val="18"/>
              </w:rPr>
              <w:t>Ключов етап / Цел</w:t>
            </w:r>
          </w:p>
        </w:tc>
        <w:tc>
          <w:tcPr>
            <w:tcW w:w="1512"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szCs w:val="18"/>
              </w:rPr>
              <w:t>Наименование</w:t>
            </w:r>
          </w:p>
        </w:tc>
        <w:tc>
          <w:tcPr>
            <w:tcW w:w="1182"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szCs w:val="18"/>
              </w:rPr>
              <w:t>Качествени показатели за ключовите етапи</w:t>
            </w:r>
          </w:p>
        </w:tc>
        <w:tc>
          <w:tcPr>
            <w:tcW w:w="1984" w:type="dxa"/>
            <w:gridSpan w:val="3"/>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szCs w:val="18"/>
              </w:rPr>
              <w:t>Количествени показатели за целите</w:t>
            </w:r>
          </w:p>
        </w:tc>
        <w:tc>
          <w:tcPr>
            <w:tcW w:w="992" w:type="dxa"/>
            <w:gridSpan w:val="2"/>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szCs w:val="18"/>
              </w:rPr>
              <w:t>Време</w:t>
            </w:r>
          </w:p>
        </w:tc>
        <w:tc>
          <w:tcPr>
            <w:tcW w:w="6066"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bCs/>
                <w:noProof/>
                <w:sz w:val="18"/>
                <w:szCs w:val="18"/>
              </w:rPr>
              <w:t>Описание на всеки ключов етап и всяка цел</w:t>
            </w:r>
          </w:p>
        </w:tc>
      </w:tr>
      <w:tr>
        <w:trPr>
          <w:trHeight w:val="309"/>
          <w:tblHeader/>
        </w:trPr>
        <w:tc>
          <w:tcPr>
            <w:tcW w:w="709"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851"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850"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1512" w:type="dxa"/>
            <w:tcBorders>
              <w:top w:val="nil"/>
            </w:tcBorders>
            <w:shd w:val="clear" w:color="auto" w:fill="C6D9F1" w:themeFill="text2" w:themeFillTint="33"/>
            <w:noWrap/>
          </w:tcPr>
          <w:p>
            <w:pPr>
              <w:spacing w:after="0" w:line="240" w:lineRule="auto"/>
              <w:rPr>
                <w:rFonts w:ascii="Times New Roman" w:hAnsi="Times New Roman" w:cs="Times New Roman"/>
                <w:b/>
                <w:noProof/>
                <w:color w:val="000000"/>
                <w:sz w:val="18"/>
                <w:szCs w:val="18"/>
              </w:rPr>
            </w:pPr>
          </w:p>
        </w:tc>
        <w:tc>
          <w:tcPr>
            <w:tcW w:w="1182"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798" w:type="dxa"/>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szCs w:val="18"/>
              </w:rPr>
              <w:t>Мерна единица</w:t>
            </w:r>
          </w:p>
        </w:tc>
        <w:tc>
          <w:tcPr>
            <w:tcW w:w="619" w:type="dxa"/>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szCs w:val="18"/>
              </w:rPr>
              <w:t>Базова линия</w:t>
            </w:r>
          </w:p>
        </w:tc>
        <w:tc>
          <w:tcPr>
            <w:tcW w:w="567" w:type="dxa"/>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szCs w:val="18"/>
              </w:rPr>
              <w:t>Цел</w:t>
            </w:r>
          </w:p>
        </w:tc>
        <w:tc>
          <w:tcPr>
            <w:tcW w:w="344" w:type="dxa"/>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szCs w:val="18"/>
              </w:rPr>
              <w:t>T</w:t>
            </w:r>
          </w:p>
        </w:tc>
        <w:tc>
          <w:tcPr>
            <w:tcW w:w="648" w:type="dxa"/>
            <w:shd w:val="clear" w:color="auto" w:fill="C6D9F1" w:themeFill="text2" w:themeFillTint="33"/>
            <w:noWrap/>
            <w:vAlign w:val="center"/>
          </w:tcPr>
          <w:p>
            <w:pPr>
              <w:spacing w:after="0" w:line="240" w:lineRule="auto"/>
              <w:jc w:val="center"/>
              <w:rPr>
                <w:rFonts w:ascii="Times New Roman" w:hAnsi="Times New Roman" w:cs="Times New Roman"/>
                <w:b/>
                <w:noProof/>
                <w:color w:val="000000"/>
                <w:spacing w:val="-4"/>
                <w:sz w:val="18"/>
                <w:szCs w:val="18"/>
              </w:rPr>
            </w:pPr>
            <w:r>
              <w:rPr>
                <w:rFonts w:ascii="Times New Roman" w:hAnsi="Times New Roman"/>
                <w:b/>
                <w:noProof/>
                <w:color w:val="000000"/>
                <w:spacing w:val="-4"/>
                <w:sz w:val="18"/>
                <w:szCs w:val="18"/>
              </w:rPr>
              <w:t>Година</w:t>
            </w:r>
          </w:p>
        </w:tc>
        <w:tc>
          <w:tcPr>
            <w:tcW w:w="6066" w:type="dxa"/>
            <w:tcBorders>
              <w:top w:val="nil"/>
            </w:tcBorders>
            <w:shd w:val="clear" w:color="auto" w:fill="C6D9F1" w:themeFill="text2" w:themeFillTint="33"/>
            <w:noWrap/>
          </w:tcPr>
          <w:p>
            <w:pPr>
              <w:spacing w:after="0" w:line="240" w:lineRule="auto"/>
              <w:rPr>
                <w:rFonts w:ascii="Times New Roman" w:hAnsi="Times New Roman" w:cs="Times New Roman"/>
                <w:b/>
                <w:noProof/>
                <w:color w:val="000000"/>
                <w:sz w:val="18"/>
                <w:szCs w:val="18"/>
                <w:lang w:val="en-IE"/>
              </w:rPr>
            </w:pP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82</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C6.R1</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1512"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Стратегия за устойчива, сигурна и свързана мобилност (обществена консултация)</w:t>
            </w:r>
          </w:p>
        </w:tc>
        <w:tc>
          <w:tcPr>
            <w:tcW w:w="1182" w:type="dxa"/>
            <w:shd w:val="clear" w:color="auto" w:fill="C6EFCE"/>
            <w:noWrap/>
          </w:tcPr>
          <w:p>
            <w:pPr>
              <w:spacing w:after="0" w:line="240" w:lineRule="auto"/>
              <w:jc w:val="center"/>
              <w:rPr>
                <w:rFonts w:ascii="Times New Roman" w:eastAsia="Times New Roman" w:hAnsi="Times New Roman" w:cs="Times New Roman"/>
                <w:noProof/>
                <w:spacing w:val="-4"/>
                <w:sz w:val="18"/>
                <w:szCs w:val="18"/>
              </w:rPr>
            </w:pPr>
            <w:r>
              <w:rPr>
                <w:rFonts w:ascii="Times New Roman" w:hAnsi="Times New Roman"/>
                <w:noProof/>
                <w:color w:val="000000"/>
                <w:spacing w:val="-4"/>
                <w:sz w:val="18"/>
                <w:szCs w:val="18"/>
              </w:rPr>
              <w:t>Известие за приключване на консултацията</w:t>
            </w:r>
          </w:p>
        </w:tc>
        <w:tc>
          <w:tcPr>
            <w:tcW w:w="798"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61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34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648"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2020</w:t>
            </w:r>
          </w:p>
        </w:tc>
        <w:tc>
          <w:tcPr>
            <w:tcW w:w="6066"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Край на процеса на обществена консултация относно стратегията, насочен към действия в следните девет области: </w:t>
            </w:r>
            <w:r>
              <w:rPr>
                <w:rFonts w:ascii="Times New Roman" w:hAnsi="Times New Roman"/>
                <w:noProof/>
                <w:color w:val="000000"/>
                <w:sz w:val="18"/>
                <w:szCs w:val="18"/>
              </w:rPr>
              <w:br/>
              <w:t>1) Мобилност за всички (осигуряване на всеобща достъпност на разумна цена);</w:t>
            </w:r>
            <w:r>
              <w:rPr>
                <w:rFonts w:ascii="Times New Roman" w:hAnsi="Times New Roman"/>
                <w:noProof/>
                <w:color w:val="000000"/>
                <w:sz w:val="18"/>
                <w:szCs w:val="18"/>
              </w:rPr>
              <w:br/>
              <w:t>2) Нови инвестиционни политики (за да се осигури адекватно финансиране на транспортните инфраструктури и услуги);</w:t>
            </w:r>
            <w:r>
              <w:rPr>
                <w:rFonts w:ascii="Times New Roman" w:hAnsi="Times New Roman"/>
                <w:noProof/>
                <w:color w:val="000000"/>
                <w:sz w:val="18"/>
                <w:szCs w:val="18"/>
              </w:rPr>
              <w:br/>
              <w:t>3) Сигурна мобилност (приоритетизиране на инвестициите в мониторинг, поддръжка и киберсигурност);</w:t>
            </w:r>
            <w:r>
              <w:rPr>
                <w:rFonts w:ascii="Times New Roman" w:hAnsi="Times New Roman"/>
                <w:noProof/>
                <w:color w:val="000000"/>
                <w:sz w:val="18"/>
                <w:szCs w:val="18"/>
              </w:rPr>
              <w:br/>
              <w:t>4) Мобилност с ниски емисии (повишаване на ефективността, намаляване на потреблението на енергия);</w:t>
            </w:r>
            <w:r>
              <w:rPr>
                <w:rFonts w:ascii="Times New Roman" w:hAnsi="Times New Roman"/>
                <w:noProof/>
                <w:color w:val="000000"/>
                <w:sz w:val="18"/>
                <w:szCs w:val="18"/>
              </w:rPr>
              <w:br/>
              <w:t>5) Интелигентна мобилност (стимулиране на научноизследователската и развойна дейност и иновациите в областта на мобилността, изграждане и управление на интелигентна инфраструктура);</w:t>
            </w:r>
            <w:r>
              <w:rPr>
                <w:rFonts w:ascii="Times New Roman" w:hAnsi="Times New Roman"/>
                <w:noProof/>
                <w:color w:val="000000"/>
                <w:sz w:val="18"/>
                <w:szCs w:val="18"/>
              </w:rPr>
              <w:br/>
              <w:t>6) Интелигентни интермодални логистични вериги (да се даде приоритет на железопътния транспорт на стоки);</w:t>
            </w:r>
            <w:r>
              <w:rPr>
                <w:rFonts w:ascii="Times New Roman" w:hAnsi="Times New Roman"/>
                <w:noProof/>
                <w:color w:val="000000"/>
                <w:sz w:val="18"/>
                <w:szCs w:val="18"/>
              </w:rPr>
              <w:br/>
              <w:t>7) Свързване на Европа и свързаност със света (свързване на пристанищата с интермодални логистични терминали и засилване на сътрудничеството със съседните държави за координиране на изграждането и/или подобряването на трансграничните инфраструктури);</w:t>
            </w:r>
            <w:r>
              <w:rPr>
                <w:rFonts w:ascii="Times New Roman" w:hAnsi="Times New Roman"/>
                <w:noProof/>
                <w:color w:val="000000"/>
                <w:sz w:val="18"/>
                <w:szCs w:val="18"/>
              </w:rPr>
              <w:br/>
              <w:t>8) Социални и трудови аспекти (баланс между половете и действия за преквалификация и повишаване на квалификацията на работната сила в транспортния сектор);</w:t>
            </w:r>
            <w:r>
              <w:rPr>
                <w:rFonts w:ascii="Times New Roman" w:hAnsi="Times New Roman"/>
                <w:noProof/>
                <w:color w:val="000000"/>
                <w:sz w:val="18"/>
                <w:szCs w:val="18"/>
              </w:rPr>
              <w:br/>
              <w:t>9) Цифровизация на Министерството на транспорта (MITMA).</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83</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C6.R1</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1512"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Стратегия за устойчива, сигурна и свързана мобилност (одобрение) </w:t>
            </w:r>
          </w:p>
        </w:tc>
        <w:tc>
          <w:tcPr>
            <w:tcW w:w="1182"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Одобрение от Министерския съвет</w:t>
            </w:r>
          </w:p>
        </w:tc>
        <w:tc>
          <w:tcPr>
            <w:tcW w:w="798"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61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34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648"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2021</w:t>
            </w:r>
          </w:p>
        </w:tc>
        <w:tc>
          <w:tcPr>
            <w:tcW w:w="6066"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Одобряване от Министерския съвет на стратегията, насочена към действия в следните девет области: </w:t>
            </w:r>
            <w:r>
              <w:rPr>
                <w:rFonts w:ascii="Times New Roman" w:hAnsi="Times New Roman"/>
                <w:noProof/>
                <w:color w:val="000000"/>
                <w:sz w:val="18"/>
                <w:szCs w:val="18"/>
              </w:rPr>
              <w:br/>
              <w:t>1) Мобилност за всички (с цел да се гарантира всеобща достъпност на разумна цена);</w:t>
            </w:r>
            <w:r>
              <w:rPr>
                <w:rFonts w:ascii="Times New Roman" w:hAnsi="Times New Roman"/>
                <w:noProof/>
                <w:color w:val="000000"/>
                <w:sz w:val="18"/>
                <w:szCs w:val="18"/>
              </w:rPr>
              <w:br/>
              <w:t>2) Нови инвестиционни политики (за да се осигури адекватно финансиране на транспортните инфраструктури и услуги);</w:t>
            </w:r>
            <w:r>
              <w:rPr>
                <w:rFonts w:ascii="Times New Roman" w:hAnsi="Times New Roman"/>
                <w:noProof/>
                <w:color w:val="000000"/>
                <w:sz w:val="18"/>
                <w:szCs w:val="18"/>
              </w:rPr>
              <w:br/>
              <w:t>3) Сигурна мобилност (приоритетизиране на инвестициите в мониторинг, поддръжка и киберсигурност);</w:t>
            </w:r>
            <w:r>
              <w:rPr>
                <w:rFonts w:ascii="Times New Roman" w:hAnsi="Times New Roman"/>
                <w:noProof/>
                <w:color w:val="000000"/>
                <w:sz w:val="18"/>
                <w:szCs w:val="18"/>
              </w:rPr>
              <w:br/>
              <w:t>4) Мобилност с ниски емисии (повишаване на ефективността, намаляване на потреблението на енергия);</w:t>
            </w:r>
            <w:r>
              <w:rPr>
                <w:rFonts w:ascii="Times New Roman" w:hAnsi="Times New Roman"/>
                <w:noProof/>
                <w:color w:val="000000"/>
                <w:sz w:val="18"/>
                <w:szCs w:val="18"/>
              </w:rPr>
              <w:br/>
              <w:t>5) Интелигентна мобилност (стимулиране на научноизследователската и развойна дейност и иновациите в областта на мобилността, изграждане и управление на интелигентна инфраструктура);</w:t>
            </w:r>
            <w:r>
              <w:rPr>
                <w:rFonts w:ascii="Times New Roman" w:hAnsi="Times New Roman"/>
                <w:noProof/>
                <w:color w:val="000000"/>
                <w:sz w:val="18"/>
                <w:szCs w:val="18"/>
              </w:rPr>
              <w:br/>
              <w:t>6) Интелигентни интермодални логистични вериги (приоритет на железопътния транспорт на товари в публични и частни програми);</w:t>
            </w:r>
            <w:r>
              <w:rPr>
                <w:rFonts w:ascii="Times New Roman" w:hAnsi="Times New Roman"/>
                <w:noProof/>
                <w:color w:val="000000"/>
                <w:sz w:val="18"/>
                <w:szCs w:val="18"/>
              </w:rPr>
              <w:br/>
              <w:t>7) Свързване на Европа и свързаност със света (свързване на пристанищата с интермодални логистични терминали и засилване на сътрудничеството със съседните държави за координиране на изграждането и/или подобряването на трансграничните инфраструктури);</w:t>
            </w:r>
            <w:r>
              <w:rPr>
                <w:rFonts w:ascii="Times New Roman" w:hAnsi="Times New Roman"/>
                <w:noProof/>
                <w:color w:val="000000"/>
                <w:sz w:val="18"/>
                <w:szCs w:val="18"/>
              </w:rPr>
              <w:br/>
              <w:t>8) Социални и трудови аспекти (баланс между половете и действия за преквалификация и повишаване на квалификацията на работната сила в транспортния сектор);</w:t>
            </w:r>
            <w:r>
              <w:rPr>
                <w:rFonts w:ascii="Times New Roman" w:hAnsi="Times New Roman"/>
                <w:noProof/>
                <w:color w:val="000000"/>
                <w:sz w:val="18"/>
                <w:szCs w:val="18"/>
              </w:rPr>
              <w:br/>
              <w:t>9) Цифровизация на Министерството на транспорта MITMA.</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84</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C6.R2</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1512"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Индикативна стратегия за железопътния транспорт</w:t>
            </w:r>
          </w:p>
        </w:tc>
        <w:tc>
          <w:tcPr>
            <w:tcW w:w="1182"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Публикуване в Официален вестник</w:t>
            </w:r>
          </w:p>
        </w:tc>
        <w:tc>
          <w:tcPr>
            <w:tcW w:w="798"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61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34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648"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2022</w:t>
            </w:r>
          </w:p>
        </w:tc>
        <w:tc>
          <w:tcPr>
            <w:tcW w:w="6066" w:type="dxa"/>
            <w:shd w:val="clear" w:color="auto" w:fill="C6EFCE"/>
            <w:noWrap/>
          </w:tcPr>
          <w:p>
            <w:pPr>
              <w:spacing w:after="0" w:line="240" w:lineRule="auto"/>
              <w:rPr>
                <w:rFonts w:ascii="Times New Roman" w:hAnsi="Times New Roman"/>
                <w:noProof/>
                <w:color w:val="000000"/>
                <w:sz w:val="18"/>
                <w:szCs w:val="18"/>
              </w:rPr>
            </w:pPr>
            <w:r>
              <w:rPr>
                <w:rFonts w:ascii="Times New Roman" w:hAnsi="Times New Roman"/>
                <w:noProof/>
                <w:color w:val="000000"/>
                <w:sz w:val="18"/>
                <w:szCs w:val="18"/>
              </w:rPr>
              <w:t>Публикуване в Официален вестник на резолюцията за одобрение на индикативната стратегия за железопътния транспорт с действия относно:</w:t>
            </w:r>
            <w:r>
              <w:rPr>
                <w:rFonts w:ascii="Times New Roman" w:hAnsi="Times New Roman"/>
                <w:noProof/>
                <w:color w:val="000000"/>
                <w:sz w:val="18"/>
                <w:szCs w:val="18"/>
              </w:rPr>
              <w:br/>
              <w:t>а) установяване на по-ясно планиране на действията в железопътния сектор, особено насочени към ежедневната мобилност;</w:t>
            </w:r>
            <w:r>
              <w:rPr>
                <w:rFonts w:ascii="Times New Roman" w:hAnsi="Times New Roman"/>
                <w:noProof/>
                <w:color w:val="000000"/>
                <w:sz w:val="18"/>
                <w:szCs w:val="18"/>
              </w:rPr>
              <w:br/>
              <w:t>б) подобряване на поддръжката на мрежата;</w:t>
            </w:r>
            <w:r>
              <w:rPr>
                <w:rFonts w:ascii="Times New Roman" w:hAnsi="Times New Roman"/>
                <w:noProof/>
                <w:color w:val="000000"/>
                <w:sz w:val="18"/>
                <w:szCs w:val="18"/>
              </w:rPr>
              <w:br/>
              <w:t>в) осигуряване на икономическа устойчивост на железопътната мрежа;</w:t>
            </w:r>
            <w:r>
              <w:rPr>
                <w:rFonts w:ascii="Times New Roman" w:hAnsi="Times New Roman"/>
                <w:noProof/>
                <w:color w:val="000000"/>
                <w:sz w:val="18"/>
                <w:szCs w:val="18"/>
              </w:rPr>
              <w:br/>
              <w:t>г) даване на приоритет на ефективното използване на ресурсите с предварителна и последваща оценка на инвестиционните проекти;</w:t>
            </w:r>
            <w:r>
              <w:rPr>
                <w:rFonts w:ascii="Times New Roman" w:hAnsi="Times New Roman"/>
                <w:noProof/>
                <w:color w:val="000000"/>
                <w:sz w:val="18"/>
                <w:szCs w:val="18"/>
              </w:rPr>
              <w:br/>
              <w:t>д) подобряване на оперативната съвместимост на мрежата, особено по коридорите на трансевропейската мрежа, и интермодалността на мрежата;</w:t>
            </w:r>
            <w:r>
              <w:rPr>
                <w:rFonts w:ascii="Times New Roman" w:hAnsi="Times New Roman"/>
                <w:noProof/>
                <w:color w:val="000000"/>
                <w:sz w:val="18"/>
                <w:szCs w:val="18"/>
              </w:rPr>
              <w:br/>
              <w:t>е) увеличаване на железопътния товарен превоз;</w:t>
            </w:r>
            <w:r>
              <w:rPr>
                <w:rFonts w:ascii="Times New Roman" w:hAnsi="Times New Roman"/>
                <w:noProof/>
                <w:color w:val="000000"/>
                <w:sz w:val="18"/>
                <w:szCs w:val="18"/>
              </w:rPr>
              <w:br/>
              <w:t>ж) повишаване на безопасността в железопътния транспорт;</w:t>
            </w:r>
          </w:p>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з) насърчаване на цифровизацията на транспорта и иновациите, за да се гарантира свързаната мобилност.</w:t>
            </w:r>
            <w:r>
              <w:rPr>
                <w:rFonts w:ascii="Times New Roman" w:hAnsi="Times New Roman"/>
                <w:noProof/>
                <w:color w:val="000000"/>
                <w:sz w:val="18"/>
                <w:szCs w:val="18"/>
              </w:rPr>
              <w:br/>
              <w:t>За всички действия, включени в „Индикативната стратегия за железопътния транспорт“, да гарантират изпълнението на разпоредбите на Закон 21/2013 относно оценката на въздействието върху околната среда и Закон 9/2018 от 5 декември за изменение на Закон 21/2013 и да изпълнят необходимите действия за смекчаване на последиците от оценката на въздействието върху околната среда (ОВОС) за опазване на околната среда.</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85</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C6.I1</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1512"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Основна мрежа TEN-T: възлагане на проекти</w:t>
            </w:r>
          </w:p>
        </w:tc>
        <w:tc>
          <w:tcPr>
            <w:tcW w:w="1182"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Официално уведомление за възлагане на проект</w:t>
            </w:r>
          </w:p>
        </w:tc>
        <w:tc>
          <w:tcPr>
            <w:tcW w:w="798"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w:t>
            </w:r>
          </w:p>
        </w:tc>
        <w:tc>
          <w:tcPr>
            <w:tcW w:w="61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w:t>
            </w:r>
          </w:p>
        </w:tc>
        <w:tc>
          <w:tcPr>
            <w:tcW w:w="34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648"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2022</w:t>
            </w:r>
          </w:p>
        </w:tc>
        <w:tc>
          <w:tcPr>
            <w:tcW w:w="6066" w:type="dxa"/>
            <w:shd w:val="clear" w:color="auto" w:fill="C6EFCE"/>
            <w:noWrap/>
          </w:tcPr>
          <w:p>
            <w:pPr>
              <w:spacing w:after="0" w:line="240" w:lineRule="auto"/>
              <w:rPr>
                <w:rFonts w:ascii="Times New Roman" w:hAnsi="Times New Roman"/>
                <w:noProof/>
                <w:color w:val="000000"/>
                <w:sz w:val="18"/>
                <w:szCs w:val="18"/>
              </w:rPr>
            </w:pPr>
            <w:r>
              <w:rPr>
                <w:rFonts w:ascii="Times New Roman" w:hAnsi="Times New Roman"/>
                <w:noProof/>
                <w:color w:val="000000"/>
                <w:sz w:val="18"/>
                <w:szCs w:val="18"/>
              </w:rPr>
              <w:t>Най-малко 1 400 000 000 EUR бюджет, отпуснат за основната мрежа TEN-T в следните коридори:</w:t>
            </w:r>
            <w:r>
              <w:rPr>
                <w:rFonts w:ascii="Times New Roman" w:hAnsi="Times New Roman"/>
                <w:noProof/>
                <w:color w:val="000000"/>
                <w:sz w:val="18"/>
                <w:szCs w:val="18"/>
              </w:rPr>
              <w:br/>
              <w:t>АТЛАНТИЧЕСКИ КОРИДОР</w:t>
            </w:r>
            <w:r>
              <w:rPr>
                <w:rFonts w:ascii="Times New Roman" w:hAnsi="Times New Roman"/>
                <w:noProof/>
                <w:color w:val="000000"/>
                <w:sz w:val="18"/>
                <w:szCs w:val="18"/>
              </w:rPr>
              <w:br/>
              <w:t>• Y Vasca: Vitoria-Bilbao-San Sebastian/Astigarraga-Irun</w:t>
            </w:r>
            <w:r>
              <w:rPr>
                <w:rFonts w:ascii="Times New Roman" w:hAnsi="Times New Roman"/>
                <w:noProof/>
                <w:color w:val="000000"/>
                <w:sz w:val="18"/>
                <w:szCs w:val="18"/>
              </w:rPr>
              <w:br/>
              <w:t>• Valladolid-Palencia-León</w:t>
            </w:r>
            <w:r>
              <w:rPr>
                <w:rFonts w:ascii="Times New Roman" w:hAnsi="Times New Roman"/>
                <w:noProof/>
                <w:color w:val="000000"/>
                <w:sz w:val="18"/>
                <w:szCs w:val="18"/>
              </w:rPr>
              <w:br/>
              <w:t>• León-La Robla-Pola de Lena</w:t>
            </w:r>
            <w:r>
              <w:rPr>
                <w:rFonts w:ascii="Times New Roman" w:hAnsi="Times New Roman"/>
                <w:noProof/>
                <w:color w:val="000000"/>
                <w:sz w:val="18"/>
                <w:szCs w:val="18"/>
              </w:rPr>
              <w:br/>
              <w:t>• Castejón-Pamplona</w:t>
            </w:r>
            <w:r>
              <w:rPr>
                <w:rFonts w:ascii="Times New Roman" w:hAnsi="Times New Roman"/>
                <w:noProof/>
                <w:color w:val="000000"/>
                <w:sz w:val="18"/>
                <w:szCs w:val="18"/>
              </w:rPr>
              <w:br/>
              <w:t>• Ourense-Monforte</w:t>
            </w:r>
            <w:r>
              <w:rPr>
                <w:rFonts w:ascii="Times New Roman" w:hAnsi="Times New Roman"/>
                <w:noProof/>
                <w:color w:val="000000"/>
                <w:sz w:val="18"/>
                <w:szCs w:val="18"/>
              </w:rPr>
              <w:br/>
              <w:t>• Talayuela-Plasencia-Cáceres-Mérida-Badajoz</w:t>
            </w:r>
            <w:r>
              <w:rPr>
                <w:rFonts w:ascii="Times New Roman" w:hAnsi="Times New Roman"/>
                <w:noProof/>
                <w:color w:val="000000"/>
                <w:sz w:val="18"/>
                <w:szCs w:val="18"/>
              </w:rPr>
              <w:br/>
              <w:t>СРЕДИЗЕМНОМОРСКИ КОРИДОР:</w:t>
            </w:r>
            <w:r>
              <w:rPr>
                <w:rFonts w:ascii="Times New Roman" w:hAnsi="Times New Roman"/>
                <w:noProof/>
                <w:color w:val="000000"/>
                <w:sz w:val="18"/>
                <w:szCs w:val="18"/>
              </w:rPr>
              <w:br/>
              <w:t>• Frontera francesa-Barcelona/Tarragona-Vandellós</w:t>
            </w:r>
            <w:r>
              <w:rPr>
                <w:rFonts w:ascii="Times New Roman" w:hAnsi="Times New Roman"/>
                <w:noProof/>
                <w:color w:val="000000"/>
                <w:sz w:val="18"/>
                <w:szCs w:val="18"/>
              </w:rPr>
              <w:br/>
              <w:t>• Sagunto-Teruel — Zaragoza</w:t>
            </w:r>
            <w:r>
              <w:rPr>
                <w:rFonts w:ascii="Times New Roman" w:hAnsi="Times New Roman"/>
                <w:noProof/>
                <w:color w:val="000000"/>
                <w:sz w:val="18"/>
                <w:szCs w:val="18"/>
              </w:rPr>
              <w:br/>
              <w:t>• Zaragoza-Tarragona</w:t>
            </w:r>
            <w:r>
              <w:rPr>
                <w:rFonts w:ascii="Times New Roman" w:hAnsi="Times New Roman"/>
                <w:noProof/>
                <w:color w:val="000000"/>
                <w:sz w:val="18"/>
                <w:szCs w:val="18"/>
              </w:rPr>
              <w:br/>
              <w:t>• Castellón-Valencia-La Encina-Alicante</w:t>
            </w:r>
            <w:r>
              <w:rPr>
                <w:rFonts w:ascii="Times New Roman" w:hAnsi="Times New Roman"/>
                <w:noProof/>
                <w:color w:val="000000"/>
                <w:sz w:val="18"/>
                <w:szCs w:val="18"/>
              </w:rPr>
              <w:br/>
              <w:t>• Murcia-Cartagena</w:t>
            </w:r>
            <w:r>
              <w:rPr>
                <w:rFonts w:ascii="Times New Roman" w:hAnsi="Times New Roman"/>
                <w:noProof/>
                <w:color w:val="000000"/>
                <w:sz w:val="18"/>
                <w:szCs w:val="18"/>
              </w:rPr>
              <w:br/>
              <w:t>• Murcia-Almería</w:t>
            </w:r>
          </w:p>
          <w:p>
            <w:pPr>
              <w:spacing w:after="0" w:line="240" w:lineRule="auto"/>
              <w:rPr>
                <w:rFonts w:ascii="Times New Roman" w:hAnsi="Times New Roman"/>
                <w:noProof/>
                <w:color w:val="000000"/>
                <w:sz w:val="18"/>
                <w:szCs w:val="18"/>
              </w:rPr>
            </w:pPr>
            <w:r>
              <w:rPr>
                <w:rFonts w:ascii="Times New Roman" w:hAnsi="Times New Roman"/>
                <w:noProof/>
                <w:color w:val="000000"/>
                <w:sz w:val="18"/>
                <w:szCs w:val="18"/>
              </w:rPr>
              <w:t>ОБЩИ ЗА ДВАТА КОРИДОРА:</w:t>
            </w:r>
            <w:r>
              <w:rPr>
                <w:rFonts w:ascii="Times New Roman" w:hAnsi="Times New Roman"/>
                <w:noProof/>
                <w:color w:val="000000"/>
                <w:sz w:val="18"/>
                <w:szCs w:val="18"/>
              </w:rPr>
              <w:br/>
              <w:t>• Свързване HSL Barcelona — HSL Levante</w:t>
            </w:r>
            <w:r>
              <w:rPr>
                <w:rFonts w:ascii="Times New Roman" w:hAnsi="Times New Roman"/>
                <w:noProof/>
                <w:color w:val="000000"/>
                <w:sz w:val="18"/>
                <w:szCs w:val="18"/>
              </w:rPr>
              <w:br/>
              <w:t>• Alcázar de San Juan-Manzanares</w:t>
            </w:r>
            <w:r>
              <w:rPr>
                <w:rFonts w:ascii="Times New Roman" w:hAnsi="Times New Roman"/>
                <w:noProof/>
                <w:color w:val="000000"/>
                <w:sz w:val="18"/>
                <w:szCs w:val="18"/>
              </w:rPr>
              <w:br/>
              <w:t>• Madrid-Seville</w:t>
            </w:r>
            <w:r>
              <w:rPr>
                <w:rFonts w:ascii="Times New Roman" w:hAnsi="Times New Roman"/>
                <w:noProof/>
                <w:color w:val="000000"/>
                <w:sz w:val="18"/>
                <w:szCs w:val="18"/>
              </w:rPr>
              <w:br/>
              <w:t>Работите ще включват следните видове действия:</w:t>
            </w:r>
          </w:p>
          <w:p>
            <w:pPr>
              <w:spacing w:after="0" w:line="240" w:lineRule="auto"/>
              <w:rPr>
                <w:rFonts w:ascii="Times New Roman" w:hAnsi="Times New Roman"/>
                <w:noProof/>
                <w:color w:val="000000"/>
                <w:sz w:val="18"/>
                <w:szCs w:val="18"/>
              </w:rPr>
            </w:pPr>
            <w:r>
              <w:rPr>
                <w:rFonts w:ascii="Times New Roman" w:hAnsi="Times New Roman"/>
                <w:noProof/>
                <w:color w:val="000000"/>
                <w:sz w:val="18"/>
                <w:szCs w:val="18"/>
              </w:rPr>
              <w:t>• Платформа. Това включва проекти, правещи възможно създаване на инфраструктурата, подпомагаща релсовите пътища и включваща насипи, разчистване, виадукти, тунели и др. Това са основно проекти по създаване на нова инфраструктура.</w:t>
            </w:r>
          </w:p>
          <w:p>
            <w:pPr>
              <w:spacing w:after="0" w:line="240" w:lineRule="auto"/>
              <w:rPr>
                <w:rFonts w:ascii="Times New Roman" w:hAnsi="Times New Roman"/>
                <w:noProof/>
                <w:color w:val="000000"/>
                <w:sz w:val="18"/>
                <w:szCs w:val="18"/>
              </w:rPr>
            </w:pPr>
          </w:p>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Алокация на услуги. Това включва действия, насочени към възстановяване на съществуващите услуги (леки, напоителни, водни и др.), които са засегнати по време на изпълнението на жп работите.</w:t>
            </w:r>
            <w:r>
              <w:rPr>
                <w:rFonts w:ascii="Times New Roman" w:hAnsi="Times New Roman"/>
                <w:noProof/>
                <w:color w:val="000000"/>
                <w:sz w:val="18"/>
                <w:szCs w:val="18"/>
              </w:rPr>
              <w:br/>
              <w:t>• Релсови пътища. Тя включва дейности за сглобяване и доставка на релсови материали (баласт, траверси, релси, стрелки и разширителни устройства) по новите железопътни участъци, както и за обновяване на съществуващите коловози.</w:t>
            </w:r>
            <w:r>
              <w:rPr>
                <w:rFonts w:ascii="Times New Roman" w:hAnsi="Times New Roman"/>
                <w:noProof/>
                <w:color w:val="000000"/>
                <w:sz w:val="18"/>
                <w:szCs w:val="18"/>
              </w:rPr>
              <w:br/>
              <w:t>• Електроенергия. Тя включва действия, насочени към електрификацията на линиите, включително: Надземна контактна линия, тягови подстанции, преобразуващи центрове, дистанционно управление на мощността, високоволтови електропроводи и др.</w:t>
            </w:r>
            <w:r>
              <w:rPr>
                <w:rFonts w:ascii="Times New Roman" w:hAnsi="Times New Roman"/>
                <w:noProof/>
                <w:color w:val="000000"/>
                <w:sz w:val="18"/>
                <w:szCs w:val="18"/>
              </w:rPr>
              <w:br/>
              <w:t>• Сигнализация и управление на движението. Тя включва проекти, насочени към въвеждането на нови системи за сигнализация и контрол на движението (ERTMS и др.).</w:t>
            </w:r>
            <w:r>
              <w:rPr>
                <w:rFonts w:ascii="Times New Roman" w:hAnsi="Times New Roman"/>
                <w:noProof/>
                <w:color w:val="000000"/>
                <w:sz w:val="18"/>
                <w:szCs w:val="18"/>
              </w:rPr>
              <w:br/>
              <w:t>• Телекомуникации. Включва проекти, свързани с стационарни и мобилни телекомуникации по железопътните линии (като оптични влакна, GSM-R)</w:t>
            </w:r>
            <w:r>
              <w:rPr>
                <w:rFonts w:ascii="Times New Roman" w:hAnsi="Times New Roman"/>
                <w:noProof/>
                <w:color w:val="000000"/>
                <w:sz w:val="18"/>
                <w:szCs w:val="18"/>
              </w:rPr>
              <w:br/>
              <w:t>• Гари. Тя включва модернизирането и санирането на съществуващите станции, както и изграждането на нови станции.</w:t>
            </w:r>
          </w:p>
        </w:tc>
      </w:tr>
      <w:tr>
        <w:trPr>
          <w:trHeight w:val="309"/>
        </w:trPr>
        <w:tc>
          <w:tcPr>
            <w:tcW w:w="709"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86</w:t>
            </w:r>
          </w:p>
        </w:tc>
        <w:tc>
          <w:tcPr>
            <w:tcW w:w="851"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C6.I1</w:t>
            </w:r>
          </w:p>
        </w:tc>
        <w:tc>
          <w:tcPr>
            <w:tcW w:w="850"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T</w:t>
            </w:r>
          </w:p>
        </w:tc>
        <w:tc>
          <w:tcPr>
            <w:tcW w:w="1512"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szCs w:val="18"/>
              </w:rPr>
              <w:t xml:space="preserve">Основна мрежа TEN-T: напредък на строителните работи </w:t>
            </w:r>
          </w:p>
        </w:tc>
        <w:tc>
          <w:tcPr>
            <w:tcW w:w="1182"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w:t>
            </w:r>
          </w:p>
        </w:tc>
        <w:tc>
          <w:tcPr>
            <w:tcW w:w="798" w:type="dxa"/>
            <w:shd w:val="clear" w:color="auto" w:fill="C6EFCE"/>
            <w:noWrap/>
          </w:tcPr>
          <w:p>
            <w:pPr>
              <w:spacing w:after="0" w:line="240" w:lineRule="auto"/>
              <w:jc w:val="center"/>
              <w:rPr>
                <w:rFonts w:ascii="Times New Roman" w:hAnsi="Times New Roman" w:cs="Times New Roman"/>
                <w:noProof/>
                <w:color w:val="000000"/>
                <w:spacing w:val="-4"/>
                <w:sz w:val="18"/>
                <w:szCs w:val="18"/>
              </w:rPr>
            </w:pPr>
            <w:r>
              <w:rPr>
                <w:rFonts w:ascii="Times New Roman" w:hAnsi="Times New Roman"/>
                <w:noProof/>
                <w:color w:val="000000"/>
                <w:spacing w:val="-4"/>
                <w:sz w:val="18"/>
                <w:szCs w:val="18"/>
              </w:rPr>
              <w:t>(брой/km)</w:t>
            </w:r>
          </w:p>
        </w:tc>
        <w:tc>
          <w:tcPr>
            <w:tcW w:w="619"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0</w:t>
            </w:r>
          </w:p>
        </w:tc>
        <w:tc>
          <w:tcPr>
            <w:tcW w:w="567"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335</w:t>
            </w:r>
          </w:p>
        </w:tc>
        <w:tc>
          <w:tcPr>
            <w:tcW w:w="344"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T4</w:t>
            </w:r>
          </w:p>
        </w:tc>
        <w:tc>
          <w:tcPr>
            <w:tcW w:w="648"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2024</w:t>
            </w:r>
          </w:p>
        </w:tc>
        <w:tc>
          <w:tcPr>
            <w:tcW w:w="6066"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szCs w:val="18"/>
              </w:rPr>
              <w:t xml:space="preserve">Най-малко 335 километра завършени строителни работи по основната мрежа TEN-T в коридорите и с характеристиките, определени в цел № 85 от четвъртото тримесечие на 2022 г. </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87</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C6.I1</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w:t>
            </w:r>
          </w:p>
        </w:tc>
        <w:tc>
          <w:tcPr>
            <w:tcW w:w="1512"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Основна мрежа TEN-T: довършване на строителните работи </w:t>
            </w:r>
          </w:p>
        </w:tc>
        <w:tc>
          <w:tcPr>
            <w:tcW w:w="1182"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w:t>
            </w:r>
          </w:p>
        </w:tc>
        <w:tc>
          <w:tcPr>
            <w:tcW w:w="798" w:type="dxa"/>
            <w:shd w:val="clear" w:color="auto" w:fill="C6EFCE"/>
            <w:noWrap/>
          </w:tcPr>
          <w:p>
            <w:pPr>
              <w:spacing w:after="0" w:line="240" w:lineRule="auto"/>
              <w:jc w:val="center"/>
              <w:rPr>
                <w:rFonts w:ascii="Times New Roman" w:eastAsia="Times New Roman" w:hAnsi="Times New Roman" w:cs="Times New Roman"/>
                <w:noProof/>
                <w:spacing w:val="-4"/>
                <w:sz w:val="18"/>
                <w:szCs w:val="18"/>
              </w:rPr>
            </w:pPr>
            <w:r>
              <w:rPr>
                <w:rFonts w:ascii="Times New Roman" w:hAnsi="Times New Roman"/>
                <w:noProof/>
                <w:color w:val="000000"/>
                <w:spacing w:val="-4"/>
                <w:sz w:val="18"/>
                <w:szCs w:val="18"/>
              </w:rPr>
              <w:t>(брой/km)</w:t>
            </w:r>
          </w:p>
        </w:tc>
        <w:tc>
          <w:tcPr>
            <w:tcW w:w="61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335</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1 400</w:t>
            </w:r>
          </w:p>
        </w:tc>
        <w:tc>
          <w:tcPr>
            <w:tcW w:w="34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T2</w:t>
            </w:r>
          </w:p>
        </w:tc>
        <w:tc>
          <w:tcPr>
            <w:tcW w:w="648"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2026</w:t>
            </w:r>
          </w:p>
        </w:tc>
        <w:tc>
          <w:tcPr>
            <w:tcW w:w="6066"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Най-малко 1 400 километра завършени строителни работи по основната мрежа TEN-T в коридорите и с характеристиките, определени в цел № 85 от четвъртото тримесечие на 2022 г. (изходно положение: 31 декември 2024 г.)</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88</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C6.I2</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1512"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Мрежа TEN-T различни видове транспорт (железопътен и автомобилен): частично отпускане на бюджетни средства</w:t>
            </w:r>
          </w:p>
        </w:tc>
        <w:tc>
          <w:tcPr>
            <w:tcW w:w="1182"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Официално уведомление за възлагане на проект</w:t>
            </w:r>
          </w:p>
        </w:tc>
        <w:tc>
          <w:tcPr>
            <w:tcW w:w="798"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w:t>
            </w:r>
          </w:p>
        </w:tc>
        <w:tc>
          <w:tcPr>
            <w:tcW w:w="61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w:t>
            </w:r>
          </w:p>
        </w:tc>
        <w:tc>
          <w:tcPr>
            <w:tcW w:w="34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648"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2022</w:t>
            </w:r>
          </w:p>
        </w:tc>
        <w:tc>
          <w:tcPr>
            <w:tcW w:w="6066"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Кумулативен бюджет от най-малко 1000000000 EUR (общ бюджет 1717000000 EUR) за интервенции в неосновната трансевропейска транспортна мрежа (TEN-T) в различни видове транспорт (железопътен и автомобилен). Проектите се подбират въз основа на следните критерии за подбор:</w:t>
            </w:r>
            <w:r>
              <w:rPr>
                <w:rFonts w:ascii="Times New Roman" w:hAnsi="Times New Roman"/>
                <w:noProof/>
                <w:color w:val="000000"/>
                <w:sz w:val="18"/>
                <w:szCs w:val="18"/>
              </w:rPr>
              <w:br/>
              <w:t>а) постигане на по-голяма оперативна съвместимост на железопътната мрежа, главно във връзка с TEN-T с дейности по най-малко 900 km мрежа (1 010 000 000). Това включва следните намеси:</w:t>
            </w:r>
            <w:r>
              <w:rPr>
                <w:rFonts w:ascii="Times New Roman" w:hAnsi="Times New Roman"/>
                <w:noProof/>
                <w:color w:val="000000"/>
                <w:sz w:val="18"/>
                <w:szCs w:val="18"/>
              </w:rPr>
              <w:br/>
              <w:t>• Подобряване на технологичната инфраструктура за управление на железопътното движение</w:t>
            </w:r>
            <w:r>
              <w:rPr>
                <w:rFonts w:ascii="Times New Roman" w:hAnsi="Times New Roman"/>
                <w:noProof/>
                <w:color w:val="000000"/>
                <w:sz w:val="18"/>
                <w:szCs w:val="18"/>
              </w:rPr>
              <w:br/>
              <w:t>• Сигурност (като киберсигурност, инсталиране на детектори за сблъсък)</w:t>
            </w:r>
            <w:r>
              <w:rPr>
                <w:rFonts w:ascii="Times New Roman" w:hAnsi="Times New Roman"/>
                <w:noProof/>
                <w:color w:val="000000"/>
                <w:sz w:val="18"/>
                <w:szCs w:val="18"/>
              </w:rPr>
              <w:br/>
              <w:t>• Акустична защита/карти на шума</w:t>
            </w:r>
            <w:r>
              <w:rPr>
                <w:rFonts w:ascii="Times New Roman" w:hAnsi="Times New Roman"/>
                <w:noProof/>
                <w:color w:val="000000"/>
                <w:sz w:val="18"/>
                <w:szCs w:val="18"/>
              </w:rPr>
              <w:br/>
              <w:t>• Разработване на сателитна технология, прилагана за железопътната сигнализация на ERTMS</w:t>
            </w:r>
            <w:r>
              <w:rPr>
                <w:rFonts w:ascii="Times New Roman" w:hAnsi="Times New Roman"/>
                <w:noProof/>
                <w:color w:val="000000"/>
                <w:sz w:val="18"/>
                <w:szCs w:val="18"/>
              </w:rPr>
              <w:br/>
              <w:t>• Електрификация на участъци (като Monforte-Lugo)</w:t>
            </w:r>
            <w:r>
              <w:rPr>
                <w:rFonts w:ascii="Times New Roman" w:hAnsi="Times New Roman"/>
                <w:noProof/>
                <w:color w:val="000000"/>
                <w:sz w:val="18"/>
                <w:szCs w:val="18"/>
              </w:rPr>
              <w:br/>
              <w:t>• Обновяване на трасето (като Soria-Torralba, Xátiva-Ontinyent и Monforte-Lugo)</w:t>
            </w:r>
            <w:r>
              <w:rPr>
                <w:rFonts w:ascii="Times New Roman" w:hAnsi="Times New Roman"/>
                <w:noProof/>
                <w:color w:val="000000"/>
                <w:sz w:val="18"/>
                <w:szCs w:val="18"/>
              </w:rPr>
              <w:br/>
              <w:t>• Подобряване на системата за контрол и сигнализация (като Soria-Torralba и Ávila-Salamanca)</w:t>
            </w:r>
            <w:r>
              <w:rPr>
                <w:rFonts w:ascii="Times New Roman" w:hAnsi="Times New Roman"/>
                <w:noProof/>
                <w:color w:val="000000"/>
                <w:sz w:val="18"/>
                <w:szCs w:val="18"/>
              </w:rPr>
              <w:br/>
              <w:t>• Създаване на нови участъци или варианти (като Palencia-Santander, вариант на Rincón de Soto и Variant of Ourense)</w:t>
            </w:r>
            <w:r>
              <w:rPr>
                <w:rFonts w:ascii="Times New Roman" w:hAnsi="Times New Roman"/>
                <w:noProof/>
                <w:color w:val="000000"/>
                <w:sz w:val="18"/>
                <w:szCs w:val="18"/>
              </w:rPr>
              <w:br/>
              <w:t>б) повишаване на безопасността на пътната мрежа в съответствие с националните и европейските разпоредби (707 000 000 EUR).</w:t>
            </w:r>
            <w:r>
              <w:rPr>
                <w:rFonts w:ascii="Times New Roman" w:hAnsi="Times New Roman"/>
                <w:noProof/>
                <w:color w:val="000000"/>
                <w:sz w:val="18"/>
                <w:szCs w:val="18"/>
              </w:rPr>
              <w:br/>
              <w:t>• Подобряване на пътната безопасност (включително пътната безопасност в най-малко 80 тунела) и защита на уязвимите видове от дивата флора и фауна и уязвимите участници (357 000 000 EUR)</w:t>
            </w:r>
            <w:r>
              <w:rPr>
                <w:rFonts w:ascii="Times New Roman" w:hAnsi="Times New Roman"/>
                <w:noProof/>
                <w:color w:val="000000"/>
                <w:sz w:val="18"/>
                <w:szCs w:val="18"/>
              </w:rPr>
              <w:br/>
              <w:t>• Устойчивост и енергийна ефективност и действия за намаляване на шума (302 000 000 EUR)</w:t>
            </w:r>
            <w:r>
              <w:rPr>
                <w:rFonts w:ascii="Times New Roman" w:hAnsi="Times New Roman"/>
                <w:noProof/>
                <w:color w:val="000000"/>
                <w:sz w:val="18"/>
                <w:szCs w:val="18"/>
              </w:rPr>
              <w:br/>
              <w:t>• Цифровизация: Прилагане на системи за наблюдение на мостове, тунели, използващи анализ на големи информационни масиви и интернет на нещата; цифровизация на пътищата за мониторинг и поддръжка (35 000 000 EUR).</w:t>
            </w:r>
            <w:r>
              <w:rPr>
                <w:rFonts w:ascii="Times New Roman" w:hAnsi="Times New Roman"/>
                <w:noProof/>
                <w:color w:val="000000"/>
                <w:sz w:val="18"/>
                <w:szCs w:val="18"/>
              </w:rPr>
              <w:br/>
              <w:t>• Внедряване на интелигентни транспортни системи в автобусните ленти за ОВА (13 000 000 EUR)</w:t>
            </w:r>
            <w:r>
              <w:rPr>
                <w:rFonts w:ascii="Times New Roman" w:hAnsi="Times New Roman"/>
                <w:noProof/>
                <w:color w:val="000000"/>
                <w:sz w:val="18"/>
                <w:szCs w:val="18"/>
              </w:rPr>
              <w:br/>
              <w:t>• Актуализиране на основния предварителен проект на фиксираната връзка през Гибралтарския проток (2 300 000 EUR)</w:t>
            </w:r>
            <w:r>
              <w:rPr>
                <w:rFonts w:ascii="Times New Roman" w:hAnsi="Times New Roman"/>
                <w:noProof/>
                <w:color w:val="000000"/>
                <w:sz w:val="18"/>
                <w:szCs w:val="18"/>
              </w:rPr>
              <w:br/>
              <w:t>Критерии за подбор гарантират, че през второто тримесечие на 2012 г. най-малко 1 010 000 000 EUR допринасят за постигане на целите във връзка с изменението на климата със 100 % коефициент в областта на климата и най-малко 301 000 000 EUR с коефициент в областта на климата от 40 % в съответствие с приложение VI към Регламент (ЕС) 2021/241 относно Механизма за възстановяване и устойчивост.</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89</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C6.I2</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w:t>
            </w:r>
          </w:p>
        </w:tc>
        <w:tc>
          <w:tcPr>
            <w:tcW w:w="1512"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Неосновна мрежа TEN-T: напредък по отношение на железопътните дейности</w:t>
            </w:r>
          </w:p>
        </w:tc>
        <w:tc>
          <w:tcPr>
            <w:tcW w:w="1182"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w:t>
            </w:r>
          </w:p>
        </w:tc>
        <w:tc>
          <w:tcPr>
            <w:tcW w:w="798" w:type="dxa"/>
            <w:shd w:val="clear" w:color="auto" w:fill="C6EFCE"/>
            <w:noWrap/>
          </w:tcPr>
          <w:p>
            <w:pPr>
              <w:spacing w:after="0" w:line="240" w:lineRule="auto"/>
              <w:jc w:val="center"/>
              <w:rPr>
                <w:rFonts w:ascii="Times New Roman" w:eastAsia="Times New Roman" w:hAnsi="Times New Roman" w:cs="Times New Roman"/>
                <w:noProof/>
                <w:spacing w:val="-4"/>
                <w:sz w:val="18"/>
                <w:szCs w:val="18"/>
              </w:rPr>
            </w:pPr>
            <w:r>
              <w:rPr>
                <w:rFonts w:ascii="Times New Roman" w:hAnsi="Times New Roman"/>
                <w:noProof/>
                <w:color w:val="000000"/>
                <w:spacing w:val="-4"/>
                <w:sz w:val="18"/>
                <w:szCs w:val="18"/>
              </w:rPr>
              <w:t>(брой/km)</w:t>
            </w:r>
          </w:p>
        </w:tc>
        <w:tc>
          <w:tcPr>
            <w:tcW w:w="61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0</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347</w:t>
            </w:r>
          </w:p>
        </w:tc>
        <w:tc>
          <w:tcPr>
            <w:tcW w:w="34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648"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2024</w:t>
            </w:r>
          </w:p>
        </w:tc>
        <w:tc>
          <w:tcPr>
            <w:tcW w:w="6066"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Завършване на най-малко 347 километра строителни работи с цел подобряване на оперативната съвместимост на железопътната мрежа, главно във връзка с TEN-T, като крайната цел е да се извършат цялостни работи по най-малко 900 километра мрежа. Строителните работи са в области, определени във възлагането на проекта за четвъртото тримесечие на 2022 г., буква а) (ключов етап 88). </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90</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C6.I2</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w:t>
            </w:r>
          </w:p>
        </w:tc>
        <w:tc>
          <w:tcPr>
            <w:tcW w:w="1512"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Единно европейско небе: възложени проекти и напредък по завършването на проектите</w:t>
            </w:r>
          </w:p>
        </w:tc>
        <w:tc>
          <w:tcPr>
            <w:tcW w:w="1182"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w:t>
            </w:r>
          </w:p>
        </w:tc>
        <w:tc>
          <w:tcPr>
            <w:tcW w:w="798"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Номер </w:t>
            </w:r>
          </w:p>
        </w:tc>
        <w:tc>
          <w:tcPr>
            <w:tcW w:w="61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0</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15</w:t>
            </w:r>
          </w:p>
        </w:tc>
        <w:tc>
          <w:tcPr>
            <w:tcW w:w="34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648"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2024</w:t>
            </w:r>
          </w:p>
        </w:tc>
        <w:tc>
          <w:tcPr>
            <w:tcW w:w="6066"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Кумулативна обща сума от най-малко 15 завършени проекта (крайна цел 20 проекта) в областта на цифровизацията и сигурността за развитието на Единното европейско небе от следния списък с критерии за подбор: Кумулативна обща сума от най-малко 15 завършени проекта (крайна цел 20 проекта) в областта на цифровизацията и сигурността за развитието на Единното европейско небе от следния списък с критерии за подбор:</w:t>
            </w:r>
            <w:r>
              <w:rPr>
                <w:rFonts w:ascii="Times New Roman" w:hAnsi="Times New Roman"/>
                <w:noProof/>
                <w:color w:val="000000"/>
                <w:sz w:val="18"/>
                <w:szCs w:val="18"/>
              </w:rPr>
              <w:br/>
              <w:t xml:space="preserve">•Директни инвестиции чрез </w:t>
            </w:r>
            <w:r>
              <w:rPr>
                <w:rFonts w:ascii="Times New Roman" w:hAnsi="Times New Roman"/>
                <w:noProof/>
                <w:color w:val="000000"/>
                <w:sz w:val="18"/>
                <w:szCs w:val="18"/>
                <w:lang w:val="en-US"/>
              </w:rPr>
              <w:t>ENAIRE</w:t>
            </w:r>
            <w:r>
              <w:rPr>
                <w:rFonts w:ascii="Times New Roman" w:hAnsi="Times New Roman"/>
                <w:noProof/>
                <w:color w:val="000000"/>
                <w:sz w:val="18"/>
                <w:szCs w:val="18"/>
              </w:rPr>
              <w:t xml:space="preserve"> (Ръководителя на въздушната навигация в Испания) за развитието на Единно Европейско Небе, свързани с модернизирането на системите за контрол на въздушното движение и системите за наблюдение, с дигиталното трансформиране на информационните системи и с развитието на системите за комуникация.</w:t>
            </w:r>
            <w:r>
              <w:rPr>
                <w:rFonts w:ascii="Times New Roman" w:hAnsi="Times New Roman"/>
                <w:noProof/>
                <w:color w:val="000000"/>
                <w:sz w:val="18"/>
                <w:szCs w:val="18"/>
              </w:rPr>
              <w:br/>
              <w:t>•• Цифровизация на аеронавигационната документация (данни и картографиране), която е на разположение на ползвателите за извършване на полети</w:t>
            </w:r>
            <w:r>
              <w:rPr>
                <w:rFonts w:ascii="Times New Roman" w:hAnsi="Times New Roman"/>
                <w:noProof/>
                <w:color w:val="000000"/>
                <w:sz w:val="18"/>
                <w:szCs w:val="18"/>
              </w:rPr>
              <w:br/>
              <w:t>• Разширяване на обхвата на Земята/въздухоплаването и цифровизация на гласовото излъчване в комуникациите между пилоти и контрольори. Подобряване на ниското ниво на покритие в някои зони на въздушното пространство чрез модернизиране на наземната комуникационна инфраструктура</w:t>
            </w:r>
            <w:r>
              <w:rPr>
                <w:rFonts w:ascii="Times New Roman" w:hAnsi="Times New Roman"/>
                <w:noProof/>
                <w:color w:val="000000"/>
                <w:sz w:val="18"/>
                <w:szCs w:val="18"/>
              </w:rPr>
              <w:br/>
              <w:t>• Развитие на системата за гласова комуникация в центровете за контрол на въздушното движение чрез цифровизация и модерни технологии, осигуряване на по-високо качество, повишена безопасност, наличност на информация и увеличен капацитет за непредвидени ситуации</w:t>
            </w:r>
            <w:r>
              <w:rPr>
                <w:rFonts w:ascii="Times New Roman" w:hAnsi="Times New Roman"/>
                <w:noProof/>
                <w:color w:val="000000"/>
                <w:sz w:val="18"/>
                <w:szCs w:val="18"/>
              </w:rPr>
              <w:br/>
              <w:t>• Технологично модернизиране на основната радарни мрежи, подобряване на ефективността и насочване на системите за контрол на въздушното движение към пълна цифровизация на системите за контрол на въздушното движение, като се използват всички налични технологични постижения за повишаване на оперативната ефективност</w:t>
            </w:r>
            <w:r>
              <w:rPr>
                <w:rFonts w:ascii="Times New Roman" w:hAnsi="Times New Roman"/>
                <w:noProof/>
                <w:color w:val="000000"/>
                <w:sz w:val="18"/>
                <w:szCs w:val="18"/>
              </w:rPr>
              <w:br/>
              <w:t>• Развитие на радарни системи за автоматизиран контрол на системите за контрол на въздушното движение, като се дава приоритет на системите за управление на въздушното движение</w:t>
            </w:r>
            <w:r>
              <w:rPr>
                <w:rFonts w:ascii="Times New Roman" w:hAnsi="Times New Roman"/>
                <w:noProof/>
                <w:color w:val="000000"/>
                <w:sz w:val="18"/>
                <w:szCs w:val="18"/>
              </w:rPr>
              <w:br/>
              <w:t xml:space="preserve">• Подмяна на хардуерното оборудване на различни системи на </w:t>
            </w:r>
            <w:r>
              <w:rPr>
                <w:rFonts w:ascii="Times New Roman" w:hAnsi="Times New Roman"/>
                <w:noProof/>
                <w:color w:val="000000"/>
                <w:sz w:val="18"/>
                <w:szCs w:val="18"/>
                <w:lang w:val="en-US"/>
              </w:rPr>
              <w:t>ENAIRE</w:t>
            </w:r>
            <w:r>
              <w:rPr>
                <w:rFonts w:ascii="Times New Roman" w:hAnsi="Times New Roman"/>
                <w:noProof/>
                <w:color w:val="000000"/>
                <w:sz w:val="18"/>
                <w:szCs w:val="18"/>
              </w:rPr>
              <w:br/>
              <w:t xml:space="preserve">• Разработване на различни приложения за ръководство и управление за мениджмънта на </w:t>
            </w:r>
            <w:r>
              <w:rPr>
                <w:rFonts w:ascii="Times New Roman" w:hAnsi="Times New Roman"/>
                <w:noProof/>
                <w:color w:val="000000"/>
                <w:sz w:val="18"/>
                <w:szCs w:val="18"/>
                <w:lang w:val="en-US"/>
              </w:rPr>
              <w:t>ENAIRE</w:t>
            </w:r>
            <w:r>
              <w:rPr>
                <w:rFonts w:ascii="Times New Roman" w:hAnsi="Times New Roman"/>
                <w:noProof/>
                <w:color w:val="000000"/>
                <w:sz w:val="18"/>
                <w:szCs w:val="18"/>
              </w:rPr>
              <w:br/>
              <w:t>• Технологична модернизация на навигационните системи чрез приоритизиране на пълната им цифровизация и въвеждането на системи за мониторинг и на разрешения за дистанционно управление</w:t>
            </w:r>
            <w:r>
              <w:rPr>
                <w:rFonts w:ascii="Times New Roman" w:hAnsi="Times New Roman"/>
                <w:noProof/>
                <w:color w:val="000000"/>
                <w:sz w:val="18"/>
                <w:szCs w:val="18"/>
              </w:rPr>
              <w:br/>
              <w:t>• Създаване на инфраструктура за приложение на новите системи за контрол на въздушното движение. От съществено значение за гарантиране на прилагането на новите оперативни концепции в Испания. Освен това е включена модернизация на инсталациите, за да се гарантира устойчивост срещу повреди.</w:t>
            </w:r>
            <w:r>
              <w:rPr>
                <w:rFonts w:ascii="Times New Roman" w:hAnsi="Times New Roman"/>
                <w:noProof/>
                <w:color w:val="000000"/>
                <w:sz w:val="18"/>
                <w:szCs w:val="18"/>
              </w:rPr>
              <w:br/>
              <w:t>• Цифровизация и автоматизация на техническото управление на експлоатацията с цел подобряване на инструментите за дистанционно наблюдение на системите по интегриран начин</w:t>
            </w:r>
            <w:r>
              <w:rPr>
                <w:rFonts w:ascii="Times New Roman" w:hAnsi="Times New Roman"/>
                <w:noProof/>
                <w:color w:val="000000"/>
                <w:sz w:val="18"/>
                <w:szCs w:val="18"/>
              </w:rPr>
              <w:br/>
              <w:t>• Модернизиране на системата за контрол на въздушното движение с цел спазване на регулаторните критерии, включване на подобрения в концепциите за капацитет, безопасност, киберсигурност и цифровизация, произтичащи от Единното европейско небе</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91</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C6.I2</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1512"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Цифровизация на Министерството на транспорта, мобилността и програмата за градовете</w:t>
            </w:r>
          </w:p>
        </w:tc>
        <w:tc>
          <w:tcPr>
            <w:tcW w:w="1182"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Официално уведомление за приключване на работата</w:t>
            </w:r>
          </w:p>
        </w:tc>
        <w:tc>
          <w:tcPr>
            <w:tcW w:w="798"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 </w:t>
            </w:r>
          </w:p>
        </w:tc>
        <w:tc>
          <w:tcPr>
            <w:tcW w:w="61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w:t>
            </w:r>
          </w:p>
        </w:tc>
        <w:tc>
          <w:tcPr>
            <w:tcW w:w="34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648"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2024</w:t>
            </w:r>
          </w:p>
        </w:tc>
        <w:tc>
          <w:tcPr>
            <w:tcW w:w="6066"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Завършване на следните проекти:</w:t>
            </w:r>
            <w:r>
              <w:rPr>
                <w:rFonts w:ascii="Times New Roman" w:hAnsi="Times New Roman"/>
                <w:noProof/>
                <w:color w:val="000000"/>
                <w:sz w:val="18"/>
                <w:szCs w:val="18"/>
              </w:rPr>
              <w:br/>
              <w:t xml:space="preserve">• Изграждане на платформа за сътрудничество за управление на цифрова информация и модели. </w:t>
            </w:r>
            <w:r>
              <w:rPr>
                <w:rFonts w:ascii="Times New Roman" w:hAnsi="Times New Roman"/>
                <w:noProof/>
                <w:color w:val="000000"/>
                <w:sz w:val="18"/>
                <w:szCs w:val="18"/>
              </w:rPr>
              <w:br/>
              <w:t>• Насърчаване на мобилността като услуга, предоставяне на свободно достъпни данни и използване на нови технологии за анализ и оптимизиране на мобилността.</w:t>
            </w:r>
            <w:r>
              <w:rPr>
                <w:rFonts w:ascii="Times New Roman" w:hAnsi="Times New Roman"/>
                <w:noProof/>
                <w:color w:val="000000"/>
                <w:sz w:val="18"/>
                <w:szCs w:val="18"/>
              </w:rPr>
              <w:br/>
              <w:t>• Въвеждане на система за анализ, наблюдение, наблюдение, контрол на нуждите, въвеждане и внедряване на нови технологии в сухопътния транспорт.</w:t>
            </w:r>
            <w:r>
              <w:rPr>
                <w:rFonts w:ascii="Times New Roman" w:hAnsi="Times New Roman"/>
                <w:noProof/>
                <w:color w:val="000000"/>
                <w:sz w:val="18"/>
                <w:szCs w:val="18"/>
              </w:rPr>
              <w:br/>
              <w:t>• План за цифровизация на Генерална дирекция „Пътища“.</w:t>
            </w:r>
            <w:r>
              <w:rPr>
                <w:rFonts w:ascii="Times New Roman" w:hAnsi="Times New Roman"/>
                <w:noProof/>
                <w:color w:val="000000"/>
                <w:sz w:val="18"/>
                <w:szCs w:val="18"/>
              </w:rPr>
              <w:br/>
              <w:t>• разработване на нови услуги и подобрено управление в областта на въздушната, морската и географската информация, наред с другото.</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92</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C6.I2</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w:t>
            </w:r>
          </w:p>
        </w:tc>
        <w:tc>
          <w:tcPr>
            <w:tcW w:w="1512"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Нова или модернизирана мрежа TEN-T, други дейности </w:t>
            </w:r>
          </w:p>
        </w:tc>
        <w:tc>
          <w:tcPr>
            <w:tcW w:w="1182"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w:t>
            </w:r>
          </w:p>
        </w:tc>
        <w:tc>
          <w:tcPr>
            <w:tcW w:w="798" w:type="dxa"/>
            <w:shd w:val="clear" w:color="auto" w:fill="C6EFCE"/>
            <w:noWrap/>
          </w:tcPr>
          <w:p>
            <w:pPr>
              <w:spacing w:after="0" w:line="240" w:lineRule="auto"/>
              <w:jc w:val="center"/>
              <w:rPr>
                <w:rFonts w:ascii="Times New Roman" w:eastAsia="Times New Roman" w:hAnsi="Times New Roman" w:cs="Times New Roman"/>
                <w:noProof/>
                <w:spacing w:val="-4"/>
                <w:sz w:val="18"/>
                <w:szCs w:val="18"/>
              </w:rPr>
            </w:pPr>
            <w:r>
              <w:rPr>
                <w:rFonts w:ascii="Times New Roman" w:hAnsi="Times New Roman"/>
                <w:noProof/>
                <w:color w:val="000000"/>
                <w:spacing w:val="-4"/>
                <w:sz w:val="18"/>
                <w:szCs w:val="18"/>
              </w:rPr>
              <w:t xml:space="preserve">(брой/km) </w:t>
            </w:r>
          </w:p>
        </w:tc>
        <w:tc>
          <w:tcPr>
            <w:tcW w:w="61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347</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900</w:t>
            </w:r>
          </w:p>
        </w:tc>
        <w:tc>
          <w:tcPr>
            <w:tcW w:w="34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T2</w:t>
            </w:r>
          </w:p>
        </w:tc>
        <w:tc>
          <w:tcPr>
            <w:tcW w:w="648"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2026</w:t>
            </w:r>
          </w:p>
        </w:tc>
        <w:tc>
          <w:tcPr>
            <w:tcW w:w="6066"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Завършване на най-малко 900 километра строителни работи с цел подобряване на оперативната съвместимост на железопътната мрежа, главно във връзка с трансевропейската транспортна мрежа (TEN-T) със строителни работи. Строителните работи са в области, определени в критериите за подбор за четвъртото тримесечие на 2022 г., буква а) (ключов етап 88). (изходно положение: 31 декември 2024 г.)</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93</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C6.I2</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w:t>
            </w:r>
          </w:p>
        </w:tc>
        <w:tc>
          <w:tcPr>
            <w:tcW w:w="1512"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Единно европейско небе: приключване на проекта</w:t>
            </w:r>
          </w:p>
        </w:tc>
        <w:tc>
          <w:tcPr>
            <w:tcW w:w="1182"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w:t>
            </w:r>
          </w:p>
        </w:tc>
        <w:tc>
          <w:tcPr>
            <w:tcW w:w="798"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Номер</w:t>
            </w:r>
          </w:p>
        </w:tc>
        <w:tc>
          <w:tcPr>
            <w:tcW w:w="61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15</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20</w:t>
            </w:r>
          </w:p>
        </w:tc>
        <w:tc>
          <w:tcPr>
            <w:tcW w:w="34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T2</w:t>
            </w:r>
          </w:p>
        </w:tc>
        <w:tc>
          <w:tcPr>
            <w:tcW w:w="648"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2026</w:t>
            </w:r>
          </w:p>
        </w:tc>
        <w:tc>
          <w:tcPr>
            <w:tcW w:w="6066"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Най-малко 20 проекта, завършени в областта на цифровизацията и сигурността за развитието на Единното европейско небе, като проектите се подбират в съответствие с критериите за подбор (ключов етап 90).(базова линия: 31 декември 2024 г.)</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94</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C6.I2</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1512"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Държавна пътна мрежа, адаптирана към действащата нормативна уредба </w:t>
            </w:r>
          </w:p>
        </w:tc>
        <w:tc>
          <w:tcPr>
            <w:tcW w:w="1182"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Приключване на проект.</w:t>
            </w:r>
          </w:p>
        </w:tc>
        <w:tc>
          <w:tcPr>
            <w:tcW w:w="798"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w:t>
            </w:r>
          </w:p>
        </w:tc>
        <w:tc>
          <w:tcPr>
            <w:tcW w:w="61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w:t>
            </w:r>
          </w:p>
        </w:tc>
        <w:tc>
          <w:tcPr>
            <w:tcW w:w="34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T2</w:t>
            </w:r>
          </w:p>
        </w:tc>
        <w:tc>
          <w:tcPr>
            <w:tcW w:w="648"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2026</w:t>
            </w:r>
          </w:p>
        </w:tc>
        <w:tc>
          <w:tcPr>
            <w:tcW w:w="6066"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Завършването на работите за повишаване на безопасността на държавната пътна мрежа в съответствие с националните и европейските разпоредби работи в области, определени в критериите за подбор на проекти за четвъртото тримесечие на 2022 г., буква б) (етап 88) и включва строителни работи в поне 80 тунела, работи за подобряване на оградите и сигнализацията с цел намаляване на вероятността от удар на дивата флора и фауна, изпълнение на действия за подобряване на условията за безопасност на най-уязвимите участници в пътното движение, като например пешеходци и велосипедисти (пътнически тунели, велосипедни алеи), действия за намаляване на шума; цифровизация на пътищата за мониторинг и поддръжка), внедряване на интелигентни транспортни системи в автобусните ленти.</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95</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C6.I3</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1512"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Интермодални и логистични инфраструктури: частично отпускане на бюджетни средства </w:t>
            </w:r>
          </w:p>
        </w:tc>
        <w:tc>
          <w:tcPr>
            <w:tcW w:w="1182"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Официално уведомление за възлагане на проект</w:t>
            </w:r>
          </w:p>
        </w:tc>
        <w:tc>
          <w:tcPr>
            <w:tcW w:w="798"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w:t>
            </w:r>
          </w:p>
        </w:tc>
        <w:tc>
          <w:tcPr>
            <w:tcW w:w="61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w:t>
            </w:r>
          </w:p>
        </w:tc>
        <w:tc>
          <w:tcPr>
            <w:tcW w:w="34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648"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2022</w:t>
            </w:r>
          </w:p>
        </w:tc>
        <w:tc>
          <w:tcPr>
            <w:tcW w:w="6066"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Отпуснатият кумулативен бюджет в размер на най-малко 330 000 000 EUR (общ целеви бюджет в размер на 974 000 000 EUR) за интервенции, предоставени за подобряване на интермодалните и логистичните инфраструктури, се възлага в съответствие със следните критерии за подбор:</w:t>
            </w:r>
            <w:r>
              <w:rPr>
                <w:rFonts w:ascii="Times New Roman" w:hAnsi="Times New Roman"/>
                <w:noProof/>
                <w:color w:val="000000"/>
                <w:sz w:val="18"/>
                <w:szCs w:val="18"/>
              </w:rPr>
              <w:br/>
              <w:t>а) разработване и модернизиране на девет стратегически интермодални и логистични терминала (TILOS 217 000 000 EUR), за интегриране на интермодалния терминал в логистичния район, в някои случаи, и за насърчаване на прехвърлянето на товари от автомобилния към железопътния транспорт, във всички случаи. Тези терминали и логистични съоръжения са:</w:t>
            </w:r>
            <w:r>
              <w:rPr>
                <w:rFonts w:ascii="Times New Roman" w:hAnsi="Times New Roman"/>
                <w:noProof/>
                <w:color w:val="000000"/>
                <w:sz w:val="18"/>
                <w:szCs w:val="18"/>
              </w:rPr>
              <w:br/>
              <w:t>• Vicálvaro в Мадрид;</w:t>
            </w:r>
            <w:r>
              <w:rPr>
                <w:rFonts w:ascii="Times New Roman" w:hAnsi="Times New Roman"/>
                <w:noProof/>
                <w:color w:val="000000"/>
                <w:sz w:val="18"/>
                <w:szCs w:val="18"/>
              </w:rPr>
              <w:br/>
              <w:t>• La Llagosta в Барселона</w:t>
            </w:r>
            <w:r>
              <w:rPr>
                <w:rFonts w:ascii="Times New Roman" w:hAnsi="Times New Roman"/>
                <w:noProof/>
                <w:color w:val="000000"/>
                <w:sz w:val="18"/>
                <w:szCs w:val="18"/>
              </w:rPr>
              <w:br/>
              <w:t xml:space="preserve">• San Luis във Валенсия </w:t>
            </w:r>
            <w:r>
              <w:rPr>
                <w:rFonts w:ascii="Times New Roman" w:hAnsi="Times New Roman"/>
                <w:noProof/>
                <w:color w:val="000000"/>
                <w:sz w:val="18"/>
                <w:szCs w:val="18"/>
              </w:rPr>
              <w:br/>
              <w:t>• Júndiz в Алава</w:t>
            </w:r>
            <w:r>
              <w:rPr>
                <w:rFonts w:ascii="Times New Roman" w:hAnsi="Times New Roman"/>
                <w:noProof/>
                <w:color w:val="000000"/>
                <w:sz w:val="18"/>
                <w:szCs w:val="18"/>
              </w:rPr>
              <w:br/>
              <w:t>• Логистично съоръжение на Can Tunis (Барселона)</w:t>
            </w:r>
            <w:r>
              <w:rPr>
                <w:rFonts w:ascii="Times New Roman" w:hAnsi="Times New Roman"/>
                <w:noProof/>
                <w:color w:val="000000"/>
                <w:sz w:val="18"/>
                <w:szCs w:val="18"/>
              </w:rPr>
              <w:br/>
              <w:t>• Терминал Orduña (Бизкая)</w:t>
            </w:r>
            <w:r>
              <w:rPr>
                <w:rFonts w:ascii="Times New Roman" w:hAnsi="Times New Roman"/>
                <w:noProof/>
                <w:color w:val="000000"/>
                <w:sz w:val="18"/>
                <w:szCs w:val="18"/>
              </w:rPr>
              <w:br/>
              <w:t>• Логистично съоръжение в Лецо (Гипускоа)</w:t>
            </w:r>
            <w:r>
              <w:rPr>
                <w:rFonts w:ascii="Times New Roman" w:hAnsi="Times New Roman"/>
                <w:noProof/>
                <w:color w:val="000000"/>
                <w:sz w:val="18"/>
                <w:szCs w:val="18"/>
              </w:rPr>
              <w:br/>
              <w:t>• Muriedas (Сантандер)</w:t>
            </w:r>
            <w:r>
              <w:rPr>
                <w:rFonts w:ascii="Times New Roman" w:hAnsi="Times New Roman"/>
                <w:noProof/>
                <w:color w:val="000000"/>
                <w:sz w:val="18"/>
                <w:szCs w:val="18"/>
              </w:rPr>
              <w:br/>
              <w:t>• терминал Escombreras (Мурсия)</w:t>
            </w:r>
            <w:r>
              <w:rPr>
                <w:rFonts w:ascii="Times New Roman" w:hAnsi="Times New Roman"/>
                <w:noProof/>
                <w:color w:val="000000"/>
                <w:sz w:val="18"/>
                <w:szCs w:val="18"/>
              </w:rPr>
              <w:br/>
              <w:t>б) подобряване на железопътния достъп до две испански пристанища (407 700 000 EUR) и на шосейния достъп до едно пристанище (43 000 000 EUR), включително:</w:t>
            </w:r>
            <w:r>
              <w:rPr>
                <w:rFonts w:ascii="Times New Roman" w:hAnsi="Times New Roman"/>
                <w:noProof/>
                <w:color w:val="000000"/>
                <w:sz w:val="18"/>
                <w:szCs w:val="18"/>
              </w:rPr>
              <w:br/>
              <w:t>• Железопътен достъп до пристанище А Коруня</w:t>
            </w:r>
            <w:r>
              <w:rPr>
                <w:rFonts w:ascii="Times New Roman" w:hAnsi="Times New Roman"/>
                <w:noProof/>
                <w:color w:val="000000"/>
                <w:sz w:val="18"/>
                <w:szCs w:val="18"/>
              </w:rPr>
              <w:br/>
              <w:t>• Железопътен достъп до пристанището на Кастельон</w:t>
            </w:r>
            <w:r>
              <w:rPr>
                <w:rFonts w:ascii="Times New Roman" w:hAnsi="Times New Roman"/>
                <w:noProof/>
                <w:color w:val="000000"/>
                <w:sz w:val="18"/>
                <w:szCs w:val="18"/>
              </w:rPr>
              <w:br/>
              <w:t>• Достъп до пристанището на Алхесирас</w:t>
            </w:r>
            <w:r>
              <w:rPr>
                <w:rFonts w:ascii="Times New Roman" w:hAnsi="Times New Roman"/>
                <w:noProof/>
                <w:color w:val="000000"/>
                <w:sz w:val="18"/>
                <w:szCs w:val="18"/>
              </w:rPr>
              <w:br/>
              <w:t>• Изграждане на коловози от 750 метра.</w:t>
            </w:r>
            <w:r>
              <w:rPr>
                <w:rFonts w:ascii="Times New Roman" w:hAnsi="Times New Roman"/>
                <w:noProof/>
                <w:color w:val="000000"/>
                <w:sz w:val="18"/>
                <w:szCs w:val="18"/>
              </w:rPr>
              <w:br/>
              <w:t xml:space="preserve">в) подобрена достъпност (19 проекта) и устойчивост (25 проекта) в пристанищата (306 000 000 EUR), включително: </w:t>
            </w:r>
            <w:r>
              <w:rPr>
                <w:rFonts w:ascii="Times New Roman" w:hAnsi="Times New Roman"/>
                <w:noProof/>
                <w:color w:val="000000"/>
                <w:sz w:val="18"/>
                <w:szCs w:val="18"/>
              </w:rPr>
              <w:br/>
              <w:t>• Достъпност (176 000 000 EUR): работи по осигуряване на достъп до железопътната мрежа, включително работи по обновяване и модернизиране, както и нов достъп и подобряване на вътрешния трафик в пристанищата, чрез адаптиране на инфраструктурата, която продължава своя външен сухоземен достъп.</w:t>
            </w:r>
            <w:r>
              <w:rPr>
                <w:rFonts w:ascii="Times New Roman" w:hAnsi="Times New Roman"/>
                <w:noProof/>
                <w:color w:val="000000"/>
                <w:sz w:val="18"/>
                <w:szCs w:val="18"/>
              </w:rPr>
              <w:br/>
              <w:t xml:space="preserve">• Устойчивост: системи за регулиране на консумацията на мощност; планове за подобряване на качеството на въздуха; инсталиране на по-ефективни енергийни мрежи; слънчеви фотоволтаични инсталации; обновяване на осветителните мрежи и инсталиране на светодиодна технология; системи за регулиране на консумацията на мощност; обновяване на системите за обработка </w:t>
            </w:r>
            <w:r>
              <w:rPr>
                <w:rFonts w:ascii="Times New Roman" w:hAnsi="Times New Roman"/>
                <w:noProof/>
                <w:color w:val="000000"/>
                <w:sz w:val="18"/>
                <w:szCs w:val="18"/>
              </w:rPr>
              <w:br/>
              <w:t>Целта на действията е да се изпълни зона 6 от Стратегията за сигурна, устойчива и свързана мобилност (R1) относно интелигентни интермодални логистични вериги. Критериите за подбор гарантират, че от общия целеви бюджет в размер на 974 000 000 EUR поне 584 000 000 EUR допринасят за целите във връзка с изменението на климата със 100 % коефициент в областта на климата и най-малко 217 000 000 EUR с коефициент в областта на климата от 40 % в съответствие с приложение VI към Регламент (ЕС) 2021/241 относно Механизма за възстановяване и устойчивост.</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96</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C6.I3</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1512"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Изпълнение на бюджета за интермодална и логистична инфраструктура </w:t>
            </w:r>
          </w:p>
        </w:tc>
        <w:tc>
          <w:tcPr>
            <w:tcW w:w="1182"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Официално уведомление за изпълнението на бюджета </w:t>
            </w:r>
          </w:p>
        </w:tc>
        <w:tc>
          <w:tcPr>
            <w:tcW w:w="798"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w:t>
            </w:r>
          </w:p>
        </w:tc>
        <w:tc>
          <w:tcPr>
            <w:tcW w:w="61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w:t>
            </w:r>
          </w:p>
        </w:tc>
        <w:tc>
          <w:tcPr>
            <w:tcW w:w="34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648"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2024</w:t>
            </w:r>
          </w:p>
        </w:tc>
        <w:tc>
          <w:tcPr>
            <w:tcW w:w="6066"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Изпълненият кумулативен бюджет в размер на най-малко 590 000 000 EUR за структурите на интермодалната и логистичната инфраструктура работи в области, определени в критериите за подбор на проекти за четвъртото тримесечие на 2022 г., букви а), б) и в) (ключов етап 95)</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97</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C6.I3</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w:t>
            </w:r>
          </w:p>
        </w:tc>
        <w:tc>
          <w:tcPr>
            <w:tcW w:w="1512"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Интермодална и логистична инфраструктура </w:t>
            </w:r>
          </w:p>
        </w:tc>
        <w:tc>
          <w:tcPr>
            <w:tcW w:w="1182"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w:t>
            </w:r>
          </w:p>
        </w:tc>
        <w:tc>
          <w:tcPr>
            <w:tcW w:w="798"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Номер</w:t>
            </w:r>
          </w:p>
        </w:tc>
        <w:tc>
          <w:tcPr>
            <w:tcW w:w="61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0</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12</w:t>
            </w:r>
          </w:p>
        </w:tc>
        <w:tc>
          <w:tcPr>
            <w:tcW w:w="34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T2</w:t>
            </w:r>
          </w:p>
        </w:tc>
        <w:tc>
          <w:tcPr>
            <w:tcW w:w="648"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2026</w:t>
            </w:r>
          </w:p>
        </w:tc>
        <w:tc>
          <w:tcPr>
            <w:tcW w:w="6066"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Завършване на строителните работи в девет стратегически интермодални и логистични терминала (Tilos) и три пристанища – достъп до нови или модернизирани, за да се даде тласък на железопътния товарен транспорт. Строителните работи са в области, определени в критериите за подбор за четвъртото тримесечие на 2022 г., букви а) и б) (ключов етап 95). </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98</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C6.I3</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w:t>
            </w:r>
          </w:p>
        </w:tc>
        <w:tc>
          <w:tcPr>
            <w:tcW w:w="1512"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Приключване на проекти за достъпност на железопътния транспорт и на проекти за устойчивост в пристанищата </w:t>
            </w:r>
          </w:p>
        </w:tc>
        <w:tc>
          <w:tcPr>
            <w:tcW w:w="1182"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w:t>
            </w:r>
          </w:p>
        </w:tc>
        <w:tc>
          <w:tcPr>
            <w:tcW w:w="798"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Номер</w:t>
            </w:r>
          </w:p>
        </w:tc>
        <w:tc>
          <w:tcPr>
            <w:tcW w:w="61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0</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44</w:t>
            </w:r>
          </w:p>
        </w:tc>
        <w:tc>
          <w:tcPr>
            <w:tcW w:w="34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T2</w:t>
            </w:r>
          </w:p>
        </w:tc>
        <w:tc>
          <w:tcPr>
            <w:tcW w:w="648"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2026</w:t>
            </w:r>
          </w:p>
        </w:tc>
        <w:tc>
          <w:tcPr>
            <w:tcW w:w="6066"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Приключване на 44 действия (19+ 25): най-малко 19 проекта за достъпност на железопътния транспорт и приключване на проекти за устойчивост в пристанищата в различни 25 пристанищни органа. Строителните работи са в области, определени в критериите за подбор за четвъртото тримесечие на 2022 г., буква в) (ключов етап 95). </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99</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C6.I4</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1512"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Подкрепа за програмата за устойчив и цифров транспорт. </w:t>
            </w:r>
          </w:p>
        </w:tc>
        <w:tc>
          <w:tcPr>
            <w:tcW w:w="1182"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Публикуване на Официален вестник</w:t>
            </w:r>
          </w:p>
        </w:tc>
        <w:tc>
          <w:tcPr>
            <w:tcW w:w="798"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61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34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648"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2022</w:t>
            </w:r>
          </w:p>
        </w:tc>
        <w:tc>
          <w:tcPr>
            <w:tcW w:w="6066"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Публикуване в Официален вестник на наградата в размер на 800000000 EUR по програмата за устойчив и цифров транспорт.</w:t>
            </w:r>
            <w:r>
              <w:rPr>
                <w:rFonts w:ascii="Times New Roman" w:hAnsi="Times New Roman"/>
                <w:noProof/>
                <w:color w:val="000000"/>
                <w:sz w:val="18"/>
                <w:szCs w:val="18"/>
              </w:rPr>
              <w:br/>
              <w:t>Проектите се възлагат за следните 15 действия.</w:t>
            </w:r>
            <w:r>
              <w:rPr>
                <w:rFonts w:ascii="Times New Roman" w:hAnsi="Times New Roman"/>
                <w:noProof/>
                <w:color w:val="000000"/>
                <w:sz w:val="18"/>
                <w:szCs w:val="18"/>
              </w:rPr>
              <w:br/>
              <w:t>Направление по действие 1. Оперативна съвместимост в железопътния товарен транспорт – 45 000 000 EUR</w:t>
            </w:r>
            <w:r>
              <w:rPr>
                <w:rFonts w:ascii="Times New Roman" w:hAnsi="Times New Roman"/>
                <w:noProof/>
                <w:color w:val="000000"/>
                <w:sz w:val="18"/>
                <w:szCs w:val="18"/>
              </w:rPr>
              <w:br/>
              <w:t>1. Бордови европейски системи за управление на железопътното движение (ERTMS)</w:t>
            </w:r>
            <w:r>
              <w:rPr>
                <w:rFonts w:ascii="Times New Roman" w:hAnsi="Times New Roman"/>
                <w:noProof/>
                <w:color w:val="000000"/>
                <w:sz w:val="18"/>
                <w:szCs w:val="18"/>
              </w:rPr>
              <w:br/>
              <w:t>2. Иновации и развитие на оста на променливото междурелсие в локомотиви.</w:t>
            </w:r>
            <w:r>
              <w:rPr>
                <w:rFonts w:ascii="Times New Roman" w:hAnsi="Times New Roman"/>
                <w:noProof/>
                <w:color w:val="000000"/>
                <w:sz w:val="18"/>
                <w:szCs w:val="18"/>
              </w:rPr>
              <w:br/>
              <w:t>Системи за намаляване на шума в подвижния състав</w:t>
            </w:r>
            <w:r>
              <w:rPr>
                <w:rFonts w:ascii="Times New Roman" w:hAnsi="Times New Roman"/>
                <w:noProof/>
                <w:color w:val="000000"/>
                <w:sz w:val="18"/>
                <w:szCs w:val="18"/>
              </w:rPr>
              <w:br/>
              <w:t>Адаптиране на локомотиви към различни работни напрежения</w:t>
            </w:r>
            <w:r>
              <w:rPr>
                <w:rFonts w:ascii="Times New Roman" w:hAnsi="Times New Roman"/>
                <w:noProof/>
                <w:color w:val="000000"/>
                <w:sz w:val="18"/>
                <w:szCs w:val="18"/>
              </w:rPr>
              <w:br/>
              <w:t>Монтиране на оси с променливо междурелсие на товарни вагони</w:t>
            </w:r>
            <w:r>
              <w:rPr>
                <w:rFonts w:ascii="Times New Roman" w:hAnsi="Times New Roman"/>
                <w:noProof/>
                <w:color w:val="000000"/>
                <w:sz w:val="18"/>
                <w:szCs w:val="18"/>
              </w:rPr>
              <w:br/>
              <w:t>3 Иновации и развитие на оста на променливото междурелсие в локомотивите.</w:t>
            </w:r>
            <w:r>
              <w:rPr>
                <w:rFonts w:ascii="Times New Roman" w:hAnsi="Times New Roman"/>
                <w:noProof/>
                <w:color w:val="000000"/>
                <w:sz w:val="18"/>
                <w:szCs w:val="18"/>
              </w:rPr>
              <w:br/>
              <w:t>Направление по действие 2. Насърчаване на интермодалността на транспорта 195 000 000 EUR</w:t>
            </w:r>
            <w:r>
              <w:rPr>
                <w:rFonts w:ascii="Times New Roman" w:hAnsi="Times New Roman"/>
                <w:noProof/>
                <w:color w:val="000000"/>
                <w:sz w:val="18"/>
                <w:szCs w:val="18"/>
              </w:rPr>
              <w:br/>
              <w:t>4. Строителство, адаптиране или модернизиране на товари и интермодални железопътно-автомобилни терминали и техните наземни връзки</w:t>
            </w:r>
            <w:r>
              <w:rPr>
                <w:rFonts w:ascii="Times New Roman" w:hAnsi="Times New Roman"/>
                <w:noProof/>
                <w:color w:val="000000"/>
                <w:sz w:val="18"/>
                <w:szCs w:val="18"/>
              </w:rPr>
              <w:br/>
              <w:t>5. Подкрепа за устойчив товарен транспорт (железопътен и морски транспорт) въз основа на ECO-INCENTIVES по отношение на търсенето и предлагането</w:t>
            </w:r>
            <w:r>
              <w:rPr>
                <w:rFonts w:ascii="Times New Roman" w:hAnsi="Times New Roman"/>
                <w:noProof/>
                <w:color w:val="000000"/>
                <w:sz w:val="18"/>
                <w:szCs w:val="18"/>
              </w:rPr>
              <w:br/>
              <w:t>Направление по действие 3. Модернизиране на оборудването за железопътен товарен превоз 125 000 000 EUR</w:t>
            </w:r>
            <w:r>
              <w:rPr>
                <w:rFonts w:ascii="Times New Roman" w:hAnsi="Times New Roman"/>
                <w:noProof/>
                <w:color w:val="000000"/>
                <w:sz w:val="18"/>
                <w:szCs w:val="18"/>
              </w:rPr>
              <w:br/>
              <w:t>6. Действия в подкрепа на обновяването или модернизирането на вагони за железопътен товарен превоз, включително за създаване на железопътна магистрала.</w:t>
            </w:r>
            <w:r>
              <w:rPr>
                <w:rFonts w:ascii="Times New Roman" w:hAnsi="Times New Roman"/>
                <w:noProof/>
                <w:color w:val="000000"/>
                <w:sz w:val="18"/>
                <w:szCs w:val="18"/>
              </w:rPr>
              <w:br/>
              <w:t>7. Интелигентни транспортни услуги за автомобилния сектор (ИТС) при концесии на платени автомагистрали и други услуги за пътна безопасност и опазване.</w:t>
            </w:r>
            <w:r>
              <w:rPr>
                <w:rFonts w:ascii="Times New Roman" w:hAnsi="Times New Roman"/>
                <w:noProof/>
                <w:color w:val="000000"/>
                <w:sz w:val="18"/>
                <w:szCs w:val="18"/>
              </w:rPr>
              <w:br/>
              <w:t>Направление по действие 4. Безопасен, устойчив и свързан автомобилен транспорт 56 500 000 EUR</w:t>
            </w:r>
            <w:r>
              <w:rPr>
                <w:rFonts w:ascii="Times New Roman" w:hAnsi="Times New Roman"/>
                <w:noProof/>
                <w:color w:val="000000"/>
                <w:sz w:val="18"/>
                <w:szCs w:val="18"/>
              </w:rPr>
              <w:br/>
              <w:t>8. Изграждане и модернизиране на безопасни зони за паркиране за търговски превозни средства и предоставяне на информационни услуги (Делегиран регламент (ЕС) № 885/2013)</w:t>
            </w:r>
            <w:r>
              <w:rPr>
                <w:rFonts w:ascii="Times New Roman" w:hAnsi="Times New Roman"/>
                <w:noProof/>
                <w:color w:val="000000"/>
                <w:sz w:val="18"/>
                <w:szCs w:val="18"/>
              </w:rPr>
              <w:br/>
              <w:t>9. Интелигентни транспортни услуги за автомобилния сектор (ИТС) при концесии за платени автомагистрали и други услуги за пътна безопасност и опазване.</w:t>
            </w:r>
            <w:r>
              <w:rPr>
                <w:rFonts w:ascii="Times New Roman" w:hAnsi="Times New Roman"/>
                <w:noProof/>
                <w:color w:val="000000"/>
                <w:sz w:val="18"/>
                <w:szCs w:val="18"/>
              </w:rPr>
              <w:br/>
              <w:t>10. Действия в подкрепа на разгръщането на инфраструктура за зареждане с алтернативни горива за тежкотоварни превозни средства по пътната мрежа</w:t>
            </w:r>
            <w:r>
              <w:rPr>
                <w:rFonts w:ascii="Times New Roman" w:hAnsi="Times New Roman"/>
                <w:noProof/>
                <w:color w:val="000000"/>
                <w:sz w:val="18"/>
                <w:szCs w:val="18"/>
              </w:rPr>
              <w:br/>
              <w:t xml:space="preserve">11. Действия в подкрепа на обновяването или адаптирането на средствата и машините за постигане на устойчиви настилки. намаляване на въглеродния отпечатък и шума </w:t>
            </w:r>
            <w:r>
              <w:rPr>
                <w:rFonts w:ascii="Times New Roman" w:hAnsi="Times New Roman"/>
                <w:noProof/>
                <w:color w:val="000000"/>
                <w:sz w:val="18"/>
                <w:szCs w:val="18"/>
              </w:rPr>
              <w:br/>
              <w:t>Направление 5. Устойчивост на морския и въздушния транспорт 111 000 000 EUR</w:t>
            </w:r>
            <w:r>
              <w:rPr>
                <w:rFonts w:ascii="Times New Roman" w:hAnsi="Times New Roman"/>
                <w:noProof/>
                <w:color w:val="000000"/>
                <w:sz w:val="18"/>
                <w:szCs w:val="18"/>
              </w:rPr>
              <w:br/>
              <w:t>12. Подкрепа за внедряването на алтернативни горива в пристанищата и летищата.</w:t>
            </w:r>
            <w:r>
              <w:rPr>
                <w:rFonts w:ascii="Times New Roman" w:hAnsi="Times New Roman"/>
                <w:noProof/>
                <w:color w:val="000000"/>
                <w:sz w:val="18"/>
                <w:szCs w:val="18"/>
              </w:rPr>
              <w:br/>
              <w:t>13. Подкрепа за внедряването на алтернативни енергийни технологии в морския сектор;</w:t>
            </w:r>
            <w:r>
              <w:rPr>
                <w:rFonts w:ascii="Times New Roman" w:hAnsi="Times New Roman"/>
                <w:noProof/>
                <w:color w:val="000000"/>
                <w:sz w:val="18"/>
                <w:szCs w:val="18"/>
              </w:rPr>
              <w:br/>
              <w:t xml:space="preserve">Направление по действие 6. Цифровизация на транспорта в размер на 47 500 000 EUR </w:t>
            </w:r>
            <w:r>
              <w:rPr>
                <w:rFonts w:ascii="Times New Roman" w:hAnsi="Times New Roman"/>
                <w:noProof/>
                <w:color w:val="000000"/>
                <w:sz w:val="18"/>
                <w:szCs w:val="18"/>
              </w:rPr>
              <w:br/>
              <w:t>14. Проекти за цифровизация на услугите за пътнически и товарен транспорт на национално равнище;</w:t>
            </w:r>
            <w:r>
              <w:rPr>
                <w:rFonts w:ascii="Times New Roman" w:hAnsi="Times New Roman"/>
                <w:noProof/>
                <w:color w:val="000000"/>
                <w:sz w:val="18"/>
                <w:szCs w:val="18"/>
              </w:rPr>
              <w:br/>
              <w:t>Трансфер към автономните области 220 000 000 EUR</w:t>
            </w:r>
            <w:r>
              <w:rPr>
                <w:rFonts w:ascii="Times New Roman" w:hAnsi="Times New Roman"/>
                <w:noProof/>
                <w:color w:val="000000"/>
                <w:sz w:val="18"/>
                <w:szCs w:val="18"/>
              </w:rPr>
              <w:br/>
              <w:t>15. Проекти за цифровизация на услугите за превоз на пътници и товари на регионално и местно равнище;</w:t>
            </w:r>
            <w:r>
              <w:rPr>
                <w:rFonts w:ascii="Times New Roman" w:hAnsi="Times New Roman"/>
                <w:noProof/>
                <w:color w:val="000000"/>
                <w:sz w:val="18"/>
                <w:szCs w:val="18"/>
              </w:rPr>
              <w:br/>
              <w:t>За действия 10 и 12 критериите за подбор трябва да са в съответствие с техническите насоки „Ненанасяне на значителни вреди“ (2021/C58/01), с които се гарантира, че инфраструктурата е създадена по време на строителството за пренос на възобновяеми и нисковъглеродни газове.</w:t>
            </w:r>
            <w:r>
              <w:rPr>
                <w:rFonts w:ascii="Times New Roman" w:hAnsi="Times New Roman"/>
                <w:noProof/>
                <w:color w:val="000000"/>
                <w:sz w:val="18"/>
                <w:szCs w:val="18"/>
              </w:rPr>
              <w:br/>
              <w:t>Критериите за подбор гарантират, че най-малко 63 500 000 EUR допринасят за постигане на целите във връзка с изменението на климата със 100 % коефициент в областта на климата и най-малко 210 000 000 EUR с коефициент в областта на климата от 40 % в съответствие с приложение VI към Регламент (ЕС) 2021/241 относно Механизма за възстановяване и устойчивост.</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100</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C6.I4</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1512"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Устойчив и цифров транспорт: начало на строителните работи,</w:t>
            </w:r>
          </w:p>
        </w:tc>
        <w:tc>
          <w:tcPr>
            <w:tcW w:w="1182"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Официално уведомление за започване на работа </w:t>
            </w:r>
          </w:p>
        </w:tc>
        <w:tc>
          <w:tcPr>
            <w:tcW w:w="798"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61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34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648"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2024</w:t>
            </w:r>
          </w:p>
        </w:tc>
        <w:tc>
          <w:tcPr>
            <w:tcW w:w="6066"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Започване на работа по всички проекти, възложени през четвъртото тримесечие на 2022 г. (етап 99) за насърчаване на устойчивия и цифровия транспорт. Строителните работи са в области, определени в критериите за подбор за четвъртото тримесечие на 2022 г., (ключов етап 99).</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101</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C6.I4</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1512"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Устойчив и цифров транспорт: довършване на строителните работи</w:t>
            </w:r>
          </w:p>
        </w:tc>
        <w:tc>
          <w:tcPr>
            <w:tcW w:w="1182"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Официално уведомление за приключване на работата</w:t>
            </w:r>
          </w:p>
        </w:tc>
        <w:tc>
          <w:tcPr>
            <w:tcW w:w="798"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w:t>
            </w:r>
          </w:p>
        </w:tc>
        <w:tc>
          <w:tcPr>
            <w:tcW w:w="61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w:t>
            </w:r>
          </w:p>
        </w:tc>
        <w:tc>
          <w:tcPr>
            <w:tcW w:w="34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T2</w:t>
            </w:r>
          </w:p>
        </w:tc>
        <w:tc>
          <w:tcPr>
            <w:tcW w:w="648"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2026</w:t>
            </w:r>
          </w:p>
        </w:tc>
        <w:tc>
          <w:tcPr>
            <w:tcW w:w="6066"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Приключване на всички проекти, възложени през четвъртото тримесечие на 2022 г. (етап 99) за насърчаване на устойчивия и цифровия транспорт. Строителните работи са в области, определени в критериите за подбор за четвъртото тримесечие на 2022 г.</w:t>
            </w:r>
            <w:r>
              <w:rPr>
                <w:rFonts w:ascii="Times New Roman" w:hAnsi="Times New Roman"/>
                <w:noProof/>
                <w:color w:val="000000"/>
                <w:sz w:val="18"/>
                <w:szCs w:val="18"/>
              </w:rPr>
              <w:br/>
              <w:t>За мерки 10 и 12 критериите за подбор трябва да са в съответствие с Техническите насоки „Ненанасяне на значителни вреди“ (2021/C58/01), като се гарантира, че инфраструктурата е създадена по време на строителството за пренос на възобновяеми и нисковъглеродни газове.</w:t>
            </w:r>
          </w:p>
        </w:tc>
      </w:tr>
    </w:tbl>
    <w:p>
      <w:pPr>
        <w:spacing w:before="120" w:after="120" w:line="240" w:lineRule="auto"/>
        <w:ind w:left="709"/>
        <w:jc w:val="both"/>
        <w:rPr>
          <w:rFonts w:ascii="Times New Roman" w:hAnsi="Times New Roman" w:cs="Times New Roman"/>
          <w:noProof/>
          <w:sz w:val="24"/>
        </w:rPr>
      </w:pPr>
    </w:p>
    <w:p>
      <w:pPr>
        <w:spacing w:before="120" w:after="120" w:line="240" w:lineRule="auto"/>
        <w:ind w:left="709"/>
        <w:jc w:val="both"/>
        <w:rPr>
          <w:rFonts w:ascii="Times New Roman" w:hAnsi="Times New Roman" w:cs="Times New Roman"/>
          <w:noProof/>
          <w:sz w:val="24"/>
        </w:rPr>
        <w:sectPr>
          <w:headerReference w:type="even" r:id="rId85"/>
          <w:headerReference w:type="default" r:id="rId86"/>
          <w:footerReference w:type="even" r:id="rId87"/>
          <w:footerReference w:type="default" r:id="rId88"/>
          <w:headerReference w:type="first" r:id="rId89"/>
          <w:footerReference w:type="first" r:id="rId90"/>
          <w:pgSz w:w="16839" w:h="11907" w:orient="landscape"/>
          <w:pgMar w:top="1417" w:right="1134" w:bottom="1417" w:left="1134" w:header="709" w:footer="709" w:gutter="0"/>
          <w:cols w:space="720"/>
          <w:docGrid w:linePitch="360"/>
        </w:sectPr>
      </w:pPr>
    </w:p>
    <w:p>
      <w:pPr>
        <w:pStyle w:val="Heading1"/>
        <w:rPr>
          <w:noProof/>
        </w:rPr>
      </w:pPr>
      <w:r>
        <w:rPr>
          <w:noProof/>
        </w:rPr>
        <w:t>Ж. КОМПОНЕНТ 7: Внедряване и интегриране на възобновяеми енергийни източници</w:t>
      </w:r>
    </w:p>
    <w:p>
      <w:pPr>
        <w:spacing w:before="120" w:after="12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Националният план в областта на енергетиката и климата (НПЕК) на Испания за периода 2021—2030 г. предвижда значителен ръст на навлизането на енергията от възобновяеми източници в Испания, достигайки 74 % в електроенергийния сектор и 42 % в крайното потребление през 2030 г. В този контекст целта на този компонент на испанския план за възстановяване и устойчивост е да се увеличи използването на енергия от възобновяеми източници чрез следните елементи: </w:t>
      </w:r>
    </w:p>
    <w:p>
      <w:pPr>
        <w:numPr>
          <w:ilvl w:val="0"/>
          <w:numId w:val="19"/>
        </w:numPr>
        <w:spacing w:before="120" w:after="12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разработването на ясна и предвидима регулаторна рамка, която насърчава инвестициите във възобновяеми енергийни източници; </w:t>
      </w:r>
    </w:p>
    <w:p>
      <w:pPr>
        <w:numPr>
          <w:ilvl w:val="0"/>
          <w:numId w:val="19"/>
        </w:numPr>
        <w:spacing w:before="120" w:after="12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създаването и консолидирането на промишлената верига за създаване на стойност в областта на възобновяемите енергийни източници; </w:t>
      </w:r>
    </w:p>
    <w:p>
      <w:pPr>
        <w:numPr>
          <w:ilvl w:val="0"/>
          <w:numId w:val="19"/>
        </w:numPr>
        <w:spacing w:before="120" w:after="12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подкрепа за иновативни източници на технологии за производство на енергия от възобновяеми източници, включително интегрирането им в крайните употреби; и </w:t>
      </w:r>
    </w:p>
    <w:p>
      <w:pPr>
        <w:numPr>
          <w:ilvl w:val="0"/>
          <w:numId w:val="19"/>
        </w:numPr>
        <w:spacing w:before="120" w:after="12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развитието на „зелени“ умения. </w:t>
      </w:r>
    </w:p>
    <w:p>
      <w:pPr>
        <w:spacing w:before="120" w:after="12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Освен това компонентът е специално насочен към насърчаване на внедряването на възобновяеми енергийни източници на испанските острови, както и на участието на гражданите чрез общностите за енергия от възобновяеми източници.</w:t>
      </w:r>
    </w:p>
    <w:p>
      <w:pPr>
        <w:spacing w:before="120" w:after="12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Компонентът е свързан с насърчаването на инвестициите в иновации и енергийна ефективност (Специфична за всяка държава препоръка 3 2019 г.). Тя също така насърчава публичните и частните инвестиции и насърчава екологичния преход (Специфична за всяка държава препоръка 3 2020 г.).</w:t>
      </w:r>
    </w:p>
    <w:p>
      <w:pPr>
        <w:spacing w:before="120" w:after="12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Очаква се, че нито една мярка в този компонент не вреди в значителна степен на екологичните цели по смисъла на член 17 от Регламент (ЕС) 2020/852, като се вземат предвид описанието на мерките и стъпките за смекчаване на последиците, определени в плана за възстановяване и устойчивост в съответствие с Техническите насоки за спазването на „принципа за ненанасяне на съществена вреда“ (2021/C58/01). </w:t>
      </w:r>
    </w:p>
    <w:p>
      <w:pPr>
        <w:spacing w:before="120" w:after="120" w:line="240" w:lineRule="auto"/>
        <w:ind w:left="709"/>
        <w:jc w:val="both"/>
        <w:rPr>
          <w:rFonts w:ascii="Times New Roman" w:hAnsi="Times New Roman" w:cs="Times New Roman"/>
          <w:b/>
          <w:bCs/>
          <w:i/>
          <w:iCs/>
          <w:noProof/>
          <w:color w:val="000000" w:themeColor="text1"/>
          <w:sz w:val="24"/>
        </w:rPr>
      </w:pPr>
      <w:r>
        <w:rPr>
          <w:rFonts w:ascii="Times New Roman" w:hAnsi="Times New Roman"/>
          <w:b/>
          <w:bCs/>
          <w:noProof/>
          <w:color w:val="000000" w:themeColor="text1"/>
          <w:sz w:val="24"/>
          <w:u w:val="single"/>
        </w:rPr>
        <w:t xml:space="preserve">Ж.1. </w:t>
      </w:r>
      <w:r>
        <w:rPr>
          <w:rFonts w:ascii="Times New Roman" w:hAnsi="Times New Roman"/>
          <w:b/>
          <w:noProof/>
          <w:color w:val="000000" w:themeColor="text1"/>
          <w:sz w:val="24"/>
          <w:u w:val="single"/>
        </w:rPr>
        <w:tab/>
      </w:r>
      <w:r>
        <w:rPr>
          <w:rFonts w:ascii="Times New Roman" w:hAnsi="Times New Roman"/>
          <w:b/>
          <w:bCs/>
          <w:noProof/>
          <w:color w:val="000000" w:themeColor="text1"/>
          <w:sz w:val="24"/>
          <w:u w:val="single"/>
        </w:rPr>
        <w:t>Описание на реформите и инвестициите за безвъзмездна финансова подкрепа</w:t>
      </w:r>
    </w:p>
    <w:p>
      <w:pPr>
        <w:spacing w:before="120" w:after="120" w:line="240" w:lineRule="auto"/>
        <w:jc w:val="both"/>
        <w:rPr>
          <w:rFonts w:ascii="Times New Roman" w:hAnsi="Times New Roman" w:cs="Times New Roman"/>
          <w:noProof/>
          <w:color w:val="000000" w:themeColor="text1"/>
          <w:sz w:val="24"/>
          <w:u w:val="single"/>
        </w:rPr>
      </w:pPr>
      <w:r>
        <w:rPr>
          <w:rFonts w:ascii="Times New Roman" w:hAnsi="Times New Roman"/>
          <w:noProof/>
          <w:color w:val="000000" w:themeColor="text1"/>
          <w:sz w:val="24"/>
          <w:u w:val="single"/>
        </w:rPr>
        <w:t>Реформа 1 (C7.R1) – Регулаторна рамка за насърчаване на производството на електроенергия от възобновяеми източници</w:t>
      </w:r>
    </w:p>
    <w:p>
      <w:pPr>
        <w:spacing w:before="120" w:after="12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Целта на тази мярка е да се укрепи регулаторната рамка за насърчаване на производството на енергия от възобновяеми източници, за да се повиши сигурността и да се насърчат частните инвестиции в енергия от възобновяеми източници, да се премахнат пречките пред разгръщането на възобновяемите енергийни източници и да се подобри тяхната интеграция в околната среда, електроенергийната система и в различните сектори. </w:t>
      </w:r>
    </w:p>
    <w:p>
      <w:pPr>
        <w:spacing w:before="120" w:after="12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Мярката включва редица законодателни и регулаторни мерки, включително: </w:t>
      </w:r>
    </w:p>
    <w:p>
      <w:pPr>
        <w:numPr>
          <w:ilvl w:val="0"/>
          <w:numId w:val="20"/>
        </w:numPr>
        <w:spacing w:before="120" w:after="12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приемането на Кралски законодателен указ 23/2020 през юни 2020 г., с който се създава нова тръжна система за производство на енергия от възобновяеми източници и се подобрява механизмът за достъп на производството на енергия от възобновяеми източници до електропреносната мрежа; </w:t>
      </w:r>
    </w:p>
    <w:p>
      <w:pPr>
        <w:numPr>
          <w:ilvl w:val="0"/>
          <w:numId w:val="20"/>
        </w:numPr>
        <w:spacing w:before="120" w:after="12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приемането на Кралски указ 960/2020 през ноември 2020 г., с което се повишава предвидимостта на приходите, които ще бъдат получени от производството на електроенергия от възобновяеми източници в новите търгове; </w:t>
      </w:r>
    </w:p>
    <w:p>
      <w:pPr>
        <w:numPr>
          <w:ilvl w:val="0"/>
          <w:numId w:val="20"/>
        </w:numPr>
        <w:spacing w:before="120" w:after="12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Кралски указ 1183/2020 от декември 2020 г., с който се уреждат условията за достъп и свързване за производството на енергия от възобновяеми източници, в съответствие с разпоредбите на Кралски законодателен указ 23/2020; и</w:t>
      </w:r>
    </w:p>
    <w:p>
      <w:pPr>
        <w:numPr>
          <w:ilvl w:val="0"/>
          <w:numId w:val="20"/>
        </w:numPr>
        <w:spacing w:before="120" w:after="12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Законът за изменението на климата и енергийния преход, който се предвижда да бъде приет през първата половина на 2021 г., с който ще бъдат установени в законодателството целите за 2030 г. по отношение на енергията от възобновяеми източници и целта за неутралност по отношение на климата до 2050 г. (включително 100 % електроенергийна система за енергия от възобновяеми източници). Този закон включва също така елементи, които са от значение за други компоненти в плана (като намаляване на административните пречки и изисквания за инсталирането на обществени зарядни точки).</w:t>
      </w:r>
    </w:p>
    <w:p>
      <w:pPr>
        <w:spacing w:before="120" w:after="12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Изпълнението на мярката приключва до 31 декември 2023 г. </w:t>
      </w:r>
    </w:p>
    <w:p>
      <w:pPr>
        <w:spacing w:before="120" w:after="120" w:line="240" w:lineRule="auto"/>
        <w:jc w:val="both"/>
        <w:rPr>
          <w:rFonts w:ascii="Times New Roman" w:hAnsi="Times New Roman" w:cs="Times New Roman"/>
          <w:noProof/>
          <w:color w:val="000000" w:themeColor="text1"/>
          <w:sz w:val="24"/>
          <w:u w:val="single"/>
        </w:rPr>
      </w:pPr>
      <w:r>
        <w:rPr>
          <w:rFonts w:ascii="Times New Roman" w:hAnsi="Times New Roman"/>
          <w:noProof/>
          <w:color w:val="000000" w:themeColor="text1"/>
          <w:sz w:val="24"/>
          <w:u w:val="single"/>
        </w:rPr>
        <w:t>Реформа 2 (C7.R2) – Национална стратегия за собственото потребление</w:t>
      </w:r>
    </w:p>
    <w:p>
      <w:pPr>
        <w:spacing w:before="120" w:after="12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Целта на тази мярка е да се насърчи потреблението на собствена електроенергия като алтернативна форма на производство на енергия от възобновяеми източници, да се определят цели в тази област за периода 2021—2030 г. и да се набележат и разработят мерки за смекчаване на основните пречки пред тяхното внедряване. Потреблението на собствена електроенергия допринася за интегрирането на производството на енергия от възобновяеми източници в сградите и градската среда и стимулира местната заетост. </w:t>
      </w:r>
    </w:p>
    <w:p>
      <w:pPr>
        <w:spacing w:before="120" w:after="12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Мярката включва приемането от испанското правителство на национална стратегия за собственото потребление през втората половина на 2021 г., за да се намалят административните пречки пред собственото потребление. В стратегията се диагностицира настоящата и потенциалната ситуация в Испания и се определят мерки, насочени към: а) по-добра координация между администрациите; б) разпространение на информация сред потребителите и повишаване на осведомеността; определяне на съществуващите съответни умения, както и на възможностите за допълнително обучение, свързани с внедряването на собственото потребление. </w:t>
      </w:r>
    </w:p>
    <w:p>
      <w:pPr>
        <w:spacing w:before="120" w:after="12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Мярката е насочена към изпълнението на ключови елементи от Националната стратегия за самопотреблението, включително публикуването на насоки за насърчаване на собственото потребление и завършването на обучения, насочени към подобряване на необходимите умения. </w:t>
      </w:r>
    </w:p>
    <w:p>
      <w:pPr>
        <w:spacing w:before="120" w:after="12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Изпълнението на мярката приключва до 30 юни 2023 г. </w:t>
      </w:r>
    </w:p>
    <w:p>
      <w:pPr>
        <w:spacing w:before="120" w:after="120" w:line="240" w:lineRule="auto"/>
        <w:jc w:val="both"/>
        <w:rPr>
          <w:rFonts w:ascii="Times New Roman" w:hAnsi="Times New Roman" w:cs="Times New Roman"/>
          <w:noProof/>
          <w:color w:val="000000" w:themeColor="text1"/>
          <w:sz w:val="24"/>
          <w:u w:val="single"/>
        </w:rPr>
      </w:pPr>
      <w:r>
        <w:rPr>
          <w:rFonts w:ascii="Times New Roman" w:hAnsi="Times New Roman"/>
          <w:noProof/>
          <w:color w:val="000000" w:themeColor="text1"/>
          <w:sz w:val="24"/>
          <w:u w:val="single"/>
        </w:rPr>
        <w:t>Реформа 3 (C7.R3) – Развитие на енергийните общности</w:t>
      </w:r>
    </w:p>
    <w:p>
      <w:pPr>
        <w:spacing w:before="120" w:after="12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Целта на тази мярка е да се развият енергийни общности, за да се засили участието на гражданите в енергийния преход чрез общностите за енергия от възобновяеми източници и гражданските енергийни общности. Мярката ще подпомага процесите на обучение, участие и изграждане на общности, както и подкрепа за конкретни проекти. </w:t>
      </w:r>
    </w:p>
    <w:p>
      <w:pPr>
        <w:spacing w:before="120" w:after="12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С мярката се възлага първи пилотен проект за енергийни общности въз основа на конкурентна тръжна процедура, за да се демонстрира жизнеспособността на този модел. Тя изпълнява 37 пилотни проекта с участието на местната общност до края на 2023 г. с пътна карта на извършените действия и набелязване на подходящи бъдещи стъпки. Тези проекти се основават на енергия от възобновяеми източници. </w:t>
      </w:r>
    </w:p>
    <w:p>
      <w:pPr>
        <w:spacing w:before="120" w:after="12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Изпълнението на мярката приключва до 31 декември 2023 г. </w:t>
      </w:r>
    </w:p>
    <w:p>
      <w:pPr>
        <w:spacing w:before="120" w:after="120" w:line="240" w:lineRule="auto"/>
        <w:jc w:val="both"/>
        <w:rPr>
          <w:rFonts w:ascii="Times New Roman" w:hAnsi="Times New Roman" w:cs="Times New Roman"/>
          <w:noProof/>
          <w:color w:val="000000" w:themeColor="text1"/>
          <w:sz w:val="24"/>
          <w:u w:val="single"/>
        </w:rPr>
      </w:pPr>
      <w:r>
        <w:rPr>
          <w:rFonts w:ascii="Times New Roman" w:hAnsi="Times New Roman"/>
          <w:noProof/>
          <w:color w:val="000000" w:themeColor="text1"/>
          <w:sz w:val="24"/>
          <w:u w:val="single"/>
        </w:rPr>
        <w:t>Реформа 4 (C7.R4) – Рамка за иновации и технологично развитие в областта на енергията от възобновяеми източници</w:t>
      </w:r>
    </w:p>
    <w:p>
      <w:pPr>
        <w:spacing w:before="120" w:after="12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Тази мярка укрепва рамката за иновации и технологично развитие на редица възобновяеми енергийни източници и допринася за напредъка към постигане на целта за 100 % дял на възобновяемите енергийни източници в търсенето на енергия. Възобновяемите източници, обхванати от тази мярка, включват вятърна енергия от разположени в морето инсталации и биогаз. Мярката също така улеснява научноизследователската и развойна дейност в областта на технологиите за енергия от възобновяеми източници. </w:t>
      </w:r>
    </w:p>
    <w:p>
      <w:pPr>
        <w:spacing w:before="120" w:after="12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Мярката включва публикуването на пътна карта за вятърна енергия от разположени в морето инсталации и друга морска енергия. Целта на тази пътна карта е да се намалят административните пречки пред развитието на този източник на възобновяема енергия. По-конкретно, пътната карта има за цел: а) насърчаване на научните изследвания, развойната дейност и иновациите чрез по-гъвкава регулаторна рамка и чрез укрепване на технологичните центрове и платформи за изпитване на нови прототипи; определяне на възможностите и полезните взаимодействия с ключови промишлени сектори; разработване на подходяща регулаторна рамка за внедряването в Испания (особено на плаващи технологии); и г) да определят мерки за свеждане до минимум на въздействието върху околната среда (като същевременно се стремят към опростяване на административните процедури). Мярката изпълнява ключовите регулаторни мерки, посочени в пътната карта, за насърчаване на разположените в морето вятърни паркове, за стимулиране на научноизследователската и развойната дейност и за подпомагане на внедряването на плаващи технологии.</w:t>
      </w:r>
    </w:p>
    <w:p>
      <w:pPr>
        <w:spacing w:before="120" w:after="12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Вторият елемент на тази мярка е публикуването на пътна карта за биогаза, в която ще се анализират подходящите регулаторни и секторни инструменти за насърчаване на биогаза, с акцент върху ефективното използване на този енергиен източник (като например в аграрно-промишлените приложения и за тежкотоварните превозни средства, където електрификацията все още не е алтернатива). Тази част от реформата е насочена към изпълнението на ключови дейности от пътната карта за биогаза, включително: създаването на система за гаранции за произход на възобновяемите газове, насочена към насърчаване на инвестициите в биогаз и към декарбонизиране на сектори като промишлеността и транспорта; б) разработването на инструмент за изчисляване на приноса на биогаза за декарбонизацията; и в) предварителни проучвания за осъществимост с цел насърчаване на изграждането на съоръжения за производство на биогаз. </w:t>
      </w:r>
    </w:p>
    <w:p>
      <w:pPr>
        <w:spacing w:before="120" w:after="12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Изпълнението на мярката приключва до 31 декември 2023 г.</w:t>
      </w:r>
    </w:p>
    <w:p>
      <w:pPr>
        <w:spacing w:before="120" w:after="120" w:line="240" w:lineRule="auto"/>
        <w:jc w:val="both"/>
        <w:rPr>
          <w:rFonts w:ascii="Times New Roman" w:hAnsi="Times New Roman" w:cs="Times New Roman"/>
          <w:noProof/>
          <w:color w:val="000000" w:themeColor="text1"/>
          <w:sz w:val="24"/>
          <w:u w:val="single"/>
        </w:rPr>
      </w:pPr>
      <w:r>
        <w:rPr>
          <w:rFonts w:ascii="Times New Roman" w:hAnsi="Times New Roman"/>
          <w:noProof/>
          <w:color w:val="000000" w:themeColor="text1"/>
          <w:sz w:val="24"/>
          <w:u w:val="single"/>
        </w:rPr>
        <w:t>Инвестиция 1 (C7.I1) – Развитие на иновативни възобновяеми енергийни източници, интегрирани в сгради и производствени процеси</w:t>
      </w:r>
    </w:p>
    <w:p>
      <w:pPr>
        <w:spacing w:before="120" w:after="12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Целта на тази мярка е да се насърчи развитието на иновативни възобновяеми енергийни източници, както и тези, които ще бъдат интегрирани в сградите и производствените процеси. Тя подкрепя потреблението на собствена електроенергия от възобновяеми източници и технологиите, които все още не са напълно конкурентоспособни, включително електрически и топлинни възобновяеми източници в селскостопанския сектор, възобновяеми източници, насочени към нуждите от охлаждане/отопление на жилищния сектор и сектора на услугите, топлинна енергия от възобновяеми източници за промишлени процеси, биоенергия и морски възобновяеми източници. Подпомагането ще бъде под формата на инвестиционна помощ, която ще се предоставя чрез търгове, гарантиращи икономически ефективен резултат, или пряка капиталова подкрепа за проекти за възобновяеми енергийни източници. Инвестицията също така ще подпомогне преквалификацията и повишаването на квалификацията в областта на производството на енергия от възобновяеми източници. </w:t>
      </w:r>
    </w:p>
    <w:p>
      <w:pPr>
        <w:spacing w:before="120" w:after="12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В рамките на тази инвестиция до първата половина на 2026 г. се инсталират най-малко 3800 MW за иновативно производство или производство на енергия от възобновяеми източници с добавена стойност.</w:t>
      </w:r>
    </w:p>
    <w:p>
      <w:pPr>
        <w:spacing w:before="120" w:after="12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Изпълнението на инвестицията приключва до 30 юни 2026 г. </w:t>
      </w:r>
    </w:p>
    <w:p>
      <w:pPr>
        <w:spacing w:before="120" w:after="120" w:line="240" w:lineRule="auto"/>
        <w:jc w:val="both"/>
        <w:rPr>
          <w:rFonts w:ascii="Times New Roman" w:hAnsi="Times New Roman" w:cs="Times New Roman"/>
          <w:noProof/>
          <w:color w:val="000000" w:themeColor="text1"/>
          <w:sz w:val="24"/>
          <w:u w:val="single"/>
        </w:rPr>
      </w:pPr>
      <w:r>
        <w:rPr>
          <w:rFonts w:ascii="Times New Roman" w:hAnsi="Times New Roman"/>
          <w:noProof/>
          <w:color w:val="000000" w:themeColor="text1"/>
          <w:sz w:val="24"/>
          <w:u w:val="single"/>
        </w:rPr>
        <w:t>Инвестиция 2 (C7.I2) – Устойчива енергия на островите</w:t>
      </w:r>
    </w:p>
    <w:p>
      <w:pPr>
        <w:spacing w:before="120" w:after="12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Тези инвестиции ще подкрепят устойчивата енергия на испанските острови (Канарските острови и Балеарските острови) като част от по-широка стратегия за подкрепа на енергийния преход на островите, по-специално чрез подкрепа за проекти за проникване и интегриране на енергия от възобновяеми източници в островните и извън островните системи. Това е в съответствие с Националния план на Испания в областта на енергетиката и климата, който включва действия за декарбонизация на островите и намаляване на зависимостта им от нефта.</w:t>
      </w:r>
    </w:p>
    <w:p>
      <w:pPr>
        <w:spacing w:before="120" w:after="12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Конкретните инвестиции, които трябва да бъдат подкрепени, ще включват възобновяеми източници на електроенергия, решения за съхранение и интелигентни проекти (като част от програмата „Интелигентни острови“). Част от дейностите по тази инвестиция ще се основават на знанията, придобити чрез програмата „Чиста енергия за островите в ЕС“. </w:t>
      </w:r>
    </w:p>
    <w:p>
      <w:pPr>
        <w:spacing w:before="120" w:after="12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По тази инвестиция ще бъдат инсталирани 200 MW за иновативно производство на енергия от възобновяеми източници, както и приблизително 200 интервенции по програмите „Интелигентни острови“ и „Чиста енергия за островите в ЕС“ и приблизително 400 проекта за съхранение.</w:t>
      </w:r>
    </w:p>
    <w:p>
      <w:pPr>
        <w:spacing w:before="120" w:after="12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Изпълнението на реформата приключва до 30 юни 2026 г. </w:t>
      </w:r>
    </w:p>
    <w:p>
      <w:pPr>
        <w:keepNext/>
        <w:spacing w:before="120" w:after="120" w:line="240" w:lineRule="auto"/>
        <w:jc w:val="both"/>
        <w:rPr>
          <w:rFonts w:ascii="Times New Roman" w:hAnsi="Times New Roman" w:cs="Times New Roman"/>
          <w:b/>
          <w:bCs/>
          <w:noProof/>
          <w:color w:val="000000" w:themeColor="text1"/>
          <w:sz w:val="24"/>
          <w:u w:val="single"/>
        </w:rPr>
      </w:pPr>
      <w:r>
        <w:rPr>
          <w:rFonts w:ascii="Times New Roman" w:hAnsi="Times New Roman"/>
          <w:b/>
          <w:bCs/>
          <w:noProof/>
          <w:color w:val="000000" w:themeColor="text1"/>
          <w:sz w:val="24"/>
          <w:u w:val="single"/>
        </w:rPr>
        <w:t xml:space="preserve">Ж.2. </w:t>
      </w:r>
      <w:r>
        <w:rPr>
          <w:rFonts w:ascii="Times New Roman" w:hAnsi="Times New Roman"/>
          <w:b/>
          <w:bCs/>
          <w:noProof/>
          <w:color w:val="000000" w:themeColor="text1"/>
          <w:sz w:val="24"/>
          <w:u w:val="single"/>
        </w:rPr>
        <w:tab/>
        <w:t>Ключови етапи, цели, показатели и график за мониторинг и изпълнение на безвъзмездната финансова подкрепа</w:t>
      </w:r>
    </w:p>
    <w:p>
      <w:pPr>
        <w:keepNext/>
        <w:spacing w:before="120" w:after="120" w:line="240" w:lineRule="auto"/>
        <w:rPr>
          <w:rFonts w:ascii="Times New Roman" w:hAnsi="Times New Roman" w:cs="Times New Roman"/>
          <w:noProof/>
          <w:color w:val="000000" w:themeColor="text1"/>
          <w:sz w:val="24"/>
          <w:szCs w:val="24"/>
          <w:u w:val="single"/>
        </w:rPr>
        <w:sectPr>
          <w:headerReference w:type="even" r:id="rId91"/>
          <w:headerReference w:type="default" r:id="rId92"/>
          <w:footerReference w:type="even" r:id="rId93"/>
          <w:footerReference w:type="default" r:id="rId94"/>
          <w:headerReference w:type="first" r:id="rId95"/>
          <w:footerReference w:type="first" r:id="rId96"/>
          <w:pgSz w:w="11907" w:h="16839"/>
          <w:pgMar w:top="1134" w:right="1417" w:bottom="1134" w:left="1417" w:header="709" w:footer="709" w:gutter="0"/>
          <w:cols w:space="720"/>
          <w:docGrid w:linePitch="360"/>
        </w:sectPr>
      </w:pPr>
      <w:r>
        <w:rPr>
          <w:rFonts w:ascii="Times New Roman" w:hAnsi="Times New Roman"/>
          <w:i/>
          <w:noProof/>
          <w:color w:val="000000" w:themeColor="text1"/>
          <w:sz w:val="24"/>
          <w:szCs w:val="24"/>
        </w:rPr>
        <w:t>Вж. таблицата по-долу. Датата на базовата линия за всички показатели е 1 февруари 2020 г., освен ако в описанието на действието не е посочено друго. Сумите в таблицата не включват ДДС.</w:t>
      </w:r>
    </w:p>
    <w:tbl>
      <w:tblPr>
        <w:tblW w:w="15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09"/>
        <w:gridCol w:w="851"/>
        <w:gridCol w:w="850"/>
        <w:gridCol w:w="2977"/>
        <w:gridCol w:w="1276"/>
        <w:gridCol w:w="850"/>
        <w:gridCol w:w="709"/>
        <w:gridCol w:w="737"/>
        <w:gridCol w:w="429"/>
        <w:gridCol w:w="705"/>
        <w:gridCol w:w="5217"/>
      </w:tblGrid>
      <w:tr>
        <w:trPr>
          <w:trHeight w:val="309"/>
          <w:tblHeader/>
        </w:trPr>
        <w:tc>
          <w:tcPr>
            <w:tcW w:w="709"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sz w:val="18"/>
                <w:szCs w:val="18"/>
              </w:rPr>
            </w:pPr>
            <w:r>
              <w:rPr>
                <w:rFonts w:ascii="Times New Roman" w:hAnsi="Times New Roman"/>
                <w:b/>
                <w:bCs/>
                <w:noProof/>
                <w:color w:val="000000"/>
                <w:sz w:val="18"/>
                <w:szCs w:val="18"/>
              </w:rPr>
              <w:t>Номер</w:t>
            </w:r>
          </w:p>
        </w:tc>
        <w:tc>
          <w:tcPr>
            <w:tcW w:w="851"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sz w:val="18"/>
                <w:szCs w:val="18"/>
              </w:rPr>
            </w:pPr>
            <w:r>
              <w:rPr>
                <w:rFonts w:ascii="Times New Roman" w:hAnsi="Times New Roman"/>
                <w:b/>
                <w:bCs/>
                <w:noProof/>
                <w:color w:val="000000"/>
                <w:sz w:val="18"/>
                <w:szCs w:val="18"/>
              </w:rPr>
              <w:t>Мярка</w:t>
            </w:r>
          </w:p>
        </w:tc>
        <w:tc>
          <w:tcPr>
            <w:tcW w:w="850"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sz w:val="18"/>
                <w:szCs w:val="18"/>
              </w:rPr>
            </w:pPr>
            <w:r>
              <w:rPr>
                <w:rFonts w:ascii="Times New Roman" w:hAnsi="Times New Roman"/>
                <w:b/>
                <w:bCs/>
                <w:noProof/>
                <w:color w:val="000000"/>
                <w:sz w:val="18"/>
                <w:szCs w:val="18"/>
              </w:rPr>
              <w:t>Ключов етап /Цел</w:t>
            </w:r>
          </w:p>
        </w:tc>
        <w:tc>
          <w:tcPr>
            <w:tcW w:w="2977"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sz w:val="18"/>
                <w:szCs w:val="18"/>
              </w:rPr>
            </w:pPr>
            <w:r>
              <w:rPr>
                <w:rFonts w:ascii="Times New Roman" w:hAnsi="Times New Roman"/>
                <w:b/>
                <w:bCs/>
                <w:noProof/>
                <w:color w:val="000000"/>
                <w:sz w:val="18"/>
                <w:szCs w:val="18"/>
              </w:rPr>
              <w:t>Наименование</w:t>
            </w:r>
          </w:p>
        </w:tc>
        <w:tc>
          <w:tcPr>
            <w:tcW w:w="1276"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sz w:val="18"/>
                <w:szCs w:val="18"/>
              </w:rPr>
            </w:pPr>
            <w:r>
              <w:rPr>
                <w:rFonts w:ascii="Times New Roman" w:hAnsi="Times New Roman"/>
                <w:b/>
                <w:bCs/>
                <w:noProof/>
                <w:color w:val="000000"/>
                <w:sz w:val="18"/>
                <w:szCs w:val="18"/>
              </w:rPr>
              <w:t>Качествени показатели за ключовите етапи</w:t>
            </w:r>
          </w:p>
        </w:tc>
        <w:tc>
          <w:tcPr>
            <w:tcW w:w="2296" w:type="dxa"/>
            <w:gridSpan w:val="3"/>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sz w:val="18"/>
                <w:szCs w:val="18"/>
              </w:rPr>
            </w:pPr>
            <w:r>
              <w:rPr>
                <w:rFonts w:ascii="Times New Roman" w:hAnsi="Times New Roman"/>
                <w:b/>
                <w:bCs/>
                <w:noProof/>
                <w:color w:val="000000"/>
                <w:sz w:val="18"/>
                <w:szCs w:val="18"/>
              </w:rPr>
              <w:t>Количествени показатели за целите</w:t>
            </w:r>
          </w:p>
        </w:tc>
        <w:tc>
          <w:tcPr>
            <w:tcW w:w="1134" w:type="dxa"/>
            <w:gridSpan w:val="2"/>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sz w:val="18"/>
                <w:szCs w:val="18"/>
              </w:rPr>
            </w:pPr>
            <w:r>
              <w:rPr>
                <w:rFonts w:ascii="Times New Roman" w:hAnsi="Times New Roman"/>
                <w:b/>
                <w:bCs/>
                <w:noProof/>
                <w:color w:val="000000"/>
                <w:sz w:val="18"/>
                <w:szCs w:val="18"/>
              </w:rPr>
              <w:t>Време</w:t>
            </w:r>
          </w:p>
        </w:tc>
        <w:tc>
          <w:tcPr>
            <w:tcW w:w="5217"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sz w:val="18"/>
                <w:szCs w:val="18"/>
              </w:rPr>
            </w:pPr>
            <w:r>
              <w:rPr>
                <w:rFonts w:ascii="Times New Roman" w:hAnsi="Times New Roman"/>
                <w:b/>
                <w:bCs/>
                <w:noProof/>
                <w:sz w:val="18"/>
                <w:szCs w:val="18"/>
              </w:rPr>
              <w:t>Описание на всеки ключов етап и всяка цел</w:t>
            </w:r>
          </w:p>
        </w:tc>
      </w:tr>
      <w:tr>
        <w:trPr>
          <w:trHeight w:val="309"/>
          <w:tblHeader/>
        </w:trPr>
        <w:tc>
          <w:tcPr>
            <w:tcW w:w="709"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851"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850"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2977" w:type="dxa"/>
            <w:tcBorders>
              <w:top w:val="nil"/>
            </w:tcBorders>
            <w:shd w:val="clear" w:color="auto" w:fill="C6D9F1" w:themeFill="text2" w:themeFillTint="33"/>
            <w:noWrap/>
          </w:tcPr>
          <w:p>
            <w:pPr>
              <w:spacing w:after="0" w:line="240" w:lineRule="auto"/>
              <w:rPr>
                <w:rFonts w:ascii="Times New Roman" w:hAnsi="Times New Roman" w:cs="Times New Roman"/>
                <w:b/>
                <w:noProof/>
                <w:color w:val="000000"/>
                <w:sz w:val="18"/>
                <w:szCs w:val="18"/>
              </w:rPr>
            </w:pPr>
          </w:p>
        </w:tc>
        <w:tc>
          <w:tcPr>
            <w:tcW w:w="1276"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850" w:type="dxa"/>
            <w:shd w:val="clear" w:color="auto" w:fill="C6D9F1" w:themeFill="text2" w:themeFillTint="33"/>
            <w:noWrap/>
          </w:tcPr>
          <w:p>
            <w:pPr>
              <w:spacing w:after="0" w:line="240" w:lineRule="auto"/>
              <w:jc w:val="center"/>
              <w:rPr>
                <w:rFonts w:ascii="Times New Roman" w:hAnsi="Times New Roman" w:cs="Times New Roman"/>
                <w:b/>
                <w:bCs/>
                <w:noProof/>
                <w:color w:val="000000"/>
                <w:sz w:val="18"/>
                <w:szCs w:val="18"/>
              </w:rPr>
            </w:pPr>
            <w:r>
              <w:rPr>
                <w:rFonts w:ascii="Times New Roman" w:hAnsi="Times New Roman"/>
                <w:b/>
                <w:bCs/>
                <w:noProof/>
                <w:color w:val="000000"/>
                <w:sz w:val="18"/>
                <w:szCs w:val="18"/>
              </w:rPr>
              <w:t>Мерна единица</w:t>
            </w:r>
          </w:p>
        </w:tc>
        <w:tc>
          <w:tcPr>
            <w:tcW w:w="709" w:type="dxa"/>
            <w:shd w:val="clear" w:color="auto" w:fill="C6D9F1" w:themeFill="text2" w:themeFillTint="33"/>
            <w:noWrap/>
          </w:tcPr>
          <w:p>
            <w:pPr>
              <w:spacing w:after="0" w:line="240" w:lineRule="auto"/>
              <w:jc w:val="center"/>
              <w:rPr>
                <w:rFonts w:ascii="Times New Roman" w:hAnsi="Times New Roman" w:cs="Times New Roman"/>
                <w:b/>
                <w:bCs/>
                <w:noProof/>
                <w:color w:val="000000"/>
                <w:sz w:val="18"/>
                <w:szCs w:val="18"/>
              </w:rPr>
            </w:pPr>
            <w:r>
              <w:rPr>
                <w:rFonts w:ascii="Times New Roman" w:hAnsi="Times New Roman"/>
                <w:b/>
                <w:bCs/>
                <w:noProof/>
                <w:color w:val="000000"/>
                <w:sz w:val="18"/>
                <w:szCs w:val="18"/>
              </w:rPr>
              <w:t>Базова линия</w:t>
            </w:r>
          </w:p>
        </w:tc>
        <w:tc>
          <w:tcPr>
            <w:tcW w:w="737" w:type="dxa"/>
            <w:shd w:val="clear" w:color="auto" w:fill="C6D9F1" w:themeFill="text2" w:themeFillTint="33"/>
            <w:noWrap/>
          </w:tcPr>
          <w:p>
            <w:pPr>
              <w:spacing w:after="0" w:line="240" w:lineRule="auto"/>
              <w:jc w:val="center"/>
              <w:rPr>
                <w:rFonts w:ascii="Times New Roman" w:hAnsi="Times New Roman" w:cs="Times New Roman"/>
                <w:b/>
                <w:bCs/>
                <w:noProof/>
                <w:color w:val="000000"/>
                <w:sz w:val="18"/>
                <w:szCs w:val="18"/>
              </w:rPr>
            </w:pPr>
            <w:r>
              <w:rPr>
                <w:rFonts w:ascii="Times New Roman" w:hAnsi="Times New Roman"/>
                <w:b/>
                <w:bCs/>
                <w:noProof/>
                <w:color w:val="000000"/>
                <w:sz w:val="18"/>
                <w:szCs w:val="18"/>
              </w:rPr>
              <w:t>Цел</w:t>
            </w:r>
          </w:p>
        </w:tc>
        <w:tc>
          <w:tcPr>
            <w:tcW w:w="429" w:type="dxa"/>
            <w:shd w:val="clear" w:color="auto" w:fill="C6D9F1" w:themeFill="text2" w:themeFillTint="33"/>
            <w:noWrap/>
          </w:tcPr>
          <w:p>
            <w:pPr>
              <w:spacing w:after="0" w:line="240" w:lineRule="auto"/>
              <w:jc w:val="center"/>
              <w:rPr>
                <w:rFonts w:ascii="Times New Roman" w:hAnsi="Times New Roman" w:cs="Times New Roman"/>
                <w:b/>
                <w:bCs/>
                <w:noProof/>
                <w:color w:val="000000"/>
                <w:sz w:val="18"/>
                <w:szCs w:val="18"/>
              </w:rPr>
            </w:pPr>
            <w:r>
              <w:rPr>
                <w:rFonts w:ascii="Times New Roman" w:hAnsi="Times New Roman"/>
                <w:b/>
                <w:bCs/>
                <w:noProof/>
                <w:color w:val="000000"/>
                <w:sz w:val="18"/>
                <w:szCs w:val="18"/>
              </w:rPr>
              <w:t>T</w:t>
            </w:r>
          </w:p>
        </w:tc>
        <w:tc>
          <w:tcPr>
            <w:tcW w:w="705" w:type="dxa"/>
            <w:shd w:val="clear" w:color="auto" w:fill="C6D9F1" w:themeFill="text2" w:themeFillTint="33"/>
            <w:noWrap/>
          </w:tcPr>
          <w:p>
            <w:pPr>
              <w:spacing w:after="0" w:line="240" w:lineRule="auto"/>
              <w:jc w:val="center"/>
              <w:rPr>
                <w:rFonts w:ascii="Times New Roman" w:hAnsi="Times New Roman" w:cs="Times New Roman"/>
                <w:b/>
                <w:bCs/>
                <w:noProof/>
                <w:color w:val="000000"/>
                <w:sz w:val="18"/>
                <w:szCs w:val="18"/>
              </w:rPr>
            </w:pPr>
            <w:r>
              <w:rPr>
                <w:rFonts w:ascii="Times New Roman" w:hAnsi="Times New Roman"/>
                <w:b/>
                <w:bCs/>
                <w:noProof/>
                <w:color w:val="000000"/>
                <w:sz w:val="18"/>
                <w:szCs w:val="18"/>
              </w:rPr>
              <w:t>Година</w:t>
            </w:r>
          </w:p>
        </w:tc>
        <w:tc>
          <w:tcPr>
            <w:tcW w:w="5217" w:type="dxa"/>
            <w:tcBorders>
              <w:top w:val="nil"/>
            </w:tcBorders>
            <w:shd w:val="clear" w:color="auto" w:fill="C6D9F1" w:themeFill="text2" w:themeFillTint="33"/>
            <w:noWrap/>
          </w:tcPr>
          <w:p>
            <w:pPr>
              <w:spacing w:after="0" w:line="240" w:lineRule="auto"/>
              <w:rPr>
                <w:rFonts w:ascii="Times New Roman" w:hAnsi="Times New Roman" w:cs="Times New Roman"/>
                <w:b/>
                <w:noProof/>
                <w:color w:val="000000"/>
                <w:sz w:val="18"/>
                <w:szCs w:val="18"/>
                <w:lang w:val="en-IE"/>
              </w:rPr>
            </w:pP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102</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C7.R1</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297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Влизане в сила на Кралски законодателен указ 23/2020 (енергийни мерки)</w:t>
            </w:r>
          </w:p>
        </w:tc>
        <w:tc>
          <w:tcPr>
            <w:tcW w:w="1276"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Разпоредба от Кралски законодателен указ 23/2020 относно влизането в сила</w:t>
            </w:r>
          </w:p>
        </w:tc>
        <w:tc>
          <w:tcPr>
            <w:tcW w:w="85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73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42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70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2020</w:t>
            </w:r>
          </w:p>
        </w:tc>
        <w:tc>
          <w:tcPr>
            <w:tcW w:w="521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С Кралски законодателен указ 23/2020 се одобряват енергийни мерки, насочени към определяне на правното основание за нова тръжна схема, определяне на нови участници в енергийния сектор, като например независими доставчици на агрегирани услуги и общности за енергия от възобновяеми източници, и принос за рационализиране на разрешителните за достъп и свързване</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103</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C7.R1</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297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Влизане в сила на Кралски указ 960/2020 (икономически режим за енергията от възобновяеми източници)</w:t>
            </w:r>
          </w:p>
        </w:tc>
        <w:tc>
          <w:tcPr>
            <w:tcW w:w="1276"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Разпоредба от Кралски указ 960/2020 относно влизането в сила </w:t>
            </w:r>
          </w:p>
        </w:tc>
        <w:tc>
          <w:tcPr>
            <w:tcW w:w="85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73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42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70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2020</w:t>
            </w:r>
          </w:p>
        </w:tc>
        <w:tc>
          <w:tcPr>
            <w:tcW w:w="521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Кралски указ 960/2020 урежда икономическия режим за енергията от възобновяеми източници</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104</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C7.R1</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297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Влизане в сила на Кралски указ 1183/2020 (свързване на възобновяемите енергийни източници към електроенергийната мрежа)</w:t>
            </w:r>
          </w:p>
        </w:tc>
        <w:tc>
          <w:tcPr>
            <w:tcW w:w="1276"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Разпоредба от Кралски указ 1183/2020 относно влизането в сила</w:t>
            </w:r>
          </w:p>
        </w:tc>
        <w:tc>
          <w:tcPr>
            <w:tcW w:w="85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73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42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70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2020</w:t>
            </w:r>
          </w:p>
        </w:tc>
        <w:tc>
          <w:tcPr>
            <w:tcW w:w="521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Кралски указ 1183/2020 урежда хибридизацията и поръчването на достъп до и свързване на възобновяеми енергийни източници към електроенергийната мрежа.</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105</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C7.R1</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297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Влизане в сила на Закон за изменението на климата и енергийния преход </w:t>
            </w:r>
          </w:p>
        </w:tc>
        <w:tc>
          <w:tcPr>
            <w:tcW w:w="1276"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Разпоредба от Закона за изменението на климата и енергийния преход при влизането в сила </w:t>
            </w:r>
          </w:p>
        </w:tc>
        <w:tc>
          <w:tcPr>
            <w:tcW w:w="85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73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42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T2</w:t>
            </w:r>
          </w:p>
        </w:tc>
        <w:tc>
          <w:tcPr>
            <w:tcW w:w="70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2021</w:t>
            </w:r>
          </w:p>
        </w:tc>
        <w:tc>
          <w:tcPr>
            <w:tcW w:w="521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Законът за изменението на климата и енергийния преход осигурява алтернативна регулаторна стабилност на развитието на възобновяеми ресурси, намалени административни пречки и минимални изисквания за инсталирането на обществени зарядни точки в експлоатация.</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106</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C7.R1</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w:t>
            </w:r>
          </w:p>
        </w:tc>
        <w:tc>
          <w:tcPr>
            <w:tcW w:w="297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Допълнителен производствен капацитет за енергия от възобновяеми източници </w:t>
            </w:r>
          </w:p>
        </w:tc>
        <w:tc>
          <w:tcPr>
            <w:tcW w:w="1276"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Брой (MW)</w:t>
            </w:r>
          </w:p>
        </w:tc>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0</w:t>
            </w:r>
          </w:p>
        </w:tc>
        <w:tc>
          <w:tcPr>
            <w:tcW w:w="73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8 500</w:t>
            </w:r>
          </w:p>
        </w:tc>
        <w:tc>
          <w:tcPr>
            <w:tcW w:w="42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70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2023</w:t>
            </w:r>
          </w:p>
        </w:tc>
        <w:tc>
          <w:tcPr>
            <w:tcW w:w="521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Кумулативен допълнителен производствен капацитет за енергия от възобновяеми източници, подкрепен съгласно новата благоприятна законодателна рамка, включена в реформа C7.R1 (включително тръжния механизъм, създаден с RD 960/2020, новия регламент относно разрешителните за достъп и свързване и относно хибридизацията): присъдена най-малко 8500 MW </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107</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C7.R1</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w:t>
            </w:r>
          </w:p>
        </w:tc>
        <w:tc>
          <w:tcPr>
            <w:tcW w:w="297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Кумулативен допълнителен капацитет за енергия от възобновяеми източници, инсталиран в Испания </w:t>
            </w:r>
          </w:p>
        </w:tc>
        <w:tc>
          <w:tcPr>
            <w:tcW w:w="1276"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Брой (MW)</w:t>
            </w:r>
          </w:p>
        </w:tc>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0</w:t>
            </w:r>
          </w:p>
        </w:tc>
        <w:tc>
          <w:tcPr>
            <w:tcW w:w="73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1 500</w:t>
            </w:r>
          </w:p>
        </w:tc>
        <w:tc>
          <w:tcPr>
            <w:tcW w:w="42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70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2023</w:t>
            </w:r>
          </w:p>
        </w:tc>
        <w:tc>
          <w:tcPr>
            <w:tcW w:w="521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Кумулативен допълнителен капацитет за енергия от възобновяеми източници, инсталиран в Испания през първото тримесечие на 2020 г. – 42023 г., съгласно новата благоприятна законодателна рамка, включена в реформата C7.R1 (включително тръжния механизъм, създаден с RD 960/2020, новия регламент относно разрешителните за достъп и присъединяване и относно хибридизацията): построени най-малко 1500 MW</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108</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C7.R2</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297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Национална стратегия за собствено потребление</w:t>
            </w:r>
          </w:p>
        </w:tc>
        <w:tc>
          <w:tcPr>
            <w:tcW w:w="1276"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Публикуване на уебстраница</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 </w:t>
            </w:r>
          </w:p>
        </w:tc>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 </w:t>
            </w:r>
          </w:p>
        </w:tc>
        <w:tc>
          <w:tcPr>
            <w:tcW w:w="73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 </w:t>
            </w:r>
          </w:p>
        </w:tc>
        <w:tc>
          <w:tcPr>
            <w:tcW w:w="42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70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2021</w:t>
            </w:r>
          </w:p>
        </w:tc>
        <w:tc>
          <w:tcPr>
            <w:tcW w:w="521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Приемане от Министерския съвет и публикуване на правителствената интернет страница на Националната стратегия за собствено потребление с цел намаляване на административните пречки пред собственото потребление.</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109</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C7.R2</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297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Приключване на мерките по националната стратегия за собствено потребление</w:t>
            </w:r>
          </w:p>
        </w:tc>
        <w:tc>
          <w:tcPr>
            <w:tcW w:w="1276"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Публикуване на резултатите на уебстраницата</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 </w:t>
            </w:r>
          </w:p>
        </w:tc>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 </w:t>
            </w:r>
          </w:p>
        </w:tc>
        <w:tc>
          <w:tcPr>
            <w:tcW w:w="73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 </w:t>
            </w:r>
          </w:p>
        </w:tc>
        <w:tc>
          <w:tcPr>
            <w:tcW w:w="42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T2</w:t>
            </w:r>
          </w:p>
        </w:tc>
        <w:tc>
          <w:tcPr>
            <w:tcW w:w="70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2023</w:t>
            </w:r>
          </w:p>
        </w:tc>
        <w:tc>
          <w:tcPr>
            <w:tcW w:w="521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Приключване на ключовите мерки в рамките на националната стратегия за собствено потребление, включително: публикуване на уебсайта на Министерството на екологичния преход на технически насоки и насоки за общините относно начините за насърчаване на потреблението на собствена електроенергия и завършването на обучения за подобряване на необходимите технически умения в областта на възобновяемите източници на собствено потребление за най-малко 500 специалисти.</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110</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C7.R3</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297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Пилотен проект за енергийни общности </w:t>
            </w:r>
          </w:p>
        </w:tc>
        <w:tc>
          <w:tcPr>
            <w:tcW w:w="1276"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Публикуване на уебстраница</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 </w:t>
            </w:r>
          </w:p>
        </w:tc>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 </w:t>
            </w:r>
          </w:p>
        </w:tc>
        <w:tc>
          <w:tcPr>
            <w:tcW w:w="73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 </w:t>
            </w:r>
          </w:p>
        </w:tc>
        <w:tc>
          <w:tcPr>
            <w:tcW w:w="42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T2</w:t>
            </w:r>
          </w:p>
        </w:tc>
        <w:tc>
          <w:tcPr>
            <w:tcW w:w="70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2022</w:t>
            </w:r>
          </w:p>
        </w:tc>
        <w:tc>
          <w:tcPr>
            <w:tcW w:w="521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Възлагане на първия пилотен проект за енергийни общности въз основа на покани за участие в търг, за да се демонстрира жизнеспособността на този модел. </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111</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C7.R3</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w:t>
            </w:r>
          </w:p>
        </w:tc>
        <w:tc>
          <w:tcPr>
            <w:tcW w:w="297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Приключване на свързани с енергетиката пилотни проекти в местните общности</w:t>
            </w:r>
          </w:p>
        </w:tc>
        <w:tc>
          <w:tcPr>
            <w:tcW w:w="1276"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Номер</w:t>
            </w:r>
          </w:p>
        </w:tc>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 0</w:t>
            </w:r>
          </w:p>
        </w:tc>
        <w:tc>
          <w:tcPr>
            <w:tcW w:w="73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37</w:t>
            </w:r>
          </w:p>
        </w:tc>
        <w:tc>
          <w:tcPr>
            <w:tcW w:w="42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70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2023</w:t>
            </w:r>
          </w:p>
        </w:tc>
        <w:tc>
          <w:tcPr>
            <w:tcW w:w="521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Приключване на най-малко 37 свързани с енергетиката пилотни проекта с участието на местната общност въз основа на пътна карта, в която се посочват извършените действия и следващите стъпки напред. Тези пилотни проекти могат да включват процеси на участие, подкрепа за създаването на местни енергийни общности или разгръщането на самите проекти за енергия от възобновяеми източници.</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112</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C7.R4</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297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Пътна карта за вятърна енергия от разположени в морето инсталации и друга морска енергия</w:t>
            </w:r>
          </w:p>
        </w:tc>
        <w:tc>
          <w:tcPr>
            <w:tcW w:w="1276"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Публикуване на уебстраница</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 </w:t>
            </w:r>
          </w:p>
        </w:tc>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 </w:t>
            </w:r>
          </w:p>
        </w:tc>
        <w:tc>
          <w:tcPr>
            <w:tcW w:w="73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 </w:t>
            </w:r>
          </w:p>
        </w:tc>
        <w:tc>
          <w:tcPr>
            <w:tcW w:w="42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70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2021</w:t>
            </w:r>
          </w:p>
        </w:tc>
        <w:tc>
          <w:tcPr>
            <w:tcW w:w="521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Публикуване на пътната карта за вятърна енергия от разположени в морето инсталации и друга морска енергия с цел намаляване на административните пречки пред развитието на този източник на възобновяема енергия</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113</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C7.R4</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297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Влизане в сила на регулаторните мерки, посочени в картата за вятърна енергия от разположени в морето инсталации и друга морска енергия</w:t>
            </w:r>
          </w:p>
        </w:tc>
        <w:tc>
          <w:tcPr>
            <w:tcW w:w="1276"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Разпоредби в регулаторните мерки при влизане в сила</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 </w:t>
            </w:r>
          </w:p>
        </w:tc>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 </w:t>
            </w:r>
          </w:p>
        </w:tc>
        <w:tc>
          <w:tcPr>
            <w:tcW w:w="73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 </w:t>
            </w:r>
          </w:p>
        </w:tc>
        <w:tc>
          <w:tcPr>
            <w:tcW w:w="42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T2</w:t>
            </w:r>
          </w:p>
        </w:tc>
        <w:tc>
          <w:tcPr>
            <w:tcW w:w="70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2023</w:t>
            </w:r>
          </w:p>
        </w:tc>
        <w:tc>
          <w:tcPr>
            <w:tcW w:w="521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Влизане в сила на ключовите регулаторни мерки, посочени в картата за вятърна енергия от разположени в морето инсталации и друга морска енергия, за насърчаване на научните изследвания и иновациите и за подпомагане на внедряването на плаващи технологии. Тези ключови мерки включват: окончателно одобрение на плановете за морско пространствено планиране, по-добра координация на планирането на мрежата и стратегията за крайбрежни води и актуализиране на регулаторната рамка.</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114</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C7.R4</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297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Приключване на мерките, определени в пътната карта за биогаза</w:t>
            </w:r>
          </w:p>
        </w:tc>
        <w:tc>
          <w:tcPr>
            <w:tcW w:w="1276"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Публикуване на уебстраница</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 </w:t>
            </w:r>
          </w:p>
        </w:tc>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 </w:t>
            </w:r>
          </w:p>
        </w:tc>
        <w:tc>
          <w:tcPr>
            <w:tcW w:w="73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 </w:t>
            </w:r>
          </w:p>
        </w:tc>
        <w:tc>
          <w:tcPr>
            <w:tcW w:w="42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70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2023</w:t>
            </w:r>
          </w:p>
        </w:tc>
        <w:tc>
          <w:tcPr>
            <w:tcW w:w="521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Приключване на ключовите мерки, определени в пътната карта за биогаза, включително създаването на схема за гаранции за произход на възобновяемите газове, за подобряване на конкурентоспособността на биогаза и за насърчаване на инвестициите в производството на биогаз, като се гарантира по-бърза декарбонизация в сектори като промишлеността и транспорта.</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115</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C7.I1</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297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Търг за инвестиционна подкрепа за иновативен или генериращ добавена стойност капацитет от възобновяеми източници</w:t>
            </w:r>
          </w:p>
        </w:tc>
        <w:tc>
          <w:tcPr>
            <w:tcW w:w="1276"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Публикуване в ОВ:</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 </w:t>
            </w:r>
          </w:p>
        </w:tc>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 </w:t>
            </w:r>
          </w:p>
        </w:tc>
        <w:tc>
          <w:tcPr>
            <w:tcW w:w="73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 </w:t>
            </w:r>
          </w:p>
        </w:tc>
        <w:tc>
          <w:tcPr>
            <w:tcW w:w="42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T2</w:t>
            </w:r>
          </w:p>
        </w:tc>
        <w:tc>
          <w:tcPr>
            <w:tcW w:w="70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2022</w:t>
            </w:r>
          </w:p>
        </w:tc>
        <w:tc>
          <w:tcPr>
            <w:tcW w:w="521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Публикуване в ОВ на първия търг за инвестиционна подкрепа за новаторски или генериращи добавена стойност възобновяеми мощности </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116</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C7.I1</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297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Нови проекти, технологии или инсталации за морска инфраструктура за енергия от възобновяеми източници</w:t>
            </w:r>
          </w:p>
        </w:tc>
        <w:tc>
          <w:tcPr>
            <w:tcW w:w="1276"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Решение за възлагане/решение на инвестиционния орган</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 </w:t>
            </w:r>
          </w:p>
        </w:tc>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 </w:t>
            </w:r>
          </w:p>
        </w:tc>
        <w:tc>
          <w:tcPr>
            <w:tcW w:w="73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 </w:t>
            </w:r>
          </w:p>
        </w:tc>
        <w:tc>
          <w:tcPr>
            <w:tcW w:w="42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T3</w:t>
            </w:r>
          </w:p>
        </w:tc>
        <w:tc>
          <w:tcPr>
            <w:tcW w:w="70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2023</w:t>
            </w:r>
          </w:p>
        </w:tc>
        <w:tc>
          <w:tcPr>
            <w:tcW w:w="521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Най-малко 6 разработки, присъдени за насърчаване на нови проекти, технологии или инсталации за морска инфраструктура за енергия от възобновяеми източници. Шестте разработки следва да допринесат за изпълнението на проекти за енергия от морски възобновяеми източници в Испания. Развитието може да включва МСП с дейност в областта на морската енергия от възобновяеми източници, които получават безвъзмездни средства, заеми или капиталови инвестиции, участват в обществени поръчки за продукти в предпазарен стадий, както и безвъзмездни средства, предоставяни пряко на морски проекти за енергия от възобновяеми източници или на прототип на производство или внедряване на нови технологии за морска енергия от възобновяеми източници. </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117</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C7.I1</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w:t>
            </w:r>
          </w:p>
        </w:tc>
        <w:tc>
          <w:tcPr>
            <w:tcW w:w="297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Допълнителен производствен капацитет за иновативна енергия или енергия с добавена стойност от възобновяеми източници</w:t>
            </w:r>
          </w:p>
        </w:tc>
        <w:tc>
          <w:tcPr>
            <w:tcW w:w="1276"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Брой (MW)</w:t>
            </w:r>
          </w:p>
        </w:tc>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0</w:t>
            </w:r>
          </w:p>
        </w:tc>
        <w:tc>
          <w:tcPr>
            <w:tcW w:w="73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3 800</w:t>
            </w:r>
          </w:p>
        </w:tc>
        <w:tc>
          <w:tcPr>
            <w:tcW w:w="42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T2</w:t>
            </w:r>
          </w:p>
        </w:tc>
        <w:tc>
          <w:tcPr>
            <w:tcW w:w="70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2026</w:t>
            </w:r>
          </w:p>
        </w:tc>
        <w:tc>
          <w:tcPr>
            <w:tcW w:w="521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Кумулативна допълнителна производствена мощност за енергия от възобновяеми източници, закупена чрез търгове за иновативна или генерираща добавена стойност енергия от възобновяеми източници (инсталирана е най-малко 3800 MW)</w:t>
            </w:r>
          </w:p>
        </w:tc>
      </w:tr>
      <w:tr>
        <w:trPr>
          <w:trHeight w:val="309"/>
        </w:trPr>
        <w:tc>
          <w:tcPr>
            <w:tcW w:w="709"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118</w:t>
            </w:r>
          </w:p>
        </w:tc>
        <w:tc>
          <w:tcPr>
            <w:tcW w:w="851"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C7.I2</w:t>
            </w:r>
          </w:p>
        </w:tc>
        <w:tc>
          <w:tcPr>
            <w:tcW w:w="850"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M</w:t>
            </w:r>
          </w:p>
        </w:tc>
        <w:tc>
          <w:tcPr>
            <w:tcW w:w="2977"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szCs w:val="18"/>
              </w:rPr>
              <w:t xml:space="preserve">Служба „Чиста енергия и интелигентни проекти за островите“ </w:t>
            </w:r>
          </w:p>
        </w:tc>
        <w:tc>
          <w:tcPr>
            <w:tcW w:w="1276"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Публикуване на уебстраница</w:t>
            </w:r>
          </w:p>
        </w:tc>
        <w:tc>
          <w:tcPr>
            <w:tcW w:w="850"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 </w:t>
            </w:r>
          </w:p>
        </w:tc>
        <w:tc>
          <w:tcPr>
            <w:tcW w:w="709"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 </w:t>
            </w:r>
          </w:p>
        </w:tc>
        <w:tc>
          <w:tcPr>
            <w:tcW w:w="737"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 </w:t>
            </w:r>
          </w:p>
        </w:tc>
        <w:tc>
          <w:tcPr>
            <w:tcW w:w="429"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T3</w:t>
            </w:r>
          </w:p>
        </w:tc>
        <w:tc>
          <w:tcPr>
            <w:tcW w:w="705"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2023</w:t>
            </w:r>
          </w:p>
        </w:tc>
        <w:tc>
          <w:tcPr>
            <w:tcW w:w="5217"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szCs w:val="18"/>
              </w:rPr>
              <w:t>Създаване на служба „Чиста енергия и интелигентни проекти за островите“ с цел управление на програмите за подпомагане в рамките на Механизма за възстановяване и устойчивост. Службата ще координира динамиката и развитието на енергийния преход на островите.</w:t>
            </w:r>
          </w:p>
        </w:tc>
      </w:tr>
      <w:tr>
        <w:trPr>
          <w:trHeight w:val="309"/>
        </w:trPr>
        <w:tc>
          <w:tcPr>
            <w:tcW w:w="709"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119</w:t>
            </w:r>
          </w:p>
        </w:tc>
        <w:tc>
          <w:tcPr>
            <w:tcW w:w="851"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C7.I2</w:t>
            </w:r>
          </w:p>
        </w:tc>
        <w:tc>
          <w:tcPr>
            <w:tcW w:w="850"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T</w:t>
            </w:r>
          </w:p>
        </w:tc>
        <w:tc>
          <w:tcPr>
            <w:tcW w:w="2977"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szCs w:val="18"/>
              </w:rPr>
              <w:t>Приключване на проекти в подкрепа на енергийния преход на островите</w:t>
            </w:r>
          </w:p>
        </w:tc>
        <w:tc>
          <w:tcPr>
            <w:tcW w:w="1276"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 -</w:t>
            </w:r>
          </w:p>
        </w:tc>
        <w:tc>
          <w:tcPr>
            <w:tcW w:w="850"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Номер</w:t>
            </w:r>
          </w:p>
        </w:tc>
        <w:tc>
          <w:tcPr>
            <w:tcW w:w="709"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0</w:t>
            </w:r>
          </w:p>
        </w:tc>
        <w:tc>
          <w:tcPr>
            <w:tcW w:w="737"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500</w:t>
            </w:r>
          </w:p>
        </w:tc>
        <w:tc>
          <w:tcPr>
            <w:tcW w:w="429"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T3</w:t>
            </w:r>
          </w:p>
        </w:tc>
        <w:tc>
          <w:tcPr>
            <w:tcW w:w="705"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2024</w:t>
            </w:r>
          </w:p>
        </w:tc>
        <w:tc>
          <w:tcPr>
            <w:tcW w:w="5217"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szCs w:val="18"/>
              </w:rPr>
              <w:t xml:space="preserve">Най-малко 500 действия, проекти или програми, подпомагани или изпълнявани, включително: програми или офиси за динамизация, пътни карти за островите, инвестиционни проекти или проекти за помощ, свързани с чиста енергия за островите в ЕС или програмата „Интелигентни острови“, проекти за възобновяема енергия или устойчиво съхранение. </w:t>
            </w:r>
          </w:p>
        </w:tc>
      </w:tr>
      <w:tr>
        <w:trPr>
          <w:trHeight w:val="309"/>
        </w:trPr>
        <w:tc>
          <w:tcPr>
            <w:tcW w:w="709"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120</w:t>
            </w:r>
          </w:p>
        </w:tc>
        <w:tc>
          <w:tcPr>
            <w:tcW w:w="851"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C7.I2</w:t>
            </w:r>
          </w:p>
        </w:tc>
        <w:tc>
          <w:tcPr>
            <w:tcW w:w="850"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T</w:t>
            </w:r>
          </w:p>
        </w:tc>
        <w:tc>
          <w:tcPr>
            <w:tcW w:w="2977"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szCs w:val="18"/>
              </w:rPr>
              <w:t>Допълнителен производствен капацитет за възобновяема енергия на островите</w:t>
            </w:r>
          </w:p>
        </w:tc>
        <w:tc>
          <w:tcPr>
            <w:tcW w:w="1276"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w:t>
            </w:r>
          </w:p>
        </w:tc>
        <w:tc>
          <w:tcPr>
            <w:tcW w:w="850"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Брой (MW)</w:t>
            </w:r>
          </w:p>
        </w:tc>
        <w:tc>
          <w:tcPr>
            <w:tcW w:w="709"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0</w:t>
            </w:r>
          </w:p>
        </w:tc>
        <w:tc>
          <w:tcPr>
            <w:tcW w:w="737"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180</w:t>
            </w:r>
          </w:p>
        </w:tc>
        <w:tc>
          <w:tcPr>
            <w:tcW w:w="429"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T2</w:t>
            </w:r>
          </w:p>
        </w:tc>
        <w:tc>
          <w:tcPr>
            <w:tcW w:w="705"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2026</w:t>
            </w:r>
          </w:p>
        </w:tc>
        <w:tc>
          <w:tcPr>
            <w:tcW w:w="5217"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szCs w:val="18"/>
              </w:rPr>
              <w:t>Кумулативна допълнителна производствена мощност за енергия от възобновяеми източници, закупена чрез търгове за възобновяема мощност на островите (инсталирана е най-малко 180 MW).</w:t>
            </w:r>
          </w:p>
        </w:tc>
      </w:tr>
    </w:tbl>
    <w:p>
      <w:pPr>
        <w:spacing w:before="120" w:after="120" w:line="240" w:lineRule="auto"/>
        <w:ind w:left="709"/>
        <w:jc w:val="both"/>
        <w:rPr>
          <w:rFonts w:ascii="Times New Roman" w:hAnsi="Times New Roman" w:cs="Times New Roman"/>
          <w:noProof/>
          <w:color w:val="000000" w:themeColor="text1"/>
          <w:sz w:val="24"/>
        </w:rPr>
      </w:pPr>
    </w:p>
    <w:p>
      <w:pPr>
        <w:spacing w:before="120" w:after="120" w:line="240" w:lineRule="auto"/>
        <w:jc w:val="both"/>
        <w:rPr>
          <w:rFonts w:ascii="Times New Roman" w:hAnsi="Times New Roman" w:cs="Times New Roman"/>
          <w:noProof/>
          <w:sz w:val="24"/>
        </w:rPr>
        <w:sectPr>
          <w:headerReference w:type="even" r:id="rId97"/>
          <w:headerReference w:type="default" r:id="rId98"/>
          <w:footerReference w:type="even" r:id="rId99"/>
          <w:footerReference w:type="default" r:id="rId100"/>
          <w:headerReference w:type="first" r:id="rId101"/>
          <w:footerReference w:type="first" r:id="rId102"/>
          <w:pgSz w:w="16839" w:h="11907" w:orient="landscape"/>
          <w:pgMar w:top="1417" w:right="1134" w:bottom="1417" w:left="1134" w:header="709" w:footer="709" w:gutter="0"/>
          <w:cols w:space="720"/>
          <w:docGrid w:linePitch="360"/>
        </w:sectPr>
      </w:pPr>
    </w:p>
    <w:p>
      <w:pPr>
        <w:pStyle w:val="Heading1"/>
        <w:rPr>
          <w:noProof/>
        </w:rPr>
      </w:pPr>
      <w:r>
        <w:rPr>
          <w:noProof/>
        </w:rPr>
        <w:t>З. КОМПОНЕНТ 8: Електроенергийна инфраструктура, интелигентни електроенергийни мрежи и внедряване на гъвкавост и съхранение</w:t>
      </w:r>
    </w:p>
    <w:p>
      <w:pPr>
        <w:keepNext/>
        <w:spacing w:before="120" w:after="120" w:line="240" w:lineRule="auto"/>
        <w:jc w:val="both"/>
        <w:rPr>
          <w:rFonts w:ascii="Times New Roman" w:hAnsi="Times New Roman" w:cs="Times New Roman"/>
          <w:iCs/>
          <w:noProof/>
          <w:sz w:val="24"/>
        </w:rPr>
      </w:pPr>
      <w:r>
        <w:rPr>
          <w:rFonts w:ascii="Times New Roman" w:hAnsi="Times New Roman"/>
          <w:iCs/>
          <w:noProof/>
          <w:sz w:val="24"/>
        </w:rPr>
        <w:t>Националният план в областта на енергетиката и климата (НПЕК) на Испания има за цел до 2030 г. делът на енергията от възобновяеми източници в крайното потребление на енергия да достигне 42 %. Интегрирането на нарастващото количество електроенергия от възобновяеми източници (което се очаква да достигне 74 % от търсенето през 2030 г. и 100 % до 2050 г.) изисква редица допълнителни инвестиции в цифровизацията на мрежите, съхранението и управлението на търсенето. По-специално, периодичността и частичната предвидимост на технологиите за енергия от възобновяеми източници означават, че съхраняването на енергия играе важна роля, за да се осигури гъвкавост на системата и да се гарантира стабилността на мрежата.</w:t>
      </w:r>
    </w:p>
    <w:p>
      <w:pPr>
        <w:keepNext/>
        <w:spacing w:before="120" w:after="120" w:line="240" w:lineRule="auto"/>
        <w:jc w:val="both"/>
        <w:rPr>
          <w:rFonts w:ascii="Times New Roman" w:hAnsi="Times New Roman" w:cs="Times New Roman"/>
          <w:iCs/>
          <w:noProof/>
          <w:sz w:val="24"/>
        </w:rPr>
      </w:pPr>
      <w:r>
        <w:rPr>
          <w:rFonts w:ascii="Times New Roman" w:hAnsi="Times New Roman"/>
          <w:iCs/>
          <w:noProof/>
          <w:sz w:val="24"/>
        </w:rPr>
        <w:t xml:space="preserve">В този контекст този компонент от испанския план за възстановяване и устойчивост ще преследва следните цели: </w:t>
      </w:r>
    </w:p>
    <w:p>
      <w:pPr>
        <w:keepNext/>
        <w:numPr>
          <w:ilvl w:val="0"/>
          <w:numId w:val="56"/>
        </w:numPr>
        <w:spacing w:before="120" w:after="120" w:line="240" w:lineRule="auto"/>
        <w:jc w:val="both"/>
        <w:rPr>
          <w:rFonts w:ascii="Times New Roman" w:hAnsi="Times New Roman" w:cs="Times New Roman"/>
          <w:iCs/>
          <w:noProof/>
          <w:sz w:val="24"/>
        </w:rPr>
      </w:pPr>
      <w:r>
        <w:rPr>
          <w:rFonts w:ascii="Times New Roman" w:hAnsi="Times New Roman"/>
          <w:iCs/>
          <w:noProof/>
          <w:sz w:val="24"/>
        </w:rPr>
        <w:t>разработването на по-гъвкава, децентрализирана и динамична енергийна система, способна ефективно и безопасно да абсорбира по-високи равнища на производство на енергия от възобновяеми източници;</w:t>
      </w:r>
    </w:p>
    <w:p>
      <w:pPr>
        <w:keepNext/>
        <w:numPr>
          <w:ilvl w:val="0"/>
          <w:numId w:val="56"/>
        </w:numPr>
        <w:spacing w:before="120" w:after="120" w:line="240" w:lineRule="auto"/>
        <w:jc w:val="both"/>
        <w:rPr>
          <w:rFonts w:ascii="Times New Roman" w:hAnsi="Times New Roman" w:cs="Times New Roman"/>
          <w:iCs/>
          <w:noProof/>
          <w:sz w:val="24"/>
        </w:rPr>
      </w:pPr>
      <w:r>
        <w:rPr>
          <w:rFonts w:ascii="Times New Roman" w:hAnsi="Times New Roman"/>
          <w:iCs/>
          <w:noProof/>
          <w:sz w:val="24"/>
        </w:rPr>
        <w:t xml:space="preserve">разработване на нови иновативни бизнес модели; и </w:t>
      </w:r>
    </w:p>
    <w:p>
      <w:pPr>
        <w:keepNext/>
        <w:numPr>
          <w:ilvl w:val="0"/>
          <w:numId w:val="56"/>
        </w:numPr>
        <w:spacing w:before="120" w:after="120" w:line="240" w:lineRule="auto"/>
        <w:jc w:val="both"/>
        <w:rPr>
          <w:rFonts w:ascii="Times New Roman" w:hAnsi="Times New Roman" w:cs="Times New Roman"/>
          <w:iCs/>
          <w:noProof/>
          <w:sz w:val="24"/>
        </w:rPr>
      </w:pPr>
      <w:r>
        <w:rPr>
          <w:rFonts w:ascii="Times New Roman" w:hAnsi="Times New Roman"/>
          <w:iCs/>
          <w:noProof/>
          <w:sz w:val="24"/>
        </w:rPr>
        <w:t>включването на нови участници в електроенергийната система (производители, доставчици и потребители, в допълнение към операторите на хранилища и доставчиците на агрегирани услуги) и по-гъвкава регулаторна рамка, способна да се адаптира към новите потребности чрез регулаторни лаборатории.</w:t>
      </w:r>
    </w:p>
    <w:p>
      <w:pPr>
        <w:spacing w:before="120" w:after="120" w:line="240" w:lineRule="auto"/>
        <w:jc w:val="both"/>
        <w:rPr>
          <w:rFonts w:ascii="Times New Roman" w:hAnsi="Times New Roman" w:cs="Times New Roman"/>
          <w:iCs/>
          <w:noProof/>
          <w:color w:val="000000" w:themeColor="text1"/>
          <w:sz w:val="24"/>
        </w:rPr>
      </w:pPr>
      <w:r>
        <w:rPr>
          <w:rFonts w:ascii="Times New Roman" w:hAnsi="Times New Roman"/>
          <w:iCs/>
          <w:noProof/>
          <w:color w:val="000000" w:themeColor="text1"/>
          <w:sz w:val="24"/>
        </w:rPr>
        <w:t>Компонентът насърчава инвестициите в иновации и енергийна ефективност и насърчава приемането на ефективни политики за насърчаване на иновациите (Специфична за всяка държава препоръка 3 2019 г.). Тя също така насърчава публичните и частните инвестиции и насърчава екологичния преход (Специфична за всяка държава препоръка 3 2020 г.).</w:t>
      </w:r>
    </w:p>
    <w:p>
      <w:pPr>
        <w:spacing w:before="120" w:after="120" w:line="240" w:lineRule="auto"/>
        <w:jc w:val="both"/>
        <w:rPr>
          <w:rFonts w:ascii="Times New Roman" w:hAnsi="Times New Roman" w:cs="Times New Roman"/>
          <w:i/>
          <w:noProof/>
          <w:color w:val="000000" w:themeColor="text1"/>
          <w:sz w:val="24"/>
          <w:szCs w:val="24"/>
        </w:rPr>
      </w:pPr>
      <w:r>
        <w:rPr>
          <w:rFonts w:ascii="Times New Roman" w:hAnsi="Times New Roman"/>
          <w:noProof/>
          <w:color w:val="000000" w:themeColor="text1"/>
          <w:sz w:val="24"/>
          <w:szCs w:val="24"/>
        </w:rPr>
        <w:t xml:space="preserve">Очаква се, че нито една мярка в този компонент не вреди в значителна степен на екологичните цели по смисъла на член 17 от Регламент (ЕС) 2020/852, като се вземат предвид описанието на мерките и стъпките за смекчаване на последиците, определени в плана за възстановяване и устойчивост в съответствие с Техническите насоки за спазването на „принципа за ненанасяне на съществена вреда“ (2021/C58/01). </w:t>
      </w:r>
    </w:p>
    <w:p>
      <w:pPr>
        <w:spacing w:before="120" w:after="120" w:line="240" w:lineRule="auto"/>
        <w:ind w:left="709"/>
        <w:jc w:val="both"/>
        <w:rPr>
          <w:rFonts w:ascii="Times New Roman" w:hAnsi="Times New Roman" w:cs="Times New Roman"/>
          <w:b/>
          <w:i/>
          <w:noProof/>
          <w:color w:val="4F81BD" w:themeColor="accent1"/>
          <w:sz w:val="24"/>
        </w:rPr>
      </w:pPr>
      <w:r>
        <w:rPr>
          <w:rFonts w:ascii="Times New Roman" w:hAnsi="Times New Roman"/>
          <w:b/>
          <w:bCs/>
          <w:noProof/>
          <w:sz w:val="24"/>
          <w:u w:val="single"/>
        </w:rPr>
        <w:t xml:space="preserve">З.1. </w:t>
      </w:r>
      <w:r>
        <w:rPr>
          <w:rFonts w:ascii="Times New Roman" w:hAnsi="Times New Roman"/>
          <w:b/>
          <w:noProof/>
          <w:sz w:val="24"/>
          <w:u w:val="single"/>
        </w:rPr>
        <w:tab/>
      </w:r>
      <w:r>
        <w:rPr>
          <w:rFonts w:ascii="Times New Roman" w:hAnsi="Times New Roman"/>
          <w:b/>
          <w:bCs/>
          <w:noProof/>
          <w:sz w:val="24"/>
          <w:u w:val="single"/>
        </w:rPr>
        <w:t>Описание на реформите и инвестициите за безвъзмездна финансова подкрепа</w:t>
      </w:r>
    </w:p>
    <w:p>
      <w:pPr>
        <w:spacing w:before="120" w:after="120" w:line="240" w:lineRule="auto"/>
        <w:jc w:val="both"/>
        <w:rPr>
          <w:rFonts w:ascii="Times New Roman" w:hAnsi="Times New Roman" w:cs="Times New Roman"/>
          <w:noProof/>
          <w:sz w:val="24"/>
        </w:rPr>
      </w:pPr>
      <w:r>
        <w:rPr>
          <w:rFonts w:ascii="Times New Roman" w:hAnsi="Times New Roman"/>
          <w:noProof/>
          <w:sz w:val="24"/>
          <w:u w:val="single"/>
        </w:rPr>
        <w:t>Реформа 1 (C8.R1) – Улесняване на рамката за интегриране на възобновяемите енергийни източници в енергийната система: мрежи, съхранение и инфраструктура</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Целта на тази мярка е да се даде възможност за прозрачна и стабилна регулаторна рамка, която създава сигурност и дава възможност за по-голяма интеграция на възобновяемите енергийни източници в енергийната система чрез инвестиции в мрежи, съхранение и инфраструктура. </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Реформата включва дългосрочна стратегия за декарбонизация за 2050 г. („ЕПС 2050“). Целта на тази стратегия е да се постави основата за стратегическа и регулаторна рамка за ефективното интегриране на енергията от възобновяеми източници в гъвкава и интелигентна енергийна система. Сред целите на ELP 2050 са: намаляване на емисиите на парникови газове с 90 % в сравнение с 1990 г. (неутралност по отношение на климата); постигането на 97 % възобновяеми енергийни източници от крайното потребление на енергия; и в) електроенергийна система със 100 % енергия от възобновяеми източници. </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Изпълнението на мярката приключва до 31 март 2021 г. </w:t>
      </w:r>
    </w:p>
    <w:p>
      <w:pPr>
        <w:spacing w:before="120" w:after="120" w:line="240" w:lineRule="auto"/>
        <w:jc w:val="both"/>
        <w:rPr>
          <w:rFonts w:ascii="Times New Roman" w:hAnsi="Times New Roman" w:cs="Times New Roman"/>
          <w:noProof/>
          <w:sz w:val="24"/>
          <w:u w:val="single"/>
        </w:rPr>
      </w:pPr>
      <w:r>
        <w:rPr>
          <w:rFonts w:ascii="Times New Roman" w:hAnsi="Times New Roman"/>
          <w:noProof/>
          <w:sz w:val="24"/>
          <w:u w:val="single"/>
        </w:rPr>
        <w:t>Реформа 2 (C8.R2) – Стратегия за съхраняване на енергия и адаптиране на регулаторната рамка за внедряване на съхранението на енергия</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Тази мярка има за цел разработването, одобряването и внедряването на регулаторна и стратегическа рамка за насърчаване на съхранението на енергия. Реформата осигурява необходимата рамка за планираните инвестиции по C8.I1 и C8.I3, свързани съответно с внедряването на съхраняването на енергия и новите бизнес модели в енергийния преход. </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Реформата включва одобряването от испанското правителство на стратегията за съхранение на енергия. Целта на тази стратегия е да се осигурят 20 GW за съхранение на енергия през 2030 г. и 30 GW през 2050 г. </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Реформата включва три законодателни и регулаторни акта: i) Кралски указ 1183/2020 за регулиране на достъпа до мрежата за съоръжения за съхранение; ii) циркулярно писмо № 1/2021 на </w:t>
      </w:r>
      <w:r>
        <w:rPr>
          <w:rFonts w:ascii="Times New Roman" w:hAnsi="Times New Roman"/>
          <w:i/>
          <w:noProof/>
          <w:sz w:val="24"/>
        </w:rPr>
        <w:t>Comisión Nacional de los Mercados y la Competencia</w:t>
      </w:r>
      <w:r>
        <w:rPr>
          <w:rFonts w:ascii="Times New Roman" w:hAnsi="Times New Roman"/>
          <w:noProof/>
          <w:sz w:val="24"/>
        </w:rPr>
        <w:t xml:space="preserve"> за установяване на методиката и условията за достъп и свързване към преносните и разпределителните мрежи на съоръжения за производство на електроенергия; iii) Резолюция на </w:t>
      </w:r>
      <w:r>
        <w:rPr>
          <w:rFonts w:ascii="Times New Roman" w:hAnsi="Times New Roman"/>
          <w:i/>
          <w:noProof/>
          <w:sz w:val="24"/>
        </w:rPr>
        <w:t>Comisión Nacional de los Mercados y la Competencia</w:t>
      </w:r>
      <w:r>
        <w:rPr>
          <w:rFonts w:ascii="Times New Roman" w:hAnsi="Times New Roman"/>
          <w:noProof/>
          <w:sz w:val="24"/>
        </w:rPr>
        <w:t xml:space="preserve"> от 10 декември 2020 г., с която се урежда участието на съоръжения за съхраняване на енергия в предоставянето на спомагателни услуги. </w:t>
      </w:r>
    </w:p>
    <w:p>
      <w:pPr>
        <w:spacing w:before="120" w:after="120" w:line="240" w:lineRule="auto"/>
        <w:jc w:val="both"/>
        <w:rPr>
          <w:rFonts w:ascii="Times New Roman" w:hAnsi="Times New Roman" w:cs="Times New Roman"/>
          <w:noProof/>
          <w:sz w:val="24"/>
        </w:rPr>
      </w:pPr>
      <w:r>
        <w:rPr>
          <w:rFonts w:ascii="Times New Roman" w:hAnsi="Times New Roman"/>
          <w:noProof/>
          <w:sz w:val="24"/>
        </w:rPr>
        <w:t>Изпълнението на мярката приключва до 30 юни 2022 г.</w:t>
      </w:r>
    </w:p>
    <w:p>
      <w:pPr>
        <w:spacing w:before="120" w:after="120" w:line="240" w:lineRule="auto"/>
        <w:jc w:val="both"/>
        <w:rPr>
          <w:rFonts w:ascii="Times New Roman" w:hAnsi="Times New Roman" w:cs="Times New Roman"/>
          <w:noProof/>
          <w:sz w:val="24"/>
          <w:u w:val="single"/>
        </w:rPr>
      </w:pPr>
      <w:r>
        <w:rPr>
          <w:rFonts w:ascii="Times New Roman" w:hAnsi="Times New Roman"/>
          <w:noProof/>
          <w:sz w:val="24"/>
          <w:u w:val="single"/>
        </w:rPr>
        <w:t>Реформа 3 (C8.R3) – Разработване на регулаторната рамка за агрегиране, управление на търсенето и услуги за гъвкавост</w:t>
      </w:r>
    </w:p>
    <w:p>
      <w:pPr>
        <w:spacing w:before="120" w:after="120" w:line="240" w:lineRule="auto"/>
        <w:jc w:val="both"/>
        <w:rPr>
          <w:rFonts w:ascii="Times New Roman" w:hAnsi="Times New Roman" w:cs="Times New Roman"/>
          <w:noProof/>
          <w:sz w:val="24"/>
        </w:rPr>
      </w:pPr>
      <w:r>
        <w:rPr>
          <w:rFonts w:ascii="Times New Roman" w:hAnsi="Times New Roman"/>
          <w:noProof/>
          <w:sz w:val="24"/>
        </w:rPr>
        <w:t>Тази мярка има за цел да разработи регулаторната рамка, необходима за разработването на интелигентна и динамична енергийна система, включително: i) регулирането на услугите за управление и гъвкавост на търсенето в националната регулаторна рамка, ii) разработването на регулаторна рамка за обхващане на различните услуги за гъвкавост и iii) разработването на рамка за гарантиране на достъпа на потребителите до техните данни за потреблението на енергия.</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Реформата ще е в съответствие с Националния план за климата в енергетиката, в който изрично се признава необходимостта от определяне на техническите изисквания за участие на съществуващите и развиващите се пазари на участници, предлагащи енергия от възобновяеми източници, оператори за съхраняване на енергия и доставчици на услуги за оптимизация на потреблението. </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В националния план за климата в областта на енергетиката също така се подчертава необходимостта от развитие на статута на доставчиците на агрегирани услуги, по-специално на независимите доставчици на агрегирани услуги, за да се улесни тяхното участие на пазара. За тази цел реформата ще предвижда създаването на статут на независим доставчик на агрегиране на търсенето чрез Кралски законодателен указ 23/2020, за да се даде възможност за навлизането на нови участници на пазара на дребно. </w:t>
      </w:r>
    </w:p>
    <w:p>
      <w:pPr>
        <w:spacing w:before="120" w:after="120" w:line="240" w:lineRule="auto"/>
        <w:jc w:val="both"/>
        <w:rPr>
          <w:rFonts w:ascii="Times New Roman" w:hAnsi="Times New Roman" w:cs="Times New Roman"/>
          <w:noProof/>
          <w:sz w:val="24"/>
        </w:rPr>
      </w:pPr>
      <w:r>
        <w:rPr>
          <w:rFonts w:ascii="Times New Roman" w:hAnsi="Times New Roman"/>
          <w:noProof/>
          <w:sz w:val="24"/>
        </w:rPr>
        <w:t>В допълнение към подкрепата за националния план за климата в областта на енергетиката, с реформата се транспонира Директива (ЕС) 2019/944 на Европейския парламент и на Съвета от 5 юни 2019 г. относно общите правила за вътрешния пазар на електроенергия, в която се определя задължението за гарантиране на участието на потребителите на пазарите, включително чрез оптимизация на потреблението, за насърчаване на индивидуалното или съвкупното участие на потребителите или чрез независими доставчици на агрегирани услуги и за предоставяне на възможност за използване на гъвкавост в разпределителните мрежи.</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Изпълнението на мярката приключва до 31 декември 2023 г. </w:t>
      </w:r>
    </w:p>
    <w:p>
      <w:pPr>
        <w:spacing w:before="120" w:after="120" w:line="240" w:lineRule="auto"/>
        <w:jc w:val="both"/>
        <w:rPr>
          <w:rFonts w:ascii="Times New Roman" w:eastAsia="Times New Roman" w:hAnsi="Times New Roman" w:cs="Times New Roman"/>
          <w:noProof/>
          <w:sz w:val="24"/>
          <w:u w:val="single"/>
        </w:rPr>
      </w:pPr>
      <w:r>
        <w:rPr>
          <w:rFonts w:ascii="Times New Roman" w:hAnsi="Times New Roman"/>
          <w:noProof/>
          <w:sz w:val="24"/>
          <w:u w:val="single"/>
        </w:rPr>
        <w:t>Реформа 4 (C8.R4) – регулаторни лаборатории или изпитвателни платформи</w:t>
      </w:r>
      <w:r>
        <w:rPr>
          <w:rFonts w:ascii="Times New Roman" w:hAnsi="Times New Roman"/>
          <w:noProof/>
          <w:sz w:val="24"/>
        </w:rPr>
        <w:t> </w:t>
      </w:r>
    </w:p>
    <w:p>
      <w:pPr>
        <w:spacing w:before="120" w:after="120" w:line="240" w:lineRule="auto"/>
        <w:jc w:val="both"/>
        <w:rPr>
          <w:rFonts w:ascii="Times New Roman" w:hAnsi="Times New Roman" w:cs="Times New Roman"/>
          <w:noProof/>
          <w:sz w:val="24"/>
        </w:rPr>
      </w:pPr>
      <w:r>
        <w:rPr>
          <w:rFonts w:ascii="Times New Roman" w:hAnsi="Times New Roman"/>
          <w:noProof/>
          <w:sz w:val="24"/>
        </w:rPr>
        <w:t>Целта на тази мярка е да се разработят регулаторни изпитателни платформи (плюсове) в националната регулаторна рамка, които да позволяват въвеждането на нови продукти или технологични решения, изключения или регулаторни гаранции с цел улесняване на научните изследвания и иновациите в енергийния сектор. Реформата е пряко свързана с реформа C8.R3 и инвестиция C8.I3.</w:t>
      </w:r>
    </w:p>
    <w:p>
      <w:pPr>
        <w:spacing w:before="120" w:after="120" w:line="240" w:lineRule="auto"/>
        <w:jc w:val="both"/>
        <w:rPr>
          <w:rFonts w:ascii="Times New Roman" w:hAnsi="Times New Roman" w:cs="Times New Roman"/>
          <w:noProof/>
          <w:sz w:val="24"/>
        </w:rPr>
      </w:pPr>
      <w:r>
        <w:rPr>
          <w:rFonts w:ascii="Times New Roman" w:hAnsi="Times New Roman"/>
          <w:noProof/>
          <w:sz w:val="24"/>
        </w:rPr>
        <w:t>Регулаторните лаборатории дават възможност на промишлеността да изпита нови технологии, системи и услуги, свързани с гъвкавостта, оптимизацията на потреблението и съхранението на енергия, в безопасна среда, в която заинтересованите страни могат да се сблъскат с новаторски решения, без да бъдат подлагани на превантивни регулаторни изисквания. Освен това пясъчниците осигуряват двустранен регулаторен диалог между администрацията и регулаторния орган, който ускорява и улеснява преразглеждането на съществуващите разпоредби и ги адаптира към навлизането на нови агенти на пазара. Очаква се това да улесни създаването на технологични стартиращи предприятия, като им даде възможност да изпробват своите бизнес модели.</w:t>
      </w:r>
    </w:p>
    <w:p>
      <w:pPr>
        <w:spacing w:before="120" w:after="120" w:line="240" w:lineRule="auto"/>
        <w:jc w:val="both"/>
        <w:rPr>
          <w:rFonts w:ascii="Times New Roman" w:hAnsi="Times New Roman" w:cs="Times New Roman"/>
          <w:noProof/>
          <w:sz w:val="24"/>
        </w:rPr>
      </w:pPr>
      <w:r>
        <w:rPr>
          <w:rFonts w:ascii="Times New Roman" w:hAnsi="Times New Roman"/>
          <w:noProof/>
          <w:sz w:val="24"/>
        </w:rPr>
        <w:t>Реформата включва приемането на кралски указ за разработването на регулаторни лаборатории, за да се даде възможност за разработване на нови пилотни проекти с цел насърчаване на научните изследвания и иновациите в електроенергийния сектор.</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Изпълнението на мярката приключва до 30 юни 2023 г. </w:t>
      </w:r>
    </w:p>
    <w:p>
      <w:pPr>
        <w:spacing w:before="120" w:after="120" w:line="240" w:lineRule="auto"/>
        <w:jc w:val="both"/>
        <w:rPr>
          <w:rFonts w:ascii="Times New Roman" w:eastAsia="Times New Roman" w:hAnsi="Times New Roman" w:cs="Times New Roman"/>
          <w:noProof/>
          <w:sz w:val="24"/>
          <w:u w:val="single"/>
        </w:rPr>
      </w:pPr>
      <w:r>
        <w:rPr>
          <w:rFonts w:ascii="Times New Roman" w:hAnsi="Times New Roman"/>
          <w:noProof/>
          <w:sz w:val="24"/>
          <w:u w:val="single"/>
        </w:rPr>
        <w:t>Инвестиция 1 (C8.I1) – Внедряване на съхранението на енергия</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Целта на тази мярка е да се разгърне съхраняването на енергия чрез стартиране на инициативи за подкрепа и инвестиции в три основни области:</w:t>
      </w:r>
    </w:p>
    <w:p>
      <w:pPr>
        <w:numPr>
          <w:ilvl w:val="0"/>
          <w:numId w:val="58"/>
        </w:numPr>
        <w:spacing w:before="120" w:after="160" w:line="259" w:lineRule="auto"/>
        <w:ind w:left="426" w:hanging="426"/>
        <w:contextualSpacing/>
        <w:jc w:val="both"/>
        <w:rPr>
          <w:rFonts w:ascii="Times New Roman" w:eastAsia="Times New Roman" w:hAnsi="Times New Roman" w:cs="Times New Roman"/>
          <w:noProof/>
          <w:sz w:val="24"/>
        </w:rPr>
      </w:pPr>
      <w:r>
        <w:rPr>
          <w:rFonts w:ascii="Times New Roman" w:hAnsi="Times New Roman"/>
          <w:noProof/>
          <w:sz w:val="24"/>
        </w:rPr>
        <w:t>разработване на широкомащабно съхранение. Широкомащабното съхранение е необходимо, за да се интегрират по-големи количества енергия от възобновяеми източници и да се предоставят услуги на системата – от регулиране на честотата, рампа (гъвкавост) или пускане без външно захранване;</w:t>
      </w:r>
    </w:p>
    <w:p>
      <w:pPr>
        <w:numPr>
          <w:ilvl w:val="0"/>
          <w:numId w:val="58"/>
        </w:numPr>
        <w:spacing w:before="120" w:after="160" w:line="259" w:lineRule="auto"/>
        <w:ind w:left="426" w:hanging="426"/>
        <w:contextualSpacing/>
        <w:jc w:val="both"/>
        <w:rPr>
          <w:rFonts w:ascii="Times New Roman" w:eastAsia="Times New Roman" w:hAnsi="Times New Roman" w:cs="Times New Roman"/>
          <w:noProof/>
          <w:sz w:val="24"/>
        </w:rPr>
      </w:pPr>
      <w:r>
        <w:rPr>
          <w:rFonts w:ascii="Times New Roman" w:hAnsi="Times New Roman"/>
          <w:noProof/>
          <w:sz w:val="24"/>
        </w:rPr>
        <w:t>насърчаване на съхранението зад измервателния уред и интегриране на секторно равнище. Технологиите зад електромера могат да включват съоръжения за собствено потребление, литиеви батерии и системи за акумулиране на топлина; и</w:t>
      </w:r>
    </w:p>
    <w:p>
      <w:pPr>
        <w:numPr>
          <w:ilvl w:val="0"/>
          <w:numId w:val="58"/>
        </w:numPr>
        <w:spacing w:before="120" w:after="120" w:line="259" w:lineRule="auto"/>
        <w:ind w:left="425" w:hanging="425"/>
        <w:jc w:val="both"/>
        <w:rPr>
          <w:rFonts w:ascii="Times New Roman" w:eastAsia="Times New Roman" w:hAnsi="Times New Roman" w:cs="Times New Roman"/>
          <w:noProof/>
        </w:rPr>
      </w:pPr>
      <w:r>
        <w:rPr>
          <w:rFonts w:ascii="Times New Roman" w:hAnsi="Times New Roman"/>
          <w:noProof/>
          <w:sz w:val="24"/>
        </w:rPr>
        <w:t>публична инициатива за създаване на отворен „зелен“ клъстер за технологично и промишлено развитие на съхранението в Испания, за да се мобилизират и интегрират различни дружества в енергийния сектор и други промишлени сектори около съхранението, като се увеличи промишленият и технологичният капацитет на страната.</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Предложената инвестиция се подкрепя в рамката, определена от реформите на този компонент, по-специално реформи C8.R1 и C8.R2, които осигуряват правната и стратегическа основа за ефективно внедряване на съхранението на енергия.</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Мярката се изпълнява чрез иновативни проекти за съхранение, които допринасят за енергийния преход, по-специално за осигуряване на нова гъвкавост за енергийния сектор, включително интегрирането на възобновяеми енергийни източници. Трябва да са в експлоатация най-малко пет иновативни проекта за съхранение или да бъде инсталирана съвкупна мощност от поне 600 MW (или еквивалентно общо енергоснабдяване (MWh).</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Изпълнението на инвестицията приключва до 30 юни 2026 г. </w:t>
      </w:r>
    </w:p>
    <w:p>
      <w:pPr>
        <w:spacing w:before="120" w:after="120" w:line="240" w:lineRule="auto"/>
        <w:jc w:val="both"/>
        <w:rPr>
          <w:rFonts w:ascii="Times New Roman" w:eastAsia="Times New Roman" w:hAnsi="Times New Roman" w:cs="Times New Roman"/>
          <w:noProof/>
          <w:sz w:val="24"/>
          <w:u w:val="single"/>
        </w:rPr>
      </w:pPr>
      <w:r>
        <w:rPr>
          <w:rFonts w:ascii="Times New Roman" w:hAnsi="Times New Roman"/>
          <w:noProof/>
          <w:sz w:val="24"/>
          <w:u w:val="single"/>
        </w:rPr>
        <w:t>Инвестиция 2 (C8.I2) – Цифровизация на мрежите</w:t>
      </w:r>
    </w:p>
    <w:p>
      <w:pPr>
        <w:spacing w:before="120" w:after="120" w:line="240" w:lineRule="auto"/>
        <w:jc w:val="both"/>
        <w:rPr>
          <w:rFonts w:ascii="Times New Roman" w:eastAsiaTheme="minorEastAsia" w:hAnsi="Times New Roman" w:cs="Times New Roman"/>
          <w:iCs/>
          <w:noProof/>
          <w:sz w:val="24"/>
        </w:rPr>
      </w:pPr>
      <w:r>
        <w:rPr>
          <w:rFonts w:ascii="Times New Roman" w:hAnsi="Times New Roman"/>
          <w:iCs/>
          <w:noProof/>
          <w:sz w:val="24"/>
        </w:rPr>
        <w:t xml:space="preserve">Тази мярка предоставя подкрепа за инвестиции, свързани с цифровизацията на разпределителните мрежи, с цел привеждането им в съответствие с изискванията, необходими за осъществяване на енергийния преход. </w:t>
      </w:r>
      <w:r>
        <w:rPr>
          <w:rFonts w:ascii="Times New Roman" w:hAnsi="Times New Roman"/>
          <w:noProof/>
          <w:sz w:val="24"/>
        </w:rPr>
        <w:t>Необходимостта от цифровизация на електроенергийните мрежи е част от Директива (ЕС) 2019/944 на Европейския парламент и на Съвета от 5 юни 2019 г. относно общите правила за вътрешния пазар на електроенергия, в която се посочва, че държавите членки следва да насърчават модернизирането на мрежите, например чрез въвеждането на интелигентни мрежи.</w:t>
      </w:r>
      <w:r>
        <w:rPr>
          <w:rFonts w:ascii="Times New Roman" w:hAnsi="Times New Roman"/>
          <w:iCs/>
          <w:noProof/>
          <w:sz w:val="24"/>
        </w:rPr>
        <w:t xml:space="preserve"> Цифровизацията на мрежите е необходима, за да се постигне напредък в преобразуването на енергийната система с по-голямо присъствие на енергия от възобновяеми източници, за да има сигурна и устойчива електроенергийна система. Тя е от особено значение за непринадлежащите към полуостров територии, характеризиращи се с по-голяма уязвимост и енергийна зависимост. </w:t>
      </w:r>
    </w:p>
    <w:p>
      <w:pPr>
        <w:spacing w:before="120" w:after="120" w:line="240" w:lineRule="auto"/>
        <w:jc w:val="both"/>
        <w:rPr>
          <w:rFonts w:ascii="Times New Roman" w:eastAsiaTheme="minorEastAsia" w:hAnsi="Times New Roman" w:cs="Times New Roman"/>
          <w:iCs/>
          <w:noProof/>
          <w:sz w:val="24"/>
        </w:rPr>
      </w:pPr>
      <w:r>
        <w:rPr>
          <w:rFonts w:ascii="Times New Roman" w:hAnsi="Times New Roman"/>
          <w:iCs/>
          <w:noProof/>
          <w:sz w:val="24"/>
        </w:rPr>
        <w:t>Общата цел на мярката е да се повиши конкурентоспособността на електроенергията, като се ускори електрификацията на икономиката. За тази цел в мярката се предвижда първоначален механизъм за подпомагане с цел максимално увеличаване на потенциала, предлаган от цифровизацията на мрежите, чрез: i) намаляване на загубите и разливите на производство на енергия от възобновяеми източници, ii) насърчаване на участието на търсенето в управлението на електроенергийната система и iii) оптимизиране на конфигурацията на мрежата.</w:t>
      </w:r>
    </w:p>
    <w:p>
      <w:pPr>
        <w:spacing w:before="120" w:after="120" w:line="240" w:lineRule="auto"/>
        <w:jc w:val="both"/>
        <w:rPr>
          <w:rFonts w:ascii="Times New Roman" w:eastAsiaTheme="minorEastAsia" w:hAnsi="Times New Roman" w:cs="Times New Roman"/>
          <w:iCs/>
          <w:noProof/>
          <w:sz w:val="24"/>
        </w:rPr>
      </w:pPr>
      <w:r>
        <w:rPr>
          <w:rFonts w:ascii="Times New Roman" w:hAnsi="Times New Roman"/>
          <w:noProof/>
          <w:sz w:val="24"/>
        </w:rPr>
        <w:t>Мярката включва възлагане на най-малко 35 иновативни проекта за цифровизация (за интелигентно разпределение на електроенергия) на разпределителни дружества.</w:t>
      </w:r>
    </w:p>
    <w:p>
      <w:pPr>
        <w:spacing w:before="120" w:after="120" w:line="240" w:lineRule="auto"/>
        <w:jc w:val="both"/>
        <w:rPr>
          <w:rFonts w:ascii="Times New Roman" w:eastAsiaTheme="minorEastAsia" w:hAnsi="Times New Roman" w:cs="Times New Roman"/>
          <w:iCs/>
          <w:noProof/>
          <w:sz w:val="24"/>
        </w:rPr>
      </w:pPr>
      <w:r>
        <w:rPr>
          <w:rFonts w:ascii="Times New Roman" w:hAnsi="Times New Roman"/>
          <w:iCs/>
          <w:noProof/>
          <w:sz w:val="24"/>
        </w:rPr>
        <w:t xml:space="preserve">Изпълнението на инвестицията приключва до 31 декември 2023 г. </w:t>
      </w:r>
    </w:p>
    <w:p>
      <w:pPr>
        <w:keepNext/>
        <w:spacing w:before="120" w:after="120" w:line="240" w:lineRule="auto"/>
        <w:jc w:val="both"/>
        <w:rPr>
          <w:rFonts w:ascii="Times New Roman" w:eastAsia="Times New Roman" w:hAnsi="Times New Roman" w:cs="Times New Roman"/>
          <w:noProof/>
          <w:sz w:val="24"/>
          <w:u w:val="single"/>
        </w:rPr>
      </w:pPr>
      <w:r>
        <w:rPr>
          <w:rFonts w:ascii="Times New Roman" w:hAnsi="Times New Roman"/>
          <w:noProof/>
          <w:sz w:val="24"/>
          <w:u w:val="single"/>
        </w:rPr>
        <w:t>Инвестиции 3 (C8.I3) – Нови бизнес модели в енергийния преход</w:t>
      </w:r>
    </w:p>
    <w:p>
      <w:pPr>
        <w:keepNext/>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Тази мярка включва инвестиции и механизми за подкрепа, насочени към насърчаване на нови бизнес модели за прехода, свързан с внедряването на съхраняването на енергия, както и неговото управление и рециклиране през втория жизнен цикъл, управление на търсенето, агрегатори, услуги за гъвкавост, достъп до данни и пясъчни кутии. По-специално мярката включва: </w:t>
      </w:r>
    </w:p>
    <w:p>
      <w:pPr>
        <w:numPr>
          <w:ilvl w:val="0"/>
          <w:numId w:val="57"/>
        </w:numPr>
        <w:spacing w:before="120" w:after="160" w:line="259" w:lineRule="auto"/>
        <w:ind w:left="426" w:hanging="426"/>
        <w:contextualSpacing/>
        <w:jc w:val="both"/>
        <w:rPr>
          <w:rFonts w:ascii="Times New Roman" w:eastAsia="Times New Roman" w:hAnsi="Times New Roman" w:cs="Times New Roman"/>
          <w:noProof/>
          <w:sz w:val="24"/>
        </w:rPr>
      </w:pPr>
      <w:r>
        <w:rPr>
          <w:rFonts w:ascii="Times New Roman" w:hAnsi="Times New Roman"/>
          <w:noProof/>
          <w:sz w:val="24"/>
        </w:rPr>
        <w:t>подкрепа за разгръщането на доставчици на агрегирани услуги на националния пазар на електроенергия, с особен акцент върху независимите доставчици на агрегирани услуги чрез инсталирането на измервателно оборудване в реално време (измерване на разпределението) и контролни и комуникационни центрове, както и насърчаване на платформи за агрегиране;</w:t>
      </w:r>
    </w:p>
    <w:p>
      <w:pPr>
        <w:numPr>
          <w:ilvl w:val="0"/>
          <w:numId w:val="57"/>
        </w:numPr>
        <w:spacing w:before="120" w:after="160" w:line="259" w:lineRule="auto"/>
        <w:ind w:left="426" w:hanging="426"/>
        <w:contextualSpacing/>
        <w:jc w:val="both"/>
        <w:rPr>
          <w:rFonts w:ascii="Times New Roman" w:eastAsia="Times New Roman" w:hAnsi="Times New Roman" w:cs="Times New Roman"/>
          <w:noProof/>
          <w:sz w:val="24"/>
        </w:rPr>
      </w:pPr>
      <w:r>
        <w:rPr>
          <w:rFonts w:ascii="Times New Roman" w:hAnsi="Times New Roman"/>
          <w:noProof/>
          <w:sz w:val="24"/>
        </w:rPr>
        <w:t>внедряването на съхранението по цялата верига за създаване на стойност;</w:t>
      </w:r>
    </w:p>
    <w:p>
      <w:pPr>
        <w:numPr>
          <w:ilvl w:val="0"/>
          <w:numId w:val="57"/>
        </w:numPr>
        <w:spacing w:before="120" w:after="160" w:line="259" w:lineRule="auto"/>
        <w:ind w:left="426" w:hanging="426"/>
        <w:contextualSpacing/>
        <w:jc w:val="both"/>
        <w:rPr>
          <w:rFonts w:ascii="Times New Roman" w:eastAsia="Times New Roman" w:hAnsi="Times New Roman" w:cs="Times New Roman"/>
          <w:noProof/>
          <w:sz w:val="24"/>
        </w:rPr>
      </w:pPr>
      <w:r>
        <w:rPr>
          <w:rFonts w:ascii="Times New Roman" w:hAnsi="Times New Roman"/>
          <w:noProof/>
          <w:sz w:val="24"/>
        </w:rPr>
        <w:t>подкрепа за проекти за управление на търсенето в различни потребителски профили (голяма промишленост, МСП, общности за енергия от възобновяеми източници/граждански енергийни общности, агрегатори и др.);</w:t>
      </w:r>
    </w:p>
    <w:p>
      <w:pPr>
        <w:numPr>
          <w:ilvl w:val="0"/>
          <w:numId w:val="57"/>
        </w:numPr>
        <w:spacing w:before="120" w:after="160" w:line="259" w:lineRule="auto"/>
        <w:ind w:left="426" w:hanging="426"/>
        <w:contextualSpacing/>
        <w:jc w:val="both"/>
        <w:rPr>
          <w:rFonts w:ascii="Times New Roman" w:eastAsia="Times New Roman" w:hAnsi="Times New Roman" w:cs="Times New Roman"/>
          <w:noProof/>
          <w:sz w:val="24"/>
        </w:rPr>
      </w:pPr>
      <w:r>
        <w:rPr>
          <w:rFonts w:ascii="Times New Roman" w:hAnsi="Times New Roman"/>
          <w:noProof/>
          <w:sz w:val="24"/>
        </w:rPr>
        <w:t>призовава за прилагане на регулаторни изпитателни платформи под формата на пряка, конкурентна помощ или споразумения за сътрудничество; и</w:t>
      </w:r>
    </w:p>
    <w:p>
      <w:pPr>
        <w:numPr>
          <w:ilvl w:val="0"/>
          <w:numId w:val="57"/>
        </w:numPr>
        <w:spacing w:before="120" w:after="120" w:line="259" w:lineRule="auto"/>
        <w:ind w:left="425" w:hanging="425"/>
        <w:jc w:val="both"/>
        <w:rPr>
          <w:rFonts w:ascii="Times New Roman" w:eastAsia="Times New Roman" w:hAnsi="Times New Roman" w:cs="Times New Roman"/>
          <w:noProof/>
          <w:sz w:val="24"/>
        </w:rPr>
      </w:pPr>
      <w:r>
        <w:rPr>
          <w:rFonts w:ascii="Times New Roman" w:hAnsi="Times New Roman"/>
          <w:noProof/>
          <w:sz w:val="24"/>
        </w:rPr>
        <w:t>подкрепа за стартиращи предприятия или иновативни инициативи в областта на енергетиката.</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Инвестицията е тясно свързана с реформа C8.R4, която има за цел разработването на регулаторни лаборатории за иновативни проекти. Тя се основава и на стратегическата и регулаторната рамка, определена от другите реформи, най-вече реформата C8.R3.</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Очаква се приблизително 20 проекта да бъдат възложени за насърчаване на нови бизнес модели за енергийния преход, включително интелигентно отчитане, съхранение, оптимизация на потреблението, услуги за гъвкавост и данни.</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Изпълнението на инвестицията приключва до 31 декември 2023 г.</w:t>
      </w:r>
    </w:p>
    <w:p>
      <w:pPr>
        <w:spacing w:before="120" w:after="120" w:line="240" w:lineRule="auto"/>
        <w:ind w:left="709"/>
        <w:jc w:val="both"/>
        <w:rPr>
          <w:rFonts w:ascii="Times New Roman" w:hAnsi="Times New Roman" w:cs="Times New Roman"/>
          <w:b/>
          <w:bCs/>
          <w:noProof/>
          <w:sz w:val="24"/>
          <w:u w:val="single"/>
        </w:rPr>
      </w:pPr>
      <w:r>
        <w:rPr>
          <w:rFonts w:ascii="Times New Roman" w:hAnsi="Times New Roman"/>
          <w:b/>
          <w:bCs/>
          <w:noProof/>
          <w:sz w:val="24"/>
          <w:u w:val="single"/>
        </w:rPr>
        <w:t xml:space="preserve">З.2. </w:t>
      </w:r>
      <w:r>
        <w:rPr>
          <w:rFonts w:ascii="Times New Roman" w:hAnsi="Times New Roman"/>
          <w:b/>
          <w:noProof/>
          <w:sz w:val="24"/>
          <w:u w:val="single"/>
        </w:rPr>
        <w:tab/>
      </w:r>
      <w:r>
        <w:rPr>
          <w:rFonts w:ascii="Times New Roman" w:hAnsi="Times New Roman"/>
          <w:b/>
          <w:bCs/>
          <w:noProof/>
          <w:sz w:val="24"/>
          <w:u w:val="single"/>
        </w:rPr>
        <w:t>Ключови етапи, цели, показатели и график за мониторинг и изпълнение на безвъзмездната финансова подкрепа</w:t>
      </w:r>
    </w:p>
    <w:p>
      <w:pPr>
        <w:spacing w:before="120" w:after="120" w:line="240" w:lineRule="auto"/>
        <w:jc w:val="both"/>
        <w:rPr>
          <w:rFonts w:ascii="Times New Roman" w:hAnsi="Times New Roman" w:cs="Times New Roman"/>
          <w:b/>
          <w:noProof/>
          <w:sz w:val="24"/>
          <w:u w:val="single"/>
        </w:rPr>
      </w:pPr>
      <w:r>
        <w:rPr>
          <w:rFonts w:ascii="Times New Roman" w:hAnsi="Times New Roman"/>
          <w:i/>
          <w:iCs/>
          <w:noProof/>
          <w:color w:val="000000"/>
          <w:sz w:val="24"/>
        </w:rPr>
        <w:t>Вж. таблицата по-долу.</w:t>
      </w:r>
      <w:r>
        <w:rPr>
          <w:rFonts w:ascii="Times New Roman" w:hAnsi="Times New Roman"/>
          <w:noProof/>
          <w:color w:val="1F497D"/>
          <w:sz w:val="24"/>
        </w:rPr>
        <w:t xml:space="preserve"> </w:t>
      </w:r>
      <w:r>
        <w:rPr>
          <w:rFonts w:ascii="Times New Roman" w:hAnsi="Times New Roman"/>
          <w:i/>
          <w:iCs/>
          <w:noProof/>
          <w:color w:val="000000"/>
          <w:sz w:val="24"/>
        </w:rPr>
        <w:t>Датата на базовата линия за всички показатели е 1 февруари 2020 г., освен ако в описанието на действието не е посочено друго. Сумите в таблицата не включват ДДС.</w:t>
      </w:r>
    </w:p>
    <w:p>
      <w:pPr>
        <w:spacing w:before="120" w:after="120" w:line="240" w:lineRule="auto"/>
        <w:jc w:val="both"/>
        <w:rPr>
          <w:rFonts w:ascii="Times New Roman" w:hAnsi="Times New Roman" w:cs="Times New Roman"/>
          <w:i/>
          <w:noProof/>
          <w:sz w:val="24"/>
          <w:lang w:val="en-IE"/>
        </w:rPr>
      </w:pPr>
    </w:p>
    <w:p>
      <w:pPr>
        <w:spacing w:before="120" w:after="120" w:line="240" w:lineRule="auto"/>
        <w:ind w:left="709"/>
        <w:jc w:val="both"/>
        <w:rPr>
          <w:rFonts w:ascii="Times New Roman" w:hAnsi="Times New Roman" w:cs="Times New Roman"/>
          <w:noProof/>
          <w:sz w:val="24"/>
          <w:lang w:val="en-IE"/>
        </w:rPr>
        <w:sectPr>
          <w:headerReference w:type="even" r:id="rId103"/>
          <w:headerReference w:type="default" r:id="rId104"/>
          <w:footerReference w:type="even" r:id="rId105"/>
          <w:footerReference w:type="default" r:id="rId106"/>
          <w:headerReference w:type="first" r:id="rId107"/>
          <w:footerReference w:type="first" r:id="rId108"/>
          <w:pgSz w:w="11907" w:h="16839"/>
          <w:pgMar w:top="1134" w:right="1417" w:bottom="1134" w:left="1417" w:header="709" w:footer="709" w:gutter="0"/>
          <w:cols w:space="720"/>
          <w:docGrid w:linePitch="360"/>
        </w:sectPr>
      </w:pPr>
    </w:p>
    <w:tbl>
      <w:tblPr>
        <w:tblW w:w="15310"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09"/>
        <w:gridCol w:w="851"/>
        <w:gridCol w:w="850"/>
        <w:gridCol w:w="2322"/>
        <w:gridCol w:w="1222"/>
        <w:gridCol w:w="851"/>
        <w:gridCol w:w="627"/>
        <w:gridCol w:w="507"/>
        <w:gridCol w:w="483"/>
        <w:gridCol w:w="651"/>
        <w:gridCol w:w="6237"/>
      </w:tblGrid>
      <w:tr>
        <w:trPr>
          <w:trHeight w:val="309"/>
          <w:tblHeader/>
        </w:trPr>
        <w:tc>
          <w:tcPr>
            <w:tcW w:w="709"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szCs w:val="18"/>
              </w:rPr>
              <w:t>Номер</w:t>
            </w:r>
          </w:p>
        </w:tc>
        <w:tc>
          <w:tcPr>
            <w:tcW w:w="851"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szCs w:val="18"/>
              </w:rPr>
              <w:t>Мярка</w:t>
            </w:r>
          </w:p>
        </w:tc>
        <w:tc>
          <w:tcPr>
            <w:tcW w:w="850"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szCs w:val="18"/>
              </w:rPr>
              <w:t>Ключов етап / Цел</w:t>
            </w:r>
          </w:p>
        </w:tc>
        <w:tc>
          <w:tcPr>
            <w:tcW w:w="2322"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szCs w:val="18"/>
              </w:rPr>
              <w:t>Наименование</w:t>
            </w:r>
          </w:p>
        </w:tc>
        <w:tc>
          <w:tcPr>
            <w:tcW w:w="1222"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szCs w:val="18"/>
              </w:rPr>
              <w:t>Качествени показатели за ключовите етапи</w:t>
            </w:r>
          </w:p>
        </w:tc>
        <w:tc>
          <w:tcPr>
            <w:tcW w:w="1985" w:type="dxa"/>
            <w:gridSpan w:val="3"/>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szCs w:val="18"/>
              </w:rPr>
              <w:t>Количествени показатели за целите</w:t>
            </w:r>
          </w:p>
        </w:tc>
        <w:tc>
          <w:tcPr>
            <w:tcW w:w="1134" w:type="dxa"/>
            <w:gridSpan w:val="2"/>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szCs w:val="18"/>
              </w:rPr>
              <w:t>Време</w:t>
            </w:r>
          </w:p>
        </w:tc>
        <w:tc>
          <w:tcPr>
            <w:tcW w:w="6237"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bCs/>
                <w:noProof/>
                <w:sz w:val="18"/>
                <w:szCs w:val="18"/>
              </w:rPr>
              <w:t>Описание на всеки ключов етап и всяка цел</w:t>
            </w:r>
          </w:p>
        </w:tc>
      </w:tr>
      <w:tr>
        <w:trPr>
          <w:trHeight w:val="309"/>
          <w:tblHeader/>
        </w:trPr>
        <w:tc>
          <w:tcPr>
            <w:tcW w:w="709"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851"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850"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2322" w:type="dxa"/>
            <w:tcBorders>
              <w:top w:val="nil"/>
            </w:tcBorders>
            <w:shd w:val="clear" w:color="auto" w:fill="C6D9F1" w:themeFill="text2" w:themeFillTint="33"/>
            <w:noWrap/>
          </w:tcPr>
          <w:p>
            <w:pPr>
              <w:spacing w:after="0" w:line="240" w:lineRule="auto"/>
              <w:rPr>
                <w:rFonts w:ascii="Times New Roman" w:hAnsi="Times New Roman" w:cs="Times New Roman"/>
                <w:b/>
                <w:noProof/>
                <w:color w:val="000000"/>
                <w:sz w:val="18"/>
                <w:szCs w:val="18"/>
              </w:rPr>
            </w:pPr>
          </w:p>
        </w:tc>
        <w:tc>
          <w:tcPr>
            <w:tcW w:w="1222"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851" w:type="dxa"/>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szCs w:val="18"/>
              </w:rPr>
              <w:t>Мерна единица</w:t>
            </w:r>
          </w:p>
        </w:tc>
        <w:tc>
          <w:tcPr>
            <w:tcW w:w="627" w:type="dxa"/>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szCs w:val="18"/>
              </w:rPr>
              <w:t>Базова линия</w:t>
            </w:r>
          </w:p>
        </w:tc>
        <w:tc>
          <w:tcPr>
            <w:tcW w:w="507" w:type="dxa"/>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szCs w:val="18"/>
              </w:rPr>
              <w:t>Цел</w:t>
            </w:r>
          </w:p>
        </w:tc>
        <w:tc>
          <w:tcPr>
            <w:tcW w:w="483" w:type="dxa"/>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szCs w:val="18"/>
              </w:rPr>
              <w:t>T</w:t>
            </w:r>
          </w:p>
        </w:tc>
        <w:tc>
          <w:tcPr>
            <w:tcW w:w="651" w:type="dxa"/>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szCs w:val="18"/>
              </w:rPr>
              <w:t>Година</w:t>
            </w:r>
          </w:p>
        </w:tc>
        <w:tc>
          <w:tcPr>
            <w:tcW w:w="6237" w:type="dxa"/>
            <w:tcBorders>
              <w:top w:val="nil"/>
            </w:tcBorders>
            <w:shd w:val="clear" w:color="auto" w:fill="C6D9F1" w:themeFill="text2" w:themeFillTint="33"/>
            <w:noWrap/>
          </w:tcPr>
          <w:p>
            <w:pPr>
              <w:spacing w:after="0" w:line="240" w:lineRule="auto"/>
              <w:rPr>
                <w:rFonts w:ascii="Times New Roman" w:hAnsi="Times New Roman" w:cs="Times New Roman"/>
                <w:b/>
                <w:noProof/>
                <w:color w:val="000000"/>
                <w:sz w:val="18"/>
                <w:szCs w:val="18"/>
                <w:lang w:val="en-IE"/>
              </w:rPr>
            </w:pP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121</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C8.R1</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2322"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Одобряване на дългосрочната стратегия за декарбонизация (ELP2050).</w:t>
            </w:r>
          </w:p>
        </w:tc>
        <w:tc>
          <w:tcPr>
            <w:tcW w:w="1222"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Одобрение от Министерския съвет</w:t>
            </w:r>
          </w:p>
        </w:tc>
        <w:tc>
          <w:tcPr>
            <w:tcW w:w="851"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62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50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483"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T1</w:t>
            </w:r>
          </w:p>
        </w:tc>
        <w:tc>
          <w:tcPr>
            <w:tcW w:w="6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2021</w:t>
            </w:r>
          </w:p>
        </w:tc>
        <w:tc>
          <w:tcPr>
            <w:tcW w:w="623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Одобряване на дългосрочната стратегия за декарбонизация (ELP2050). ELP50 поставя основата за определяне на стратегическата и регулаторна рамка за ефективното интегриране на енергията от възобновяеми източници в гъвкава и интелигентна енергийна система, която да се разглежда в контекста на по-широкия подход, изложен в НПЕК.</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122</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C8.R2</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2322"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Влизане в сила на планирани, законодателни и регулаторни реформи за насърчаване на разработването на решения за съхранение на енергия.</w:t>
            </w:r>
          </w:p>
        </w:tc>
        <w:tc>
          <w:tcPr>
            <w:tcW w:w="1222"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pacing w:val="-8"/>
                <w:sz w:val="18"/>
                <w:szCs w:val="18"/>
              </w:rPr>
              <w:t>Разпоредби в законодателните и</w:t>
            </w:r>
            <w:r>
              <w:rPr>
                <w:rFonts w:ascii="Times New Roman" w:hAnsi="Times New Roman"/>
                <w:noProof/>
                <w:color w:val="000000"/>
                <w:sz w:val="18"/>
                <w:szCs w:val="18"/>
              </w:rPr>
              <w:t xml:space="preserve"> регулаторните мерки относно влизането в сила </w:t>
            </w:r>
          </w:p>
        </w:tc>
        <w:tc>
          <w:tcPr>
            <w:tcW w:w="851"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62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50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483"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T2</w:t>
            </w:r>
          </w:p>
        </w:tc>
        <w:tc>
          <w:tcPr>
            <w:tcW w:w="6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2021</w:t>
            </w:r>
          </w:p>
        </w:tc>
        <w:tc>
          <w:tcPr>
            <w:tcW w:w="623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Приемане и влизане в сила на следните планирани, законодателни и регулаторни реформи за насърчаване на разработването на решения за съхранение на енергия:</w:t>
            </w:r>
            <w:r>
              <w:rPr>
                <w:rFonts w:ascii="Times New Roman" w:hAnsi="Times New Roman"/>
                <w:noProof/>
                <w:color w:val="000000"/>
                <w:sz w:val="18"/>
                <w:szCs w:val="18"/>
              </w:rPr>
              <w:br/>
              <w:t>а) Одобрение от Министерския съвет на стратегията за съхранение на енергия с цел насърчаване на внедряването на съхраняването на енергия чрез 66 конкретни мерки, групирани в 10-те направления на действие, включени в стратегията. Целта е да се разполага с 20 GW за съхранение на енергия през 2030 г. и 30 GW през 2050 г.</w:t>
            </w:r>
            <w:r>
              <w:rPr>
                <w:rFonts w:ascii="Times New Roman" w:hAnsi="Times New Roman"/>
                <w:noProof/>
                <w:color w:val="000000"/>
                <w:sz w:val="18"/>
                <w:szCs w:val="18"/>
              </w:rPr>
              <w:br/>
              <w:t>б) Публикуване в ОВ на Кралски указ 1183/2020 за регулиране на достъпа до мрежата за съоръжения за съхранение.</w:t>
            </w:r>
            <w:r>
              <w:rPr>
                <w:rFonts w:ascii="Times New Roman" w:hAnsi="Times New Roman"/>
                <w:noProof/>
                <w:color w:val="000000"/>
                <w:sz w:val="18"/>
                <w:szCs w:val="18"/>
              </w:rPr>
              <w:br/>
              <w:t xml:space="preserve">в) Публикуване в ОВ на циркулярно писмо 1/2021 на </w:t>
            </w:r>
            <w:r>
              <w:rPr>
                <w:rFonts w:ascii="Times New Roman" w:hAnsi="Times New Roman"/>
                <w:i/>
                <w:noProof/>
                <w:color w:val="000000"/>
                <w:sz w:val="18"/>
                <w:szCs w:val="18"/>
              </w:rPr>
              <w:t>Comisión Nacional de los Mercados y la Competencia</w:t>
            </w:r>
            <w:r>
              <w:rPr>
                <w:rFonts w:ascii="Times New Roman" w:hAnsi="Times New Roman"/>
                <w:noProof/>
                <w:color w:val="000000"/>
                <w:sz w:val="18"/>
                <w:szCs w:val="18"/>
              </w:rPr>
              <w:t xml:space="preserve"> за установяване на методиката и условията за достъп и свързване към преносните и разпределителните мрежи на съоръжения за производство на електроенергия.</w:t>
            </w:r>
            <w:r>
              <w:rPr>
                <w:rFonts w:ascii="Times New Roman" w:hAnsi="Times New Roman"/>
                <w:noProof/>
                <w:color w:val="000000"/>
                <w:sz w:val="18"/>
                <w:szCs w:val="18"/>
              </w:rPr>
              <w:br/>
              <w:t>г) Публикуване в ОВ на Резолюцията от 10 декември 2020 г. относно участието на съоръжения за съхраняване на енергия в предоставянето на спомагателни услуги</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123</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C8.R3</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2322"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Влизане в сила на регулаторни мерки за интегриране на гъвкавостта и оптимизацията на потреблението.</w:t>
            </w:r>
          </w:p>
        </w:tc>
        <w:tc>
          <w:tcPr>
            <w:tcW w:w="1222"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pacing w:val="-8"/>
                <w:sz w:val="18"/>
                <w:szCs w:val="18"/>
              </w:rPr>
              <w:t>Разпоредби в законодателните и</w:t>
            </w:r>
            <w:r>
              <w:rPr>
                <w:rFonts w:ascii="Times New Roman" w:hAnsi="Times New Roman"/>
                <w:noProof/>
                <w:color w:val="000000"/>
                <w:sz w:val="18"/>
                <w:szCs w:val="18"/>
              </w:rPr>
              <w:t xml:space="preserve"> регулаторните мерки относно влизането в сила</w:t>
            </w:r>
          </w:p>
        </w:tc>
        <w:tc>
          <w:tcPr>
            <w:tcW w:w="851"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62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50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483"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6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2023</w:t>
            </w:r>
          </w:p>
        </w:tc>
        <w:tc>
          <w:tcPr>
            <w:tcW w:w="623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Разработване на регулаторна рамка за интегриране на гъвкавостта и оптимизацията на потреблението чрез следните действия: </w:t>
            </w:r>
            <w:r>
              <w:rPr>
                <w:rFonts w:ascii="Times New Roman" w:hAnsi="Times New Roman"/>
                <w:noProof/>
                <w:color w:val="000000"/>
                <w:sz w:val="18"/>
                <w:szCs w:val="18"/>
              </w:rPr>
              <w:br/>
              <w:t xml:space="preserve">а) Публикуване на резолюцията от 10 декември 2020 г. от </w:t>
            </w:r>
            <w:r>
              <w:rPr>
                <w:rFonts w:ascii="Times New Roman" w:hAnsi="Times New Roman"/>
                <w:i/>
                <w:noProof/>
                <w:color w:val="000000"/>
                <w:sz w:val="18"/>
                <w:szCs w:val="18"/>
              </w:rPr>
              <w:t>Comisión Nacional de los Mercados y la Competencia</w:t>
            </w:r>
            <w:r>
              <w:rPr>
                <w:rFonts w:ascii="Times New Roman" w:hAnsi="Times New Roman"/>
                <w:noProof/>
                <w:color w:val="000000"/>
                <w:sz w:val="18"/>
                <w:szCs w:val="18"/>
              </w:rPr>
              <w:t xml:space="preserve"> за адаптиране на някои оперативни процедури за участие в балансиращи услуги.</w:t>
            </w:r>
            <w:r>
              <w:rPr>
                <w:rFonts w:ascii="Times New Roman" w:hAnsi="Times New Roman"/>
                <w:noProof/>
                <w:color w:val="000000"/>
                <w:sz w:val="18"/>
                <w:szCs w:val="18"/>
              </w:rPr>
              <w:br/>
              <w:t>б) Приемане на законодателство за пълно транспониране на Директива 2019/944</w:t>
            </w:r>
            <w:r>
              <w:rPr>
                <w:rFonts w:ascii="Times New Roman" w:hAnsi="Times New Roman"/>
                <w:noProof/>
                <w:color w:val="000000"/>
                <w:sz w:val="18"/>
                <w:szCs w:val="18"/>
              </w:rPr>
              <w:br/>
              <w:t>в) Приемане на RDL23/2020 за създаване на статут на независим доставчик на агрегирани услуги</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124</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C8.R4</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2322"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Влизане в сила на мерки за насърчаване на регулаторните лаборатории за насърчаване на научните изследвания и иновациите в електроенергийния сектор.</w:t>
            </w:r>
          </w:p>
        </w:tc>
        <w:tc>
          <w:tcPr>
            <w:tcW w:w="1222"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Разпоредби на кралския указ за влизане в сила</w:t>
            </w:r>
          </w:p>
        </w:tc>
        <w:tc>
          <w:tcPr>
            <w:tcW w:w="851"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62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50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483"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T2</w:t>
            </w:r>
          </w:p>
        </w:tc>
        <w:tc>
          <w:tcPr>
            <w:tcW w:w="6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2022</w:t>
            </w:r>
          </w:p>
        </w:tc>
        <w:tc>
          <w:tcPr>
            <w:tcW w:w="623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Публикуване и влизане в сила на кралски указ относно развитието на регулаторните лаборатории, за да се даде възможност за разработване на нови пилотни проекти с цел насърчаване на научните изследвания и иновациите в електроенергийния сектор.</w:t>
            </w:r>
            <w:r>
              <w:rPr>
                <w:rFonts w:ascii="Times New Roman" w:hAnsi="Times New Roman"/>
                <w:noProof/>
                <w:color w:val="000000"/>
                <w:sz w:val="18"/>
                <w:szCs w:val="18"/>
              </w:rPr>
              <w:br/>
              <w:t>Освен това това осигурява двустранен регулаторен диалог между администрацията и регулаторния орган, който ускорява и улеснява преразглеждането на съществуващите разпоредби и ги адаптира към навлизането на нови участници на пазара, като насърчава създаването на технологични стартиращи предприятия, като им дава възможност да изпробват своите бизнес модели. Освен това така се осигурява двустранен регулаторен диалог между администрацията и регулаторния орган, който ускорява и улеснява преразглеждането на съществуващите разпоредби и ги адаптира към навлизането на нови участници на пазара, като насърчава създаването на технологични стартиращи предприятия, като им дава възможност да изпробват своите бизнес модели.</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125</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C8.I1</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w:t>
            </w:r>
          </w:p>
        </w:tc>
        <w:tc>
          <w:tcPr>
            <w:tcW w:w="2322"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Възлагане на иновативни проекти за съхранение</w:t>
            </w:r>
          </w:p>
        </w:tc>
        <w:tc>
          <w:tcPr>
            <w:tcW w:w="1222"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w:t>
            </w:r>
          </w:p>
        </w:tc>
        <w:tc>
          <w:tcPr>
            <w:tcW w:w="851"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Номер</w:t>
            </w:r>
          </w:p>
        </w:tc>
        <w:tc>
          <w:tcPr>
            <w:tcW w:w="62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0</w:t>
            </w:r>
          </w:p>
        </w:tc>
        <w:tc>
          <w:tcPr>
            <w:tcW w:w="50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5</w:t>
            </w:r>
          </w:p>
        </w:tc>
        <w:tc>
          <w:tcPr>
            <w:tcW w:w="483"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651"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2023</w:t>
            </w:r>
          </w:p>
        </w:tc>
        <w:tc>
          <w:tcPr>
            <w:tcW w:w="623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Най-малко пет възложени иновативни проекта за съхранение, еквивалентни на обща инсталирана мощност от поне 600 MW или еквивалентно общо енергоснабдяване (MWh).</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126</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C8.I1</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w:t>
            </w:r>
          </w:p>
        </w:tc>
        <w:tc>
          <w:tcPr>
            <w:tcW w:w="2322"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Действащи иновативни проекти за съхранение </w:t>
            </w:r>
          </w:p>
        </w:tc>
        <w:tc>
          <w:tcPr>
            <w:tcW w:w="1222"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w:t>
            </w:r>
          </w:p>
        </w:tc>
        <w:tc>
          <w:tcPr>
            <w:tcW w:w="851"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Номер</w:t>
            </w:r>
          </w:p>
        </w:tc>
        <w:tc>
          <w:tcPr>
            <w:tcW w:w="62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0</w:t>
            </w:r>
          </w:p>
        </w:tc>
        <w:tc>
          <w:tcPr>
            <w:tcW w:w="50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5</w:t>
            </w:r>
          </w:p>
        </w:tc>
        <w:tc>
          <w:tcPr>
            <w:tcW w:w="483"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T2</w:t>
            </w:r>
          </w:p>
        </w:tc>
        <w:tc>
          <w:tcPr>
            <w:tcW w:w="651"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2026</w:t>
            </w:r>
          </w:p>
        </w:tc>
        <w:tc>
          <w:tcPr>
            <w:tcW w:w="623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Функционират най-малко пет иновативни проекта за съхранение, еквивалентни на обща инсталирана мощност от поне 600 MW или еквивалентно общо енергоснабдяване (MWh).</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127</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C8.I2</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w:t>
            </w:r>
          </w:p>
        </w:tc>
        <w:tc>
          <w:tcPr>
            <w:tcW w:w="2322"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Иновативни проекти за цифровизация в областта на електроразпределението</w:t>
            </w:r>
          </w:p>
        </w:tc>
        <w:tc>
          <w:tcPr>
            <w:tcW w:w="1222"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w:t>
            </w:r>
          </w:p>
        </w:tc>
        <w:tc>
          <w:tcPr>
            <w:tcW w:w="851"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Номер</w:t>
            </w:r>
          </w:p>
        </w:tc>
        <w:tc>
          <w:tcPr>
            <w:tcW w:w="62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0</w:t>
            </w:r>
          </w:p>
        </w:tc>
        <w:tc>
          <w:tcPr>
            <w:tcW w:w="50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35</w:t>
            </w:r>
          </w:p>
        </w:tc>
        <w:tc>
          <w:tcPr>
            <w:tcW w:w="483"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651"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2023</w:t>
            </w:r>
          </w:p>
        </w:tc>
        <w:tc>
          <w:tcPr>
            <w:tcW w:w="623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Най-малко 35 иновативни проекта за цифровизация (включително автоматизация на мрежата), възложени на разпределителни дружества, в съответствие с характеристиките и определенията, посочени в циркулярно писмо № 6/2019 на </w:t>
            </w:r>
            <w:r>
              <w:rPr>
                <w:rFonts w:ascii="Times New Roman" w:hAnsi="Times New Roman"/>
                <w:i/>
                <w:noProof/>
                <w:color w:val="000000"/>
                <w:sz w:val="18"/>
                <w:szCs w:val="18"/>
              </w:rPr>
              <w:t>Comisión Nacional de los Mercados y la Competencia</w:t>
            </w:r>
            <w:r>
              <w:rPr>
                <w:rFonts w:ascii="Times New Roman" w:hAnsi="Times New Roman"/>
                <w:noProof/>
                <w:color w:val="000000"/>
                <w:sz w:val="18"/>
                <w:szCs w:val="18"/>
              </w:rPr>
              <w:t>.</w:t>
            </w:r>
            <w:r>
              <w:rPr>
                <w:rFonts w:ascii="Times New Roman" w:hAnsi="Times New Roman"/>
                <w:i/>
                <w:noProof/>
                <w:color w:val="000000"/>
                <w:sz w:val="18"/>
                <w:szCs w:val="18"/>
              </w:rPr>
              <w:t xml:space="preserve"> </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128</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C8.I3</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w:t>
            </w:r>
          </w:p>
        </w:tc>
        <w:tc>
          <w:tcPr>
            <w:tcW w:w="2322"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Проекти за насърчаване на нови бизнес модели за енергийния преход</w:t>
            </w:r>
          </w:p>
        </w:tc>
        <w:tc>
          <w:tcPr>
            <w:tcW w:w="1222"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w:t>
            </w:r>
          </w:p>
        </w:tc>
        <w:tc>
          <w:tcPr>
            <w:tcW w:w="851"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Номер</w:t>
            </w:r>
          </w:p>
        </w:tc>
        <w:tc>
          <w:tcPr>
            <w:tcW w:w="62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0</w:t>
            </w:r>
          </w:p>
        </w:tc>
        <w:tc>
          <w:tcPr>
            <w:tcW w:w="50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18</w:t>
            </w:r>
          </w:p>
        </w:tc>
        <w:tc>
          <w:tcPr>
            <w:tcW w:w="483"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651"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2023</w:t>
            </w:r>
          </w:p>
        </w:tc>
        <w:tc>
          <w:tcPr>
            <w:tcW w:w="623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Най-малко 18 одобрени проекта за насърчаване на нови бизнес модели за енергийния преход, включително интелигентно отчитане, съхранение, оптимизация на потреблението, услуги за гъвкавост и данни.</w:t>
            </w:r>
          </w:p>
        </w:tc>
      </w:tr>
    </w:tbl>
    <w:p>
      <w:pPr>
        <w:spacing w:before="120" w:after="120" w:line="240" w:lineRule="auto"/>
        <w:ind w:left="709"/>
        <w:jc w:val="both"/>
        <w:rPr>
          <w:rFonts w:ascii="Times New Roman" w:hAnsi="Times New Roman" w:cs="Times New Roman"/>
          <w:noProof/>
          <w:sz w:val="24"/>
        </w:rPr>
        <w:sectPr>
          <w:headerReference w:type="even" r:id="rId109"/>
          <w:headerReference w:type="default" r:id="rId110"/>
          <w:footerReference w:type="even" r:id="rId111"/>
          <w:footerReference w:type="default" r:id="rId112"/>
          <w:headerReference w:type="first" r:id="rId113"/>
          <w:footerReference w:type="first" r:id="rId114"/>
          <w:pgSz w:w="16839" w:h="11907" w:orient="landscape"/>
          <w:pgMar w:top="1417" w:right="1134" w:bottom="1417" w:left="1134" w:header="709" w:footer="709" w:gutter="0"/>
          <w:cols w:space="720"/>
          <w:docGrid w:linePitch="360"/>
        </w:sectPr>
      </w:pPr>
    </w:p>
    <w:p>
      <w:pPr>
        <w:pStyle w:val="Heading1"/>
        <w:rPr>
          <w:noProof/>
        </w:rPr>
      </w:pPr>
      <w:r>
        <w:rPr>
          <w:noProof/>
        </w:rPr>
        <w:t>И. КОМПОНЕНТ 9: Възобновяем водород</w:t>
      </w:r>
    </w:p>
    <w:p>
      <w:pPr>
        <w:spacing w:before="100" w:beforeAutospacing="1" w:after="12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Националният план на Испания в областта на енергетиката и климата за периода 2021—2030 г. има за цел да намали емисиите на парникови газове с 23 % в сравнение с 1990 г. В този контекст основната цел на компонент 9 от испанския план за възстановяване и устойчивост е да се разработят водородни технологии за енергия от възобновяеми източници:</w:t>
      </w:r>
    </w:p>
    <w:p>
      <w:pPr>
        <w:numPr>
          <w:ilvl w:val="0"/>
          <w:numId w:val="59"/>
        </w:numPr>
        <w:spacing w:before="120" w:after="100" w:afterAutospacing="1" w:line="240" w:lineRule="auto"/>
        <w:ind w:left="714" w:hanging="357"/>
        <w:jc w:val="both"/>
        <w:rPr>
          <w:rFonts w:ascii="Times New Roman" w:eastAsia="Times New Roman" w:hAnsi="Times New Roman" w:cs="Times New Roman"/>
          <w:noProof/>
          <w:color w:val="000000"/>
          <w:sz w:val="24"/>
          <w:szCs w:val="24"/>
        </w:rPr>
      </w:pPr>
      <w:r>
        <w:rPr>
          <w:rFonts w:ascii="Times New Roman" w:hAnsi="Times New Roman"/>
          <w:noProof/>
          <w:sz w:val="24"/>
          <w:szCs w:val="24"/>
        </w:rPr>
        <w:t>като средство за съхраняване на енергия за справяне с разликите между предлагането и търсенето на електроенергия, като се предоставя гъвкавост на електроенергийната система.</w:t>
      </w:r>
    </w:p>
    <w:p>
      <w:pPr>
        <w:numPr>
          <w:ilvl w:val="0"/>
          <w:numId w:val="59"/>
        </w:numPr>
        <w:spacing w:before="100" w:beforeAutospacing="1" w:after="100" w:afterAutospacing="1" w:line="240" w:lineRule="auto"/>
        <w:jc w:val="both"/>
        <w:rPr>
          <w:rFonts w:ascii="Times New Roman" w:eastAsia="Times New Roman" w:hAnsi="Times New Roman" w:cs="Times New Roman"/>
          <w:noProof/>
          <w:color w:val="000000"/>
          <w:sz w:val="24"/>
          <w:szCs w:val="24"/>
        </w:rPr>
      </w:pPr>
      <w:r>
        <w:rPr>
          <w:rFonts w:ascii="Times New Roman" w:hAnsi="Times New Roman"/>
          <w:noProof/>
          <w:sz w:val="24"/>
          <w:szCs w:val="24"/>
        </w:rPr>
        <w:t>чрез насърчаване на тяхното развитие и консолидация по промишлената верига за създаване на стойност, като се има предвид, че тези технологии понастоящем не са готови да функционират при пазарни условия ;</w:t>
      </w:r>
    </w:p>
    <w:p>
      <w:pPr>
        <w:numPr>
          <w:ilvl w:val="0"/>
          <w:numId w:val="59"/>
        </w:numPr>
        <w:spacing w:before="100" w:beforeAutospacing="1" w:after="100" w:afterAutospacing="1"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чрез подкрепа за интегрирането им в крайните употреби, включително за заместване на водорода на основата на изкопаеми горива в промишлеността; и</w:t>
      </w:r>
    </w:p>
    <w:p>
      <w:pPr>
        <w:numPr>
          <w:ilvl w:val="0"/>
          <w:numId w:val="59"/>
        </w:numPr>
        <w:spacing w:before="100" w:beforeAutospacing="1" w:after="100" w:afterAutospacing="1"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чрез развиване на „зелени“ умения.</w:t>
      </w:r>
    </w:p>
    <w:p>
      <w:pPr>
        <w:spacing w:before="120" w:after="120" w:line="240" w:lineRule="auto"/>
        <w:jc w:val="both"/>
        <w:rPr>
          <w:rFonts w:ascii="Times New Roman" w:eastAsia="Times New Roman" w:hAnsi="Times New Roman" w:cs="Times New Roman"/>
          <w:noProof/>
          <w:color w:val="000000"/>
          <w:spacing w:val="-4"/>
          <w:sz w:val="24"/>
          <w:szCs w:val="24"/>
        </w:rPr>
      </w:pPr>
      <w:r>
        <w:rPr>
          <w:rFonts w:ascii="Times New Roman" w:hAnsi="Times New Roman"/>
          <w:noProof/>
          <w:color w:val="000000"/>
          <w:spacing w:val="-4"/>
          <w:sz w:val="24"/>
          <w:szCs w:val="24"/>
        </w:rPr>
        <w:t>Този компонент на испанския план за възстановяване и устойчивост е насочен към специфичните за всяка държава препоръки за насърчаване на инвестициите в иновации и енергийна ефективност (специфична за държавата препоръка № 3 от 2019 г.) и за насърчаване на екологичния преход (специфична за държавата препоръка № 3 от 2020 г.).</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Компонентът е част от стратегията за възобновяема енергия, залегнала в основата на компоненти 1 и 6 (използване на водород за целите на мобилността и транспорта), компонент 7 (производство на енергия от възобновяеми източници) и компонент 8 (съхранение и интелигентни мрежи) на испанския план за възстановяване и устойчивост.</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Очаква се, че нито една мярка в този компонент не вреди в значителна степен на екологичните цели по смисъла на член 17 от Регламент (ЕС) 2020/852, като се вземат предвид описанието на мерките и стъпките за смекчаване на последиците, определени в плана за възстановяване и устойчивост в съответствие с Техническите насоки на DNSH (2021/C58/01).</w:t>
      </w:r>
    </w:p>
    <w:p>
      <w:pPr>
        <w:spacing w:before="120" w:after="120" w:line="240" w:lineRule="auto"/>
        <w:jc w:val="both"/>
        <w:rPr>
          <w:rFonts w:ascii="Times New Roman" w:hAnsi="Times New Roman" w:cs="Times New Roman"/>
          <w:b/>
          <w:i/>
          <w:noProof/>
          <w:color w:val="4F81BD" w:themeColor="accent1"/>
          <w:sz w:val="24"/>
        </w:rPr>
      </w:pPr>
      <w:r>
        <w:rPr>
          <w:rFonts w:ascii="Times New Roman" w:hAnsi="Times New Roman"/>
          <w:b/>
          <w:bCs/>
          <w:noProof/>
          <w:sz w:val="24"/>
          <w:u w:val="single"/>
        </w:rPr>
        <w:t xml:space="preserve">И.1. </w:t>
      </w:r>
      <w:r>
        <w:rPr>
          <w:rFonts w:ascii="Times New Roman" w:hAnsi="Times New Roman"/>
          <w:b/>
          <w:noProof/>
          <w:sz w:val="24"/>
          <w:u w:val="single"/>
        </w:rPr>
        <w:tab/>
      </w:r>
      <w:r>
        <w:rPr>
          <w:rFonts w:ascii="Times New Roman" w:hAnsi="Times New Roman"/>
          <w:b/>
          <w:bCs/>
          <w:noProof/>
          <w:sz w:val="24"/>
          <w:u w:val="single"/>
        </w:rPr>
        <w:t>Описание на реформите и инвестициите за безвъзмездна финансова подкрепа</w:t>
      </w:r>
    </w:p>
    <w:p>
      <w:pPr>
        <w:spacing w:before="120" w:after="120" w:line="240" w:lineRule="auto"/>
        <w:jc w:val="both"/>
        <w:rPr>
          <w:rFonts w:ascii="Times New Roman" w:hAnsi="Times New Roman" w:cs="Times New Roman"/>
          <w:noProof/>
          <w:sz w:val="24"/>
        </w:rPr>
      </w:pPr>
      <w:r>
        <w:rPr>
          <w:rFonts w:ascii="Times New Roman" w:hAnsi="Times New Roman"/>
          <w:noProof/>
          <w:sz w:val="24"/>
          <w:u w:val="single"/>
        </w:rPr>
        <w:t>Реформа 1 (C9.R1) – Пътна карта за водорода</w:t>
      </w:r>
    </w:p>
    <w:p>
      <w:pPr>
        <w:spacing w:before="120" w:after="120" w:line="240" w:lineRule="auto"/>
        <w:jc w:val="both"/>
        <w:rPr>
          <w:rFonts w:ascii="Times New Roman" w:hAnsi="Times New Roman" w:cs="Times New Roman"/>
          <w:noProof/>
          <w:sz w:val="24"/>
        </w:rPr>
      </w:pPr>
      <w:r>
        <w:rPr>
          <w:rFonts w:ascii="Times New Roman" w:hAnsi="Times New Roman"/>
          <w:noProof/>
          <w:sz w:val="24"/>
        </w:rPr>
        <w:t>Тази мярка ще осигури рамка за разработване на водород от възобновяеми източници в Испания („пътна карта за водорода“). За тази цел в него се определят целите, които трябва да бъдат постигнати до 2030 г. по отношение на инсталирания капацитет по сектори (промишленост и транспорт). Пътната карта за водорода беше одобрена от Министерския съвет през октомври 2020 г. С мярката също така се установяват конкретни средства в подкрепа на изпълнението на пътната карта, като се гарантира, че водородните електролизьори се снабдяват с енергия от възобновяеми източници. Съответните регулаторни действия включват i) създаване на регулаторен инструмент, който включва назначаването и управлението на националните органи, издаващи гаранции за произход на газове от възобновяеми източници, включително водород от възобновяеми източници; и ii) регулаторен механизъм, определящ начина, по който се проверява произходът на водорода от възобновяеми източници.</w:t>
      </w:r>
    </w:p>
    <w:p>
      <w:pPr>
        <w:spacing w:before="120" w:after="120" w:line="240" w:lineRule="auto"/>
        <w:jc w:val="both"/>
        <w:rPr>
          <w:rFonts w:ascii="Times New Roman" w:hAnsi="Times New Roman" w:cs="Times New Roman"/>
          <w:noProof/>
          <w:color w:val="000000" w:themeColor="text1"/>
          <w:sz w:val="24"/>
        </w:rPr>
      </w:pPr>
      <w:r>
        <w:rPr>
          <w:rFonts w:ascii="Times New Roman" w:hAnsi="Times New Roman"/>
          <w:noProof/>
          <w:sz w:val="24"/>
        </w:rPr>
        <w:t>Тази реформа приключва до 30 юни 2022 г.</w:t>
      </w:r>
    </w:p>
    <w:p>
      <w:pPr>
        <w:spacing w:before="120" w:after="120" w:line="240" w:lineRule="auto"/>
        <w:jc w:val="both"/>
        <w:rPr>
          <w:rFonts w:ascii="Times New Roman" w:hAnsi="Times New Roman" w:cs="Times New Roman"/>
          <w:noProof/>
          <w:sz w:val="24"/>
        </w:rPr>
      </w:pPr>
      <w:r>
        <w:rPr>
          <w:rFonts w:ascii="Times New Roman" w:hAnsi="Times New Roman"/>
          <w:noProof/>
          <w:sz w:val="24"/>
          <w:u w:val="single"/>
        </w:rPr>
        <w:t>Инвестиция 1 (C9.I1) – Възобновяем водород, проект на държава</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Тази мярка има за цел да допринесе за изпълнението на пътната карта за водорода в четири направления на действие.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Първата е да се стимулират знанията и иновационната верига за създаване на стойност в Испания, по-специално по отношение на МСП.</w:t>
      </w:r>
      <w:r>
        <w:rPr>
          <w:rFonts w:ascii="Times New Roman" w:hAnsi="Times New Roman"/>
          <w:noProof/>
          <w:color w:val="000000"/>
          <w:sz w:val="24"/>
          <w:szCs w:val="24"/>
        </w:rPr>
        <w:t xml:space="preserve"> </w:t>
      </w:r>
      <w:r>
        <w:rPr>
          <w:rFonts w:ascii="Times New Roman" w:hAnsi="Times New Roman"/>
          <w:noProof/>
          <w:sz w:val="24"/>
          <w:szCs w:val="24"/>
        </w:rPr>
        <w:t>Поради ранното ниво на технологична готовност на тази технология, тази мярка предвижда необходимостта от подпомагане на най-малко десет МСП за укрепване и укрепване на съществуващата испанска верига за създаване на стойност чрез засилване на една или няколко от следните дейности: производствен капацитет, умения, конкурентоспособност, трансфер на знания и технологии и/или международно измерение. Мярката е насочена също така към пет технологични разработки или прототипи (като електролизьори, компресори, съдове за съхранение, горивни клетки и транспортни системи на основата на H2), включително „първи по рода си“, за да се подкрепи валидирането на нови усъвършенствани проекти или прототипи, свързани с производството, логистиката на разпространението или потреблението на водород. Освен това мярката включва най-малко десет интервенции, насочени към подобряване на съоръженията за изпитване или въвеждане на нови производствени линии на ключови базови технологии или системи в рамките на веригата за доставки на водород, като например електролизьори или горивни клетки. Те: I) подобряване на съоръженията за научноизследователска и развойна дейност (R &amp; amp);D&amp;I тестови съоръжения или лаборатории и/или свързаното с тях оборудване; или ii) подобряване на съоръженията и/или набавянето на ново оборудване (като металообработващи машини) за производство на водородни системи, оборудване или компоненти, свързани с водородни и горивни елементи.</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Втората линия на действие има за цел да се създадат два водородни клъстера от възобновяеми източници, включващи широкомащабно производство, преработка и потребление. Целта на поне един от тези клъстери е да се интегрира електролизьор с голям капацитет от възобновяеми източници, който директно доставя водород на местните промишлени потребители. Електролизьорът трябва да се снабдява с електроенергия от възобновяеми източници. Полученият в резултат на това водород трябва да бъде интегриран в промишлените процеси и веригите на доставки на предприятията (включително адаптиране и изместване на бизнес моделите от потреблението на водород на основата на изкопаеми горива), за да се заменят най-малко 5 % от годишното им потребление на водород на базата на изкопаеми горива. Общият производствен капацитет на всички електролизьори трябва да бъде най-малко 500 MW. </w:t>
      </w:r>
    </w:p>
    <w:p>
      <w:pPr>
        <w:spacing w:before="120" w:after="120" w:line="240" w:lineRule="auto"/>
        <w:jc w:val="both"/>
        <w:rPr>
          <w:rFonts w:ascii="Times New Roman" w:hAnsi="Times New Roman" w:cs="Times New Roman"/>
          <w:noProof/>
          <w:color w:val="000000" w:themeColor="text1"/>
          <w:sz w:val="24"/>
        </w:rPr>
      </w:pPr>
      <w:r>
        <w:rPr>
          <w:rFonts w:ascii="Times New Roman" w:hAnsi="Times New Roman"/>
          <w:noProof/>
          <w:sz w:val="24"/>
        </w:rPr>
        <w:t>Третата линия на действие предвижда подкрепа за внедряването на водород в редица (поне десет) други пионерски проекти с по-малък размер от клъстера.</w:t>
      </w:r>
      <w:r>
        <w:rPr>
          <w:rFonts w:ascii="Times New Roman" w:hAnsi="Times New Roman"/>
          <w:noProof/>
          <w:color w:val="000000" w:themeColor="text1"/>
          <w:sz w:val="24"/>
        </w:rPr>
        <w:t xml:space="preserve"> </w:t>
      </w:r>
      <w:r>
        <w:rPr>
          <w:rFonts w:ascii="Times New Roman" w:hAnsi="Times New Roman"/>
          <w:noProof/>
          <w:sz w:val="24"/>
        </w:rPr>
        <w:t>Те въвеждат водород от възобновяеми източници отвъд един-единствен промишлен център към изолирани енергийни системи, които позволяват интегрирането на водород от възобновяеми източници в области като транспорта .</w:t>
      </w:r>
      <w:r>
        <w:rPr>
          <w:rFonts w:ascii="Times New Roman" w:hAnsi="Times New Roman"/>
          <w:noProof/>
          <w:color w:val="000000" w:themeColor="text1"/>
          <w:sz w:val="24"/>
        </w:rPr>
        <w:t xml:space="preserve"> Очаква се тези интервенции да обхванат производството, разпространението и потреблението на водород от възобновяеми източници, като по този начин се разшири покритието в различни сектори и части от територията на Испания.</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И накрая, мярката има за цел да насърчи използването на водород като част от по-широка стратегия на ЕС за разработване на верига за създаване на стойност в Съюза . В резултат на това някои от дружествата, подкрепяни чрез мярката, могат да станат част от планирана ВПОИ за водород, заедно с дружества от други държави членки, като разчитат на подходяща рамка за сътрудничество в рамките на Съюза за интегриране на националните вериги за създаване на стойност с цел повишаване на конкурентоспособността.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Очаква се тази мярка да не навреди значително на екологичните цели по смисъла на член 17 от Регламент (ЕС) 2020/852, като се вземат предвид описанието на мярката и смекчаващите стъпки, определени в плана за възстановяване и устойчивост в съответствие с Техническите насоки за спазването на принципа за „ненанасяне на значителни вреди“ (2021/C58/01). По-специално, интегрирането на водород от възобновяеми източници трябва да насърчава електрифицирането на промишлените процеси.</w:t>
      </w:r>
    </w:p>
    <w:p>
      <w:pPr>
        <w:spacing w:before="120" w:after="120" w:line="240" w:lineRule="auto"/>
        <w:jc w:val="both"/>
        <w:rPr>
          <w:rFonts w:ascii="Times New Roman" w:hAnsi="Times New Roman" w:cs="Times New Roman"/>
          <w:noProof/>
          <w:sz w:val="24"/>
        </w:rPr>
      </w:pPr>
      <w:r>
        <w:rPr>
          <w:rFonts w:ascii="Times New Roman" w:hAnsi="Times New Roman"/>
          <w:noProof/>
          <w:sz w:val="24"/>
        </w:rPr>
        <w:t>Действията по тази инвестиция приключват до 30 юни 2026 г.</w:t>
      </w:r>
    </w:p>
    <w:p>
      <w:pPr>
        <w:spacing w:before="120" w:after="120" w:line="240" w:lineRule="auto"/>
        <w:jc w:val="both"/>
        <w:rPr>
          <w:rFonts w:ascii="Times New Roman" w:hAnsi="Times New Roman" w:cs="Times New Roman"/>
          <w:b/>
          <w:bCs/>
          <w:noProof/>
          <w:sz w:val="24"/>
          <w:u w:val="single"/>
        </w:rPr>
      </w:pPr>
      <w:r>
        <w:rPr>
          <w:rFonts w:ascii="Times New Roman" w:hAnsi="Times New Roman"/>
          <w:b/>
          <w:bCs/>
          <w:noProof/>
          <w:sz w:val="24"/>
          <w:u w:val="single"/>
        </w:rPr>
        <w:t xml:space="preserve">И.2. </w:t>
      </w:r>
      <w:r>
        <w:rPr>
          <w:rFonts w:ascii="Times New Roman" w:hAnsi="Times New Roman"/>
          <w:b/>
          <w:noProof/>
          <w:sz w:val="24"/>
          <w:u w:val="single"/>
        </w:rPr>
        <w:tab/>
      </w:r>
      <w:r>
        <w:rPr>
          <w:rFonts w:ascii="Times New Roman" w:hAnsi="Times New Roman"/>
          <w:b/>
          <w:bCs/>
          <w:noProof/>
          <w:sz w:val="24"/>
          <w:u w:val="single"/>
        </w:rPr>
        <w:t>Ключови етапи, цели, показатели и график за мониторинг и изпълнение на безвъзмездната финансова подкрепа</w:t>
      </w:r>
    </w:p>
    <w:p>
      <w:pPr>
        <w:spacing w:before="120" w:after="120" w:line="240" w:lineRule="auto"/>
        <w:jc w:val="both"/>
        <w:rPr>
          <w:rFonts w:ascii="Times New Roman" w:hAnsi="Times New Roman" w:cs="Times New Roman"/>
          <w:noProof/>
          <w:color w:val="1F497D"/>
        </w:rPr>
      </w:pPr>
      <w:r>
        <w:rPr>
          <w:rFonts w:ascii="Times New Roman" w:hAnsi="Times New Roman"/>
          <w:i/>
          <w:iCs/>
          <w:noProof/>
          <w:color w:val="000000"/>
          <w:sz w:val="24"/>
        </w:rPr>
        <w:t>Вж. таблицата по-долу.</w:t>
      </w:r>
      <w:r>
        <w:rPr>
          <w:rFonts w:ascii="Times New Roman" w:hAnsi="Times New Roman"/>
          <w:noProof/>
          <w:color w:val="1F497D"/>
          <w:sz w:val="24"/>
        </w:rPr>
        <w:t xml:space="preserve"> </w:t>
      </w:r>
      <w:r>
        <w:rPr>
          <w:rFonts w:ascii="Times New Roman" w:hAnsi="Times New Roman"/>
          <w:i/>
          <w:iCs/>
          <w:noProof/>
          <w:color w:val="000000"/>
          <w:sz w:val="24"/>
        </w:rPr>
        <w:t>Датата на базовата линия за всички показатели е 1 февруари 2020 г., освен ако не е посочено друго в описанието на действието. Сумите в таблицата не включват ДДС.</w:t>
      </w:r>
    </w:p>
    <w:p>
      <w:pPr>
        <w:spacing w:before="120" w:after="120" w:line="240" w:lineRule="auto"/>
        <w:ind w:left="709"/>
        <w:jc w:val="both"/>
        <w:rPr>
          <w:rFonts w:ascii="Times New Roman" w:hAnsi="Times New Roman" w:cs="Times New Roman"/>
          <w:noProof/>
          <w:sz w:val="24"/>
          <w:lang w:val="en-IE"/>
        </w:rPr>
        <w:sectPr>
          <w:headerReference w:type="even" r:id="rId115"/>
          <w:headerReference w:type="default" r:id="rId116"/>
          <w:footerReference w:type="even" r:id="rId117"/>
          <w:footerReference w:type="default" r:id="rId118"/>
          <w:headerReference w:type="first" r:id="rId119"/>
          <w:footerReference w:type="first" r:id="rId120"/>
          <w:pgSz w:w="11907" w:h="16839"/>
          <w:pgMar w:top="1134" w:right="1417" w:bottom="1134" w:left="1417" w:header="709" w:footer="709" w:gutter="0"/>
          <w:cols w:space="720"/>
          <w:docGrid w:linePitch="360"/>
        </w:sectPr>
      </w:pPr>
    </w:p>
    <w:tbl>
      <w:tblPr>
        <w:tblW w:w="15310"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09"/>
        <w:gridCol w:w="851"/>
        <w:gridCol w:w="850"/>
        <w:gridCol w:w="1560"/>
        <w:gridCol w:w="1275"/>
        <w:gridCol w:w="747"/>
        <w:gridCol w:w="671"/>
        <w:gridCol w:w="567"/>
        <w:gridCol w:w="292"/>
        <w:gridCol w:w="700"/>
        <w:gridCol w:w="7088"/>
      </w:tblGrid>
      <w:tr>
        <w:trPr>
          <w:trHeight w:val="309"/>
          <w:tblHeader/>
        </w:trPr>
        <w:tc>
          <w:tcPr>
            <w:tcW w:w="709"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sz w:val="18"/>
                <w:szCs w:val="18"/>
              </w:rPr>
            </w:pPr>
            <w:r>
              <w:rPr>
                <w:rFonts w:ascii="Times New Roman" w:hAnsi="Times New Roman"/>
                <w:b/>
                <w:bCs/>
                <w:noProof/>
                <w:color w:val="000000"/>
                <w:sz w:val="18"/>
                <w:szCs w:val="18"/>
              </w:rPr>
              <w:t>Номер</w:t>
            </w:r>
          </w:p>
        </w:tc>
        <w:tc>
          <w:tcPr>
            <w:tcW w:w="851"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sz w:val="18"/>
                <w:szCs w:val="18"/>
              </w:rPr>
            </w:pPr>
            <w:r>
              <w:rPr>
                <w:rFonts w:ascii="Times New Roman" w:hAnsi="Times New Roman"/>
                <w:b/>
                <w:bCs/>
                <w:noProof/>
                <w:color w:val="000000"/>
                <w:sz w:val="18"/>
                <w:szCs w:val="18"/>
              </w:rPr>
              <w:t>Мярка</w:t>
            </w:r>
          </w:p>
        </w:tc>
        <w:tc>
          <w:tcPr>
            <w:tcW w:w="850"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sz w:val="18"/>
                <w:szCs w:val="18"/>
              </w:rPr>
            </w:pPr>
            <w:r>
              <w:rPr>
                <w:rFonts w:ascii="Times New Roman" w:hAnsi="Times New Roman"/>
                <w:b/>
                <w:bCs/>
                <w:noProof/>
                <w:color w:val="000000"/>
                <w:sz w:val="18"/>
                <w:szCs w:val="18"/>
              </w:rPr>
              <w:t>Ключов етап /Цел</w:t>
            </w:r>
          </w:p>
        </w:tc>
        <w:tc>
          <w:tcPr>
            <w:tcW w:w="1560"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sz w:val="18"/>
                <w:szCs w:val="18"/>
              </w:rPr>
            </w:pPr>
            <w:r>
              <w:rPr>
                <w:rFonts w:ascii="Times New Roman" w:hAnsi="Times New Roman"/>
                <w:b/>
                <w:bCs/>
                <w:noProof/>
                <w:color w:val="000000"/>
                <w:sz w:val="18"/>
                <w:szCs w:val="18"/>
              </w:rPr>
              <w:t>Наименование</w:t>
            </w:r>
          </w:p>
        </w:tc>
        <w:tc>
          <w:tcPr>
            <w:tcW w:w="1275"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sz w:val="18"/>
                <w:szCs w:val="18"/>
              </w:rPr>
            </w:pPr>
            <w:r>
              <w:rPr>
                <w:rFonts w:ascii="Times New Roman" w:hAnsi="Times New Roman"/>
                <w:b/>
                <w:bCs/>
                <w:noProof/>
                <w:color w:val="000000"/>
                <w:sz w:val="18"/>
                <w:szCs w:val="18"/>
              </w:rPr>
              <w:t>Качествени показатели за ключовите етапи</w:t>
            </w:r>
          </w:p>
        </w:tc>
        <w:tc>
          <w:tcPr>
            <w:tcW w:w="1985" w:type="dxa"/>
            <w:gridSpan w:val="3"/>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sz w:val="18"/>
                <w:szCs w:val="18"/>
              </w:rPr>
            </w:pPr>
            <w:r>
              <w:rPr>
                <w:rFonts w:ascii="Times New Roman" w:hAnsi="Times New Roman"/>
                <w:b/>
                <w:bCs/>
                <w:noProof/>
                <w:color w:val="000000"/>
                <w:sz w:val="18"/>
                <w:szCs w:val="18"/>
              </w:rPr>
              <w:t>Количествени показатели за целите</w:t>
            </w:r>
          </w:p>
        </w:tc>
        <w:tc>
          <w:tcPr>
            <w:tcW w:w="992" w:type="dxa"/>
            <w:gridSpan w:val="2"/>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sz w:val="18"/>
                <w:szCs w:val="18"/>
              </w:rPr>
            </w:pPr>
            <w:r>
              <w:rPr>
                <w:rFonts w:ascii="Times New Roman" w:hAnsi="Times New Roman"/>
                <w:b/>
                <w:bCs/>
                <w:noProof/>
                <w:color w:val="000000"/>
                <w:sz w:val="18"/>
                <w:szCs w:val="18"/>
              </w:rPr>
              <w:t>Време</w:t>
            </w:r>
          </w:p>
        </w:tc>
        <w:tc>
          <w:tcPr>
            <w:tcW w:w="7088"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sz w:val="18"/>
                <w:szCs w:val="18"/>
              </w:rPr>
            </w:pPr>
            <w:r>
              <w:rPr>
                <w:rFonts w:ascii="Times New Roman" w:hAnsi="Times New Roman"/>
                <w:b/>
                <w:bCs/>
                <w:noProof/>
                <w:sz w:val="18"/>
                <w:szCs w:val="18"/>
              </w:rPr>
              <w:t>Описание на всеки ключов етап и всяка цел</w:t>
            </w:r>
          </w:p>
        </w:tc>
      </w:tr>
      <w:tr>
        <w:trPr>
          <w:trHeight w:val="309"/>
          <w:tblHeader/>
        </w:trPr>
        <w:tc>
          <w:tcPr>
            <w:tcW w:w="709"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851"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850"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1560" w:type="dxa"/>
            <w:tcBorders>
              <w:top w:val="nil"/>
            </w:tcBorders>
            <w:shd w:val="clear" w:color="auto" w:fill="C6D9F1" w:themeFill="text2" w:themeFillTint="33"/>
            <w:noWrap/>
          </w:tcPr>
          <w:p>
            <w:pPr>
              <w:spacing w:after="0" w:line="240" w:lineRule="auto"/>
              <w:rPr>
                <w:rFonts w:ascii="Times New Roman" w:hAnsi="Times New Roman" w:cs="Times New Roman"/>
                <w:b/>
                <w:noProof/>
                <w:color w:val="000000"/>
                <w:sz w:val="18"/>
                <w:szCs w:val="18"/>
              </w:rPr>
            </w:pPr>
          </w:p>
        </w:tc>
        <w:tc>
          <w:tcPr>
            <w:tcW w:w="1275"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747" w:type="dxa"/>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sz w:val="18"/>
                <w:szCs w:val="18"/>
              </w:rPr>
            </w:pPr>
            <w:r>
              <w:rPr>
                <w:rFonts w:ascii="Times New Roman" w:hAnsi="Times New Roman"/>
                <w:b/>
                <w:bCs/>
                <w:noProof/>
                <w:color w:val="000000"/>
                <w:sz w:val="18"/>
                <w:szCs w:val="18"/>
              </w:rPr>
              <w:t>Мерна единица</w:t>
            </w:r>
          </w:p>
        </w:tc>
        <w:tc>
          <w:tcPr>
            <w:tcW w:w="671" w:type="dxa"/>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sz w:val="18"/>
                <w:szCs w:val="18"/>
              </w:rPr>
            </w:pPr>
            <w:r>
              <w:rPr>
                <w:rFonts w:ascii="Times New Roman" w:hAnsi="Times New Roman"/>
                <w:b/>
                <w:bCs/>
                <w:noProof/>
                <w:color w:val="000000"/>
                <w:sz w:val="18"/>
                <w:szCs w:val="18"/>
              </w:rPr>
              <w:t>Базова линия</w:t>
            </w:r>
          </w:p>
        </w:tc>
        <w:tc>
          <w:tcPr>
            <w:tcW w:w="567" w:type="dxa"/>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sz w:val="18"/>
                <w:szCs w:val="18"/>
              </w:rPr>
            </w:pPr>
            <w:r>
              <w:rPr>
                <w:rFonts w:ascii="Times New Roman" w:hAnsi="Times New Roman"/>
                <w:b/>
                <w:bCs/>
                <w:noProof/>
                <w:color w:val="000000"/>
                <w:sz w:val="18"/>
                <w:szCs w:val="18"/>
              </w:rPr>
              <w:t>Цел</w:t>
            </w:r>
          </w:p>
        </w:tc>
        <w:tc>
          <w:tcPr>
            <w:tcW w:w="292" w:type="dxa"/>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sz w:val="18"/>
                <w:szCs w:val="18"/>
              </w:rPr>
            </w:pPr>
            <w:r>
              <w:rPr>
                <w:rFonts w:ascii="Times New Roman" w:hAnsi="Times New Roman"/>
                <w:b/>
                <w:bCs/>
                <w:noProof/>
                <w:color w:val="000000"/>
                <w:sz w:val="18"/>
                <w:szCs w:val="18"/>
              </w:rPr>
              <w:t>T</w:t>
            </w:r>
          </w:p>
        </w:tc>
        <w:tc>
          <w:tcPr>
            <w:tcW w:w="700" w:type="dxa"/>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sz w:val="18"/>
                <w:szCs w:val="18"/>
              </w:rPr>
            </w:pPr>
            <w:r>
              <w:rPr>
                <w:rFonts w:ascii="Times New Roman" w:hAnsi="Times New Roman"/>
                <w:b/>
                <w:bCs/>
                <w:noProof/>
                <w:color w:val="000000"/>
                <w:sz w:val="18"/>
                <w:szCs w:val="18"/>
              </w:rPr>
              <w:t>Година</w:t>
            </w:r>
          </w:p>
        </w:tc>
        <w:tc>
          <w:tcPr>
            <w:tcW w:w="7088" w:type="dxa"/>
            <w:tcBorders>
              <w:top w:val="nil"/>
            </w:tcBorders>
            <w:shd w:val="clear" w:color="auto" w:fill="C6D9F1" w:themeFill="text2" w:themeFillTint="33"/>
            <w:noWrap/>
          </w:tcPr>
          <w:p>
            <w:pPr>
              <w:spacing w:after="0" w:line="240" w:lineRule="auto"/>
              <w:rPr>
                <w:rFonts w:ascii="Times New Roman" w:hAnsi="Times New Roman" w:cs="Times New Roman"/>
                <w:b/>
                <w:noProof/>
                <w:color w:val="000000"/>
                <w:sz w:val="18"/>
                <w:szCs w:val="18"/>
                <w:lang w:val="en-IE"/>
              </w:rPr>
            </w:pP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129</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C9.R1</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1560"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Пътна карта за водорода </w:t>
            </w:r>
          </w:p>
        </w:tc>
        <w:tc>
          <w:tcPr>
            <w:tcW w:w="127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Одобрение от Министерския съвет</w:t>
            </w:r>
          </w:p>
        </w:tc>
        <w:tc>
          <w:tcPr>
            <w:tcW w:w="74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671"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292"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70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2020</w:t>
            </w:r>
          </w:p>
        </w:tc>
        <w:tc>
          <w:tcPr>
            <w:tcW w:w="7088" w:type="dxa"/>
            <w:shd w:val="clear" w:color="auto" w:fill="C6EFCE"/>
            <w:noWrap/>
          </w:tcPr>
          <w:p>
            <w:pPr>
              <w:spacing w:after="0" w:line="240" w:lineRule="auto"/>
              <w:jc w:val="both"/>
              <w:rPr>
                <w:rFonts w:ascii="Times New Roman" w:eastAsia="Times New Roman" w:hAnsi="Times New Roman" w:cs="Times New Roman"/>
                <w:noProof/>
                <w:sz w:val="18"/>
                <w:szCs w:val="18"/>
              </w:rPr>
            </w:pPr>
            <w:r>
              <w:rPr>
                <w:rFonts w:ascii="Times New Roman" w:hAnsi="Times New Roman"/>
                <w:noProof/>
                <w:color w:val="000000"/>
                <w:sz w:val="18"/>
                <w:szCs w:val="18"/>
              </w:rPr>
              <w:t>Одобряване на пътната карта за водорода от Министерския съвет. Пътната карта за водорода определя насоките, определени от Испания, за развитието на сектора на водорода от възобновяеми източници. За тази цел в него се определят целите, които трябва да бъдат постигнати по отношение на инсталирания капацитет, промишлеността и мобилността до 2030 г.</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130</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C9.R1</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1560"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Влизане в сила на Регламента за създаване на гаранции за произход на отпадни газове от възобновяеми източници</w:t>
            </w:r>
          </w:p>
        </w:tc>
        <w:tc>
          <w:tcPr>
            <w:tcW w:w="127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Разпоредба в регламента, в която се посочва влизането в сила на регламента</w:t>
            </w:r>
          </w:p>
        </w:tc>
        <w:tc>
          <w:tcPr>
            <w:tcW w:w="74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671"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292"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T2</w:t>
            </w:r>
          </w:p>
        </w:tc>
        <w:tc>
          <w:tcPr>
            <w:tcW w:w="70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2022</w:t>
            </w:r>
          </w:p>
        </w:tc>
        <w:tc>
          <w:tcPr>
            <w:tcW w:w="7088" w:type="dxa"/>
            <w:shd w:val="clear" w:color="auto" w:fill="C6EFCE"/>
            <w:noWrap/>
          </w:tcPr>
          <w:p>
            <w:pPr>
              <w:spacing w:after="0" w:line="240" w:lineRule="auto"/>
              <w:jc w:val="both"/>
              <w:rPr>
                <w:rFonts w:ascii="Times New Roman" w:eastAsia="Times New Roman" w:hAnsi="Times New Roman" w:cs="Times New Roman"/>
                <w:noProof/>
                <w:sz w:val="18"/>
                <w:szCs w:val="18"/>
              </w:rPr>
            </w:pPr>
            <w:r>
              <w:rPr>
                <w:rFonts w:ascii="Times New Roman" w:hAnsi="Times New Roman"/>
                <w:noProof/>
                <w:color w:val="000000"/>
                <w:sz w:val="18"/>
                <w:szCs w:val="18"/>
              </w:rPr>
              <w:t>Влизане в сила на регламента за създаване на национална система за гаранции за произход на газове от възобновяеми източници, включително водород от възобновяеми източници, който гарантира 100 % дял на енергията от възобновяеми източници. Системата, която трябва да бъде създадена с регулаторния инструмент, включва назначаването на национални издаващи органи и приемането на тяхното управление; и регулаторен механизъм, определящ начина, по който се проверява произходът на водорода от възобновяеми източници.</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131</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C9.I1</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w:t>
            </w:r>
          </w:p>
        </w:tc>
        <w:tc>
          <w:tcPr>
            <w:tcW w:w="1560"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Финансиране на МСП за укрепване на веригата за създаване на стойност в областта на водорода</w:t>
            </w:r>
          </w:p>
        </w:tc>
        <w:tc>
          <w:tcPr>
            <w:tcW w:w="1275" w:type="dxa"/>
            <w:shd w:val="clear" w:color="auto" w:fill="C6EFCE"/>
            <w:noWrap/>
          </w:tcPr>
          <w:p>
            <w:pPr>
              <w:spacing w:after="0" w:line="240" w:lineRule="auto"/>
              <w:jc w:val="center"/>
              <w:rPr>
                <w:rFonts w:ascii="Times New Roman" w:eastAsia="Times New Roman" w:hAnsi="Times New Roman" w:cs="Times New Roman"/>
                <w:noProof/>
                <w:sz w:val="18"/>
                <w:szCs w:val="18"/>
                <w:lang w:eastAsia="en-GB"/>
              </w:rPr>
            </w:pPr>
          </w:p>
        </w:tc>
        <w:tc>
          <w:tcPr>
            <w:tcW w:w="74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Брой</w:t>
            </w:r>
          </w:p>
        </w:tc>
        <w:tc>
          <w:tcPr>
            <w:tcW w:w="67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0</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10</w:t>
            </w:r>
          </w:p>
        </w:tc>
        <w:tc>
          <w:tcPr>
            <w:tcW w:w="292"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T2</w:t>
            </w:r>
          </w:p>
        </w:tc>
        <w:tc>
          <w:tcPr>
            <w:tcW w:w="70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2023</w:t>
            </w:r>
          </w:p>
        </w:tc>
        <w:tc>
          <w:tcPr>
            <w:tcW w:w="7088" w:type="dxa"/>
            <w:shd w:val="clear" w:color="auto" w:fill="C6EFCE"/>
            <w:noWrap/>
          </w:tcPr>
          <w:p>
            <w:pPr>
              <w:spacing w:after="0" w:line="240" w:lineRule="auto"/>
              <w:jc w:val="both"/>
              <w:rPr>
                <w:rFonts w:ascii="Times New Roman" w:eastAsia="Times New Roman" w:hAnsi="Times New Roman" w:cs="Times New Roman"/>
                <w:noProof/>
                <w:sz w:val="18"/>
                <w:szCs w:val="18"/>
              </w:rPr>
            </w:pPr>
            <w:r>
              <w:rPr>
                <w:rFonts w:ascii="Times New Roman" w:hAnsi="Times New Roman"/>
                <w:noProof/>
                <w:color w:val="000000"/>
                <w:sz w:val="18"/>
                <w:szCs w:val="18"/>
              </w:rPr>
              <w:t>Най-малко десет МСП са финансирали финансиране за укрепване и укрепване на съществуващата испанска верига за създаване на стойност в областта на водорода чрез подобряване на една или няколко от следните характеристики: производствен капацитет, умения, конкурентоспособност, трансфер на знания и технологии, международно измерение.</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132</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C9.I1</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w:t>
            </w:r>
          </w:p>
        </w:tc>
        <w:tc>
          <w:tcPr>
            <w:tcW w:w="1560"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Технологично развитие във веригата за създаване на стойност при създаването на водород от възобновяеми източници </w:t>
            </w:r>
          </w:p>
        </w:tc>
        <w:tc>
          <w:tcPr>
            <w:tcW w:w="1275" w:type="dxa"/>
            <w:shd w:val="clear" w:color="auto" w:fill="C6EFCE"/>
            <w:noWrap/>
          </w:tcPr>
          <w:p>
            <w:pPr>
              <w:spacing w:after="0" w:line="240" w:lineRule="auto"/>
              <w:jc w:val="center"/>
              <w:rPr>
                <w:rFonts w:ascii="Times New Roman" w:eastAsia="Times New Roman" w:hAnsi="Times New Roman" w:cs="Times New Roman"/>
                <w:noProof/>
                <w:sz w:val="18"/>
                <w:szCs w:val="18"/>
                <w:lang w:eastAsia="en-GB"/>
              </w:rPr>
            </w:pPr>
          </w:p>
        </w:tc>
        <w:tc>
          <w:tcPr>
            <w:tcW w:w="74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Брой</w:t>
            </w:r>
          </w:p>
        </w:tc>
        <w:tc>
          <w:tcPr>
            <w:tcW w:w="67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0</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5</w:t>
            </w:r>
          </w:p>
        </w:tc>
        <w:tc>
          <w:tcPr>
            <w:tcW w:w="292"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70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2023</w:t>
            </w:r>
          </w:p>
        </w:tc>
        <w:tc>
          <w:tcPr>
            <w:tcW w:w="7088" w:type="dxa"/>
            <w:shd w:val="clear" w:color="auto" w:fill="C6EFCE"/>
            <w:noWrap/>
          </w:tcPr>
          <w:p>
            <w:pPr>
              <w:spacing w:after="0" w:line="240" w:lineRule="auto"/>
              <w:jc w:val="both"/>
              <w:rPr>
                <w:rFonts w:ascii="Times New Roman" w:eastAsia="Times New Roman" w:hAnsi="Times New Roman" w:cs="Times New Roman"/>
                <w:noProof/>
                <w:sz w:val="18"/>
                <w:szCs w:val="18"/>
              </w:rPr>
            </w:pPr>
            <w:r>
              <w:rPr>
                <w:rFonts w:ascii="Times New Roman" w:hAnsi="Times New Roman"/>
                <w:noProof/>
                <w:color w:val="000000"/>
                <w:sz w:val="18"/>
                <w:szCs w:val="18"/>
              </w:rPr>
              <w:t>Финансиране на най-малко пет технологични разработки или прототипи по цялата верига за създаване на стойност в областта на водорода от възобновяеми източници. Те (като електролизьори, компресори, съдове за съхранение, горивни клетки и транспортни системи на базата на водород) могат да включват „първо по рода си“ разработки, за да се даде възможност за валидиране на нов разширен дизайн или прототип, свързан с производството, логистиката и потреблението на водород.</w:t>
            </w:r>
          </w:p>
        </w:tc>
      </w:tr>
      <w:tr>
        <w:trPr>
          <w:trHeight w:val="309"/>
        </w:trPr>
        <w:tc>
          <w:tcPr>
            <w:tcW w:w="709"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133</w:t>
            </w:r>
          </w:p>
        </w:tc>
        <w:tc>
          <w:tcPr>
            <w:tcW w:w="851"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C9.I1</w:t>
            </w:r>
          </w:p>
        </w:tc>
        <w:tc>
          <w:tcPr>
            <w:tcW w:w="850"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T</w:t>
            </w:r>
          </w:p>
        </w:tc>
        <w:tc>
          <w:tcPr>
            <w:tcW w:w="1560"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szCs w:val="18"/>
              </w:rPr>
              <w:t xml:space="preserve">Водородни клъстери от възобновяеми източници (или долини) </w:t>
            </w:r>
          </w:p>
        </w:tc>
        <w:tc>
          <w:tcPr>
            <w:tcW w:w="1275" w:type="dxa"/>
            <w:shd w:val="clear" w:color="auto" w:fill="C6EFCE"/>
            <w:noWrap/>
          </w:tcPr>
          <w:p>
            <w:pPr>
              <w:spacing w:after="0" w:line="240" w:lineRule="auto"/>
              <w:jc w:val="center"/>
              <w:rPr>
                <w:rFonts w:ascii="Times New Roman" w:hAnsi="Times New Roman" w:cs="Times New Roman"/>
                <w:noProof/>
                <w:color w:val="000000"/>
                <w:sz w:val="18"/>
                <w:szCs w:val="18"/>
              </w:rPr>
            </w:pPr>
          </w:p>
        </w:tc>
        <w:tc>
          <w:tcPr>
            <w:tcW w:w="747"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Номер</w:t>
            </w:r>
          </w:p>
        </w:tc>
        <w:tc>
          <w:tcPr>
            <w:tcW w:w="671"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0</w:t>
            </w:r>
          </w:p>
        </w:tc>
        <w:tc>
          <w:tcPr>
            <w:tcW w:w="567"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2</w:t>
            </w:r>
          </w:p>
        </w:tc>
        <w:tc>
          <w:tcPr>
            <w:tcW w:w="292"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T4</w:t>
            </w:r>
          </w:p>
        </w:tc>
        <w:tc>
          <w:tcPr>
            <w:tcW w:w="700"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2023</w:t>
            </w:r>
          </w:p>
        </w:tc>
        <w:tc>
          <w:tcPr>
            <w:tcW w:w="7088" w:type="dxa"/>
            <w:shd w:val="clear" w:color="auto" w:fill="C6EFCE"/>
            <w:noWrap/>
          </w:tcPr>
          <w:p>
            <w:pPr>
              <w:spacing w:after="0" w:line="240" w:lineRule="auto"/>
              <w:jc w:val="both"/>
              <w:rPr>
                <w:rFonts w:ascii="Times New Roman" w:hAnsi="Times New Roman" w:cs="Times New Roman"/>
                <w:noProof/>
                <w:sz w:val="18"/>
                <w:szCs w:val="18"/>
              </w:rPr>
            </w:pPr>
            <w:r>
              <w:rPr>
                <w:rFonts w:ascii="Times New Roman" w:hAnsi="Times New Roman"/>
                <w:noProof/>
                <w:color w:val="000000"/>
                <w:sz w:val="18"/>
                <w:szCs w:val="18"/>
              </w:rPr>
              <w:t>Най-малко два водородни клъстера от възобновяеми източници (или долини) за финансираната секторна интеграция. Клъстерите или големите водородни долини концентрират и интегрират на местно равнище предлагането, разпространението (логистиката) и търсенето на водород от възобновяеми източници на определени места, за да изместят сивия водород и изкопаемите горива.</w:t>
            </w:r>
          </w:p>
        </w:tc>
      </w:tr>
      <w:tr>
        <w:trPr>
          <w:trHeight w:val="309"/>
        </w:trPr>
        <w:tc>
          <w:tcPr>
            <w:tcW w:w="709"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134</w:t>
            </w:r>
          </w:p>
        </w:tc>
        <w:tc>
          <w:tcPr>
            <w:tcW w:w="851"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C9.I1</w:t>
            </w:r>
          </w:p>
        </w:tc>
        <w:tc>
          <w:tcPr>
            <w:tcW w:w="850"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T</w:t>
            </w:r>
          </w:p>
        </w:tc>
        <w:tc>
          <w:tcPr>
            <w:tcW w:w="1560" w:type="dxa"/>
            <w:shd w:val="clear" w:color="auto" w:fill="C6EFCE"/>
            <w:noWrap/>
          </w:tcPr>
          <w:p>
            <w:pPr>
              <w:spacing w:after="0" w:line="240" w:lineRule="auto"/>
              <w:jc w:val="both"/>
              <w:rPr>
                <w:rFonts w:ascii="Times New Roman" w:hAnsi="Times New Roman" w:cs="Times New Roman"/>
                <w:noProof/>
                <w:sz w:val="18"/>
                <w:szCs w:val="18"/>
              </w:rPr>
            </w:pPr>
            <w:r>
              <w:rPr>
                <w:rFonts w:ascii="Times New Roman" w:hAnsi="Times New Roman"/>
                <w:noProof/>
                <w:color w:val="000000"/>
                <w:sz w:val="18"/>
                <w:szCs w:val="18"/>
              </w:rPr>
              <w:t xml:space="preserve">Проекти—пионер в областта на водорода </w:t>
            </w:r>
          </w:p>
        </w:tc>
        <w:tc>
          <w:tcPr>
            <w:tcW w:w="1275" w:type="dxa"/>
            <w:shd w:val="clear" w:color="auto" w:fill="C6EFCE"/>
            <w:noWrap/>
          </w:tcPr>
          <w:p>
            <w:pPr>
              <w:spacing w:after="0" w:line="240" w:lineRule="auto"/>
              <w:jc w:val="center"/>
              <w:rPr>
                <w:rFonts w:ascii="Times New Roman" w:hAnsi="Times New Roman" w:cs="Times New Roman"/>
                <w:noProof/>
                <w:color w:val="000000"/>
                <w:sz w:val="18"/>
                <w:szCs w:val="18"/>
              </w:rPr>
            </w:pPr>
          </w:p>
        </w:tc>
        <w:tc>
          <w:tcPr>
            <w:tcW w:w="747"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Номер</w:t>
            </w:r>
          </w:p>
        </w:tc>
        <w:tc>
          <w:tcPr>
            <w:tcW w:w="671"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0</w:t>
            </w:r>
          </w:p>
        </w:tc>
        <w:tc>
          <w:tcPr>
            <w:tcW w:w="567"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10</w:t>
            </w:r>
          </w:p>
        </w:tc>
        <w:tc>
          <w:tcPr>
            <w:tcW w:w="292"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T4</w:t>
            </w:r>
          </w:p>
        </w:tc>
        <w:tc>
          <w:tcPr>
            <w:tcW w:w="700"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2023</w:t>
            </w:r>
          </w:p>
        </w:tc>
        <w:tc>
          <w:tcPr>
            <w:tcW w:w="7088" w:type="dxa"/>
            <w:shd w:val="clear" w:color="auto" w:fill="C6EFCE"/>
            <w:noWrap/>
          </w:tcPr>
          <w:p>
            <w:pPr>
              <w:spacing w:after="0" w:line="240" w:lineRule="auto"/>
              <w:jc w:val="both"/>
              <w:rPr>
                <w:rFonts w:ascii="Times New Roman" w:hAnsi="Times New Roman" w:cs="Times New Roman"/>
                <w:noProof/>
                <w:sz w:val="18"/>
                <w:szCs w:val="18"/>
              </w:rPr>
            </w:pPr>
            <w:r>
              <w:rPr>
                <w:rFonts w:ascii="Times New Roman" w:hAnsi="Times New Roman"/>
                <w:noProof/>
                <w:color w:val="000000"/>
                <w:sz w:val="18"/>
                <w:szCs w:val="18"/>
              </w:rPr>
              <w:t>Финансирани са най-малко десет отделни пилотни проекта. Те включват интегрирани проекти, които обхващат производството, разпространението и потреблението на водород от възобновяеми източници на места, различни от клъстерите. Проектите могат да включват интегрирането на други необходими дейности, като например научни изследвания, основани на знанието, и капацитет.</w:t>
            </w:r>
          </w:p>
        </w:tc>
      </w:tr>
      <w:tr>
        <w:trPr>
          <w:trHeight w:val="309"/>
        </w:trPr>
        <w:tc>
          <w:tcPr>
            <w:tcW w:w="709"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135</w:t>
            </w:r>
          </w:p>
        </w:tc>
        <w:tc>
          <w:tcPr>
            <w:tcW w:w="851"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C9.I1</w:t>
            </w:r>
          </w:p>
        </w:tc>
        <w:tc>
          <w:tcPr>
            <w:tcW w:w="850"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T</w:t>
            </w:r>
          </w:p>
        </w:tc>
        <w:tc>
          <w:tcPr>
            <w:tcW w:w="1560" w:type="dxa"/>
            <w:shd w:val="clear" w:color="auto" w:fill="C6EFCE"/>
            <w:noWrap/>
          </w:tcPr>
          <w:p>
            <w:pPr>
              <w:spacing w:after="0" w:line="240" w:lineRule="auto"/>
              <w:jc w:val="both"/>
              <w:rPr>
                <w:rFonts w:ascii="Times New Roman" w:hAnsi="Times New Roman" w:cs="Times New Roman"/>
                <w:noProof/>
                <w:sz w:val="18"/>
                <w:szCs w:val="18"/>
              </w:rPr>
            </w:pPr>
            <w:r>
              <w:rPr>
                <w:rFonts w:ascii="Times New Roman" w:hAnsi="Times New Roman"/>
                <w:noProof/>
                <w:color w:val="000000"/>
                <w:sz w:val="18"/>
                <w:szCs w:val="18"/>
              </w:rPr>
              <w:t>Изпитвателни съоръжения или нови производствени линии.</w:t>
            </w:r>
          </w:p>
        </w:tc>
        <w:tc>
          <w:tcPr>
            <w:tcW w:w="1275" w:type="dxa"/>
            <w:shd w:val="clear" w:color="auto" w:fill="C6EFCE"/>
            <w:noWrap/>
          </w:tcPr>
          <w:p>
            <w:pPr>
              <w:spacing w:after="0" w:line="240" w:lineRule="auto"/>
              <w:jc w:val="center"/>
              <w:rPr>
                <w:rFonts w:ascii="Times New Roman" w:hAnsi="Times New Roman" w:cs="Times New Roman"/>
                <w:noProof/>
                <w:color w:val="000000"/>
                <w:sz w:val="18"/>
                <w:szCs w:val="18"/>
              </w:rPr>
            </w:pPr>
          </w:p>
        </w:tc>
        <w:tc>
          <w:tcPr>
            <w:tcW w:w="747"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Номер</w:t>
            </w:r>
          </w:p>
        </w:tc>
        <w:tc>
          <w:tcPr>
            <w:tcW w:w="671"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0</w:t>
            </w:r>
          </w:p>
        </w:tc>
        <w:tc>
          <w:tcPr>
            <w:tcW w:w="567"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10</w:t>
            </w:r>
          </w:p>
        </w:tc>
        <w:tc>
          <w:tcPr>
            <w:tcW w:w="292"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T4</w:t>
            </w:r>
          </w:p>
        </w:tc>
        <w:tc>
          <w:tcPr>
            <w:tcW w:w="700"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2023</w:t>
            </w:r>
          </w:p>
        </w:tc>
        <w:tc>
          <w:tcPr>
            <w:tcW w:w="7088" w:type="dxa"/>
            <w:shd w:val="clear" w:color="auto" w:fill="C6EFCE"/>
            <w:noWrap/>
          </w:tcPr>
          <w:p>
            <w:pPr>
              <w:spacing w:after="0" w:line="240" w:lineRule="auto"/>
              <w:jc w:val="both"/>
              <w:rPr>
                <w:rFonts w:ascii="Times New Roman" w:hAnsi="Times New Roman" w:cs="Times New Roman"/>
                <w:noProof/>
                <w:sz w:val="18"/>
                <w:szCs w:val="18"/>
              </w:rPr>
            </w:pPr>
            <w:r>
              <w:rPr>
                <w:rFonts w:ascii="Times New Roman" w:hAnsi="Times New Roman"/>
                <w:noProof/>
                <w:color w:val="000000"/>
                <w:sz w:val="18"/>
                <w:szCs w:val="18"/>
              </w:rPr>
              <w:t>Финансиране на най-малко десет интервенции, насочени към подобряване на тестовите съоръжения или изграждане на нови производствени линии. Интервенциите: 1) подобряване на съоръженията за изпитване или лабораториите и/или свързаното с тях оборудване за научноизследователска и развойна дейност; или 2) подобряване на съоръженията и/или набавянето на ново оборудване (като металообработващи машини) или техники за производство на водородни системи, оборудване или компоненти, свързани с водородни и горивни елементи.</w:t>
            </w:r>
          </w:p>
        </w:tc>
      </w:tr>
      <w:tr>
        <w:trPr>
          <w:trHeight w:val="309"/>
        </w:trPr>
        <w:tc>
          <w:tcPr>
            <w:tcW w:w="709"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136</w:t>
            </w:r>
          </w:p>
        </w:tc>
        <w:tc>
          <w:tcPr>
            <w:tcW w:w="851"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C9.I1</w:t>
            </w:r>
          </w:p>
        </w:tc>
        <w:tc>
          <w:tcPr>
            <w:tcW w:w="850"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T</w:t>
            </w:r>
          </w:p>
        </w:tc>
        <w:tc>
          <w:tcPr>
            <w:tcW w:w="1560" w:type="dxa"/>
            <w:shd w:val="clear" w:color="auto" w:fill="C6EFCE"/>
            <w:noWrap/>
          </w:tcPr>
          <w:p>
            <w:pPr>
              <w:spacing w:after="0" w:line="240" w:lineRule="auto"/>
              <w:jc w:val="both"/>
              <w:rPr>
                <w:rFonts w:ascii="Times New Roman" w:hAnsi="Times New Roman" w:cs="Times New Roman"/>
                <w:noProof/>
                <w:sz w:val="18"/>
                <w:szCs w:val="18"/>
              </w:rPr>
            </w:pPr>
            <w:r>
              <w:rPr>
                <w:rFonts w:ascii="Times New Roman" w:hAnsi="Times New Roman"/>
                <w:noProof/>
                <w:color w:val="000000"/>
                <w:sz w:val="18"/>
                <w:szCs w:val="18"/>
              </w:rPr>
              <w:t>Разрешен капацитет на електролизьора</w:t>
            </w:r>
          </w:p>
        </w:tc>
        <w:tc>
          <w:tcPr>
            <w:tcW w:w="1275" w:type="dxa"/>
            <w:shd w:val="clear" w:color="auto" w:fill="C6EFCE"/>
            <w:noWrap/>
          </w:tcPr>
          <w:p>
            <w:pPr>
              <w:spacing w:after="0" w:line="240" w:lineRule="auto"/>
              <w:jc w:val="center"/>
              <w:rPr>
                <w:rFonts w:ascii="Times New Roman" w:hAnsi="Times New Roman" w:cs="Times New Roman"/>
                <w:noProof/>
                <w:color w:val="000000"/>
                <w:sz w:val="18"/>
                <w:szCs w:val="18"/>
                <w:lang w:val="en-IE"/>
              </w:rPr>
            </w:pPr>
          </w:p>
        </w:tc>
        <w:tc>
          <w:tcPr>
            <w:tcW w:w="747"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Номер</w:t>
            </w:r>
          </w:p>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(MW)</w:t>
            </w:r>
          </w:p>
        </w:tc>
        <w:tc>
          <w:tcPr>
            <w:tcW w:w="671"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0</w:t>
            </w:r>
          </w:p>
        </w:tc>
        <w:tc>
          <w:tcPr>
            <w:tcW w:w="567"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500</w:t>
            </w:r>
          </w:p>
        </w:tc>
        <w:tc>
          <w:tcPr>
            <w:tcW w:w="292"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T2</w:t>
            </w:r>
          </w:p>
        </w:tc>
        <w:tc>
          <w:tcPr>
            <w:tcW w:w="700"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2026</w:t>
            </w:r>
          </w:p>
        </w:tc>
        <w:tc>
          <w:tcPr>
            <w:tcW w:w="7088" w:type="dxa"/>
            <w:shd w:val="clear" w:color="auto" w:fill="C6EFCE"/>
            <w:noWrap/>
          </w:tcPr>
          <w:p>
            <w:pPr>
              <w:spacing w:after="0" w:line="240" w:lineRule="auto"/>
              <w:jc w:val="both"/>
              <w:rPr>
                <w:rFonts w:ascii="Times New Roman" w:hAnsi="Times New Roman" w:cs="Times New Roman"/>
                <w:noProof/>
                <w:sz w:val="18"/>
                <w:szCs w:val="18"/>
              </w:rPr>
            </w:pPr>
            <w:r>
              <w:rPr>
                <w:rFonts w:ascii="Times New Roman" w:hAnsi="Times New Roman"/>
                <w:noProof/>
                <w:color w:val="000000"/>
                <w:sz w:val="18"/>
                <w:szCs w:val="18"/>
              </w:rPr>
              <w:t>Най-малко 500 MW от общата разрешена мощност на електролизьора, включително допълнителна инфраструктура. Акредитация по един от следните три начина: вписване в регистъра на националната система за гаранции за произход на възобновяеми газове или административно разрешение на инсталацията, издадено от компетентния орган, или окончателно инвестиционно решение (ОИР), предоставено от бенефициера.</w:t>
            </w:r>
          </w:p>
        </w:tc>
      </w:tr>
    </w:tbl>
    <w:p>
      <w:pPr>
        <w:spacing w:before="120" w:after="120" w:line="240" w:lineRule="auto"/>
        <w:ind w:left="709"/>
        <w:jc w:val="both"/>
        <w:rPr>
          <w:rFonts w:ascii="Times New Roman" w:hAnsi="Times New Roman" w:cs="Times New Roman"/>
          <w:noProof/>
          <w:sz w:val="24"/>
        </w:rPr>
      </w:pPr>
    </w:p>
    <w:p>
      <w:pPr>
        <w:spacing w:before="120" w:after="120" w:line="240" w:lineRule="auto"/>
        <w:ind w:left="709"/>
        <w:jc w:val="both"/>
        <w:rPr>
          <w:rFonts w:ascii="Times New Roman" w:hAnsi="Times New Roman" w:cs="Times New Roman"/>
          <w:noProof/>
          <w:sz w:val="24"/>
          <w:szCs w:val="24"/>
        </w:rPr>
        <w:sectPr>
          <w:headerReference w:type="even" r:id="rId121"/>
          <w:headerReference w:type="default" r:id="rId122"/>
          <w:footerReference w:type="even" r:id="rId123"/>
          <w:footerReference w:type="default" r:id="rId124"/>
          <w:headerReference w:type="first" r:id="rId125"/>
          <w:footerReference w:type="first" r:id="rId126"/>
          <w:pgSz w:w="16839" w:h="11907" w:orient="landscape"/>
          <w:pgMar w:top="1417" w:right="1134" w:bottom="1417" w:left="1134" w:header="709" w:footer="709" w:gutter="0"/>
          <w:cols w:space="720"/>
          <w:docGrid w:linePitch="360"/>
        </w:sectPr>
      </w:pPr>
    </w:p>
    <w:p>
      <w:pPr>
        <w:pStyle w:val="Heading1"/>
        <w:rPr>
          <w:noProof/>
        </w:rPr>
      </w:pPr>
      <w:r>
        <w:rPr>
          <w:noProof/>
        </w:rPr>
        <w:t>Й. КОМПОНЕНТ 10: Справедлив преход</w:t>
      </w:r>
    </w:p>
    <w:p>
      <w:pPr>
        <w:spacing w:before="120" w:after="120" w:line="240" w:lineRule="auto"/>
        <w:jc w:val="both"/>
        <w:rPr>
          <w:rFonts w:ascii="Times New Roman" w:hAnsi="Times New Roman" w:cs="Times New Roman"/>
          <w:noProof/>
          <w:color w:val="000000"/>
          <w:sz w:val="24"/>
          <w:szCs w:val="24"/>
          <w:shd w:val="clear" w:color="auto" w:fill="FFFFFF"/>
        </w:rPr>
      </w:pPr>
      <w:r>
        <w:rPr>
          <w:rFonts w:ascii="Times New Roman" w:hAnsi="Times New Roman"/>
          <w:noProof/>
          <w:color w:val="000000"/>
          <w:sz w:val="24"/>
          <w:szCs w:val="24"/>
          <w:shd w:val="clear" w:color="auto" w:fill="FFFFFF"/>
        </w:rPr>
        <w:t>Този компонент от испанския план за възстановяване и устойчивост е насочен към икономическото и социалното въздействие в географските райони, засегнати от закриването на въглищни мини и въглищни/ядрени електроцентрали, което беше допълнително утежнено от въздействието на пандемията от Covid и затварянето на топлоелектрически централи. Допълнителна цел е да се промени производственият модел и да се даде тласък на трансформацията в подкрепа на един по-устойчив икономически и социален модел на териториите в бъдеще. Стратегията е разработена успоредно с испанския териториален план на Фонда за справедлив преход (ФСП), който има за цел да има по-широк обхват, по-дълъг срок и по-стратегически акцент върху развитието и подкрепата на предприятията.</w:t>
      </w:r>
    </w:p>
    <w:p>
      <w:pPr>
        <w:spacing w:before="120" w:after="120" w:line="240" w:lineRule="auto"/>
        <w:jc w:val="both"/>
        <w:rPr>
          <w:rFonts w:ascii="Times New Roman" w:hAnsi="Times New Roman" w:cs="Times New Roman"/>
          <w:noProof/>
          <w:color w:val="000000" w:themeColor="text1"/>
          <w:sz w:val="24"/>
          <w:szCs w:val="24"/>
        </w:rPr>
      </w:pPr>
      <w:r>
        <w:rPr>
          <w:rFonts w:ascii="Times New Roman" w:hAnsi="Times New Roman"/>
          <w:noProof/>
          <w:sz w:val="24"/>
          <w:szCs w:val="24"/>
        </w:rPr>
        <w:t>Компонентът допринася за изпълнението на специфичните за всяка държава препоръки, свързани с подпомагането на заетостта, чрез мерки за запазване на работните места, ефективни стимули за наемане на работа и развитие на уменията (специфична за държавата препоръка № 2 от 2020 г.); насърчаване на публичните и частните инвестиции в подкрепа на екологичния преход (Специфична за всяка държава препоръка 3 2020 г.); и да се засили сътрудничеството между различните равнища на управление (специфична препоръка за отделните държави от 4 2019 г.).</w:t>
      </w:r>
    </w:p>
    <w:p>
      <w:pPr>
        <w:spacing w:before="120" w:after="120" w:line="240" w:lineRule="auto"/>
        <w:jc w:val="both"/>
        <w:rPr>
          <w:rFonts w:ascii="Times New Roman" w:hAnsi="Times New Roman" w:cs="Times New Roman"/>
          <w:noProof/>
          <w:color w:val="000000"/>
          <w:sz w:val="24"/>
          <w:szCs w:val="24"/>
          <w:shd w:val="clear" w:color="auto" w:fill="FFFFFF"/>
        </w:rPr>
      </w:pPr>
      <w:r>
        <w:rPr>
          <w:rFonts w:ascii="Times New Roman" w:hAnsi="Times New Roman"/>
          <w:noProof/>
          <w:color w:val="000000" w:themeColor="text1"/>
          <w:sz w:val="24"/>
          <w:szCs w:val="24"/>
        </w:rPr>
        <w:t>Очаква се, че нито една мярка в този компонент не вреди в значителна степен на екологичните цели по смисъла на член 17 от Регламент (ЕС) 2020/852, като се вземат предвид описанието на мерките и стъпките за смекчаване на последиците, определени в плана за възстановяване и устойчивост в съответствие с Техническите насоки за спазването на „принципа за ненанасяне на съществена вреда“ (2021/C58/01).</w:t>
      </w:r>
    </w:p>
    <w:p>
      <w:pPr>
        <w:spacing w:before="120" w:after="120" w:line="240" w:lineRule="auto"/>
        <w:jc w:val="both"/>
        <w:rPr>
          <w:rFonts w:ascii="Times New Roman" w:hAnsi="Times New Roman" w:cs="Times New Roman"/>
          <w:b/>
          <w:bCs/>
          <w:i/>
          <w:iCs/>
          <w:noProof/>
          <w:color w:val="4F81BD" w:themeColor="accent1"/>
          <w:sz w:val="24"/>
        </w:rPr>
      </w:pPr>
      <w:r>
        <w:rPr>
          <w:rFonts w:ascii="Times New Roman" w:hAnsi="Times New Roman"/>
          <w:b/>
          <w:bCs/>
          <w:noProof/>
          <w:sz w:val="24"/>
          <w:u w:val="single"/>
        </w:rPr>
        <w:t xml:space="preserve">Й.1. </w:t>
      </w:r>
      <w:r>
        <w:rPr>
          <w:rFonts w:ascii="Times New Roman" w:hAnsi="Times New Roman"/>
          <w:b/>
          <w:noProof/>
          <w:sz w:val="24"/>
          <w:u w:val="single"/>
        </w:rPr>
        <w:tab/>
      </w:r>
      <w:r>
        <w:rPr>
          <w:rFonts w:ascii="Times New Roman" w:hAnsi="Times New Roman"/>
          <w:b/>
          <w:bCs/>
          <w:noProof/>
          <w:sz w:val="24"/>
          <w:u w:val="single"/>
        </w:rPr>
        <w:t>Описание на реформите и инвестициите за безвъзмездна финансова подкрепа</w:t>
      </w:r>
    </w:p>
    <w:p>
      <w:pPr>
        <w:spacing w:before="120" w:after="120" w:line="240" w:lineRule="auto"/>
        <w:jc w:val="both"/>
        <w:rPr>
          <w:rFonts w:ascii="Times New Roman" w:hAnsi="Times New Roman" w:cs="Times New Roman"/>
          <w:noProof/>
          <w:color w:val="000000"/>
          <w:sz w:val="24"/>
          <w:szCs w:val="24"/>
          <w:u w:val="single"/>
          <w:shd w:val="clear" w:color="auto" w:fill="FFFFFF"/>
        </w:rPr>
      </w:pPr>
      <w:r>
        <w:rPr>
          <w:rFonts w:ascii="Times New Roman" w:hAnsi="Times New Roman"/>
          <w:noProof/>
          <w:color w:val="000000"/>
          <w:sz w:val="24"/>
          <w:szCs w:val="24"/>
          <w:u w:val="single"/>
          <w:shd w:val="clear" w:color="auto" w:fill="FFFFFF"/>
        </w:rPr>
        <w:t>Реформа 1 (C10.R1) – Протоколи за справедлив преход</w:t>
      </w:r>
    </w:p>
    <w:p>
      <w:pPr>
        <w:spacing w:before="120" w:after="120" w:line="240" w:lineRule="auto"/>
        <w:jc w:val="both"/>
        <w:rPr>
          <w:rFonts w:ascii="Times New Roman" w:hAnsi="Times New Roman" w:cs="Times New Roman"/>
          <w:noProof/>
          <w:color w:val="000000"/>
          <w:sz w:val="24"/>
          <w:szCs w:val="24"/>
          <w:shd w:val="clear" w:color="auto" w:fill="FFFFFF"/>
        </w:rPr>
      </w:pPr>
      <w:r>
        <w:rPr>
          <w:rFonts w:ascii="Times New Roman" w:hAnsi="Times New Roman"/>
          <w:noProof/>
          <w:color w:val="000000"/>
          <w:sz w:val="24"/>
          <w:szCs w:val="24"/>
          <w:shd w:val="clear" w:color="auto" w:fill="FFFFFF"/>
        </w:rPr>
        <w:t xml:space="preserve">През февруари 2020 г. правителството одобри стратегията за справедлив преход, отразена в националния план в областта на енергетиката и климата (НПЕК). В контекста на настоящата стратегия и </w:t>
      </w:r>
      <w:r>
        <w:rPr>
          <w:rStyle w:val="normaltextrun"/>
          <w:rFonts w:ascii="Times New Roman" w:hAnsi="Times New Roman"/>
          <w:noProof/>
          <w:color w:val="000000"/>
          <w:sz w:val="24"/>
          <w:szCs w:val="24"/>
          <w:shd w:val="clear" w:color="auto" w:fill="FFFFFF"/>
        </w:rPr>
        <w:t>в рамките на испанския план за възстановяване и устойчивост</w:t>
      </w:r>
      <w:r>
        <w:rPr>
          <w:rFonts w:ascii="Times New Roman" w:hAnsi="Times New Roman"/>
          <w:noProof/>
          <w:color w:val="000000"/>
          <w:sz w:val="24"/>
          <w:szCs w:val="24"/>
          <w:shd w:val="clear" w:color="auto" w:fill="FFFFFF"/>
        </w:rPr>
        <w:t xml:space="preserve"> с тази реформа се установяват 12 протокола за справедлив преход, обхващащи всяка област, засегната от затварянето на въглищни мини и електроцентрали, работещи с въглища. Всеки от протоколите за фондовете за справедлив преход обхваща най-малко площ, засегната от затварянето на електроцентрала, захранвана с въглища. Протоколите определят всеобхватни и подробни териториални планове за действие като инструменти за екологична, икономическа и социална устойчивост на засегнатите територии. Акцентът е поставен, наред с другото , върху поддържането и създаването на работни места, насърчаването на диверсификацията и специализацията, повишаването на привлекателността на районите за борба с обезлюдяването и възстановяването на околната среда на земята. Тези протоколи включват сътрудничеството на съответните местни участници (публични и частни, включително предприятия, социални партньори, образователния сектор, НПО и др.). </w:t>
      </w:r>
    </w:p>
    <w:p>
      <w:pPr>
        <w:spacing w:before="120" w:after="120" w:line="240" w:lineRule="auto"/>
        <w:jc w:val="both"/>
        <w:rPr>
          <w:rFonts w:ascii="Times New Roman" w:hAnsi="Times New Roman" w:cs="Times New Roman"/>
          <w:noProof/>
          <w:color w:val="000000"/>
          <w:sz w:val="24"/>
          <w:szCs w:val="24"/>
          <w:shd w:val="clear" w:color="auto" w:fill="FFFFFF"/>
        </w:rPr>
      </w:pPr>
      <w:r>
        <w:rPr>
          <w:rFonts w:ascii="Times New Roman" w:hAnsi="Times New Roman"/>
          <w:noProof/>
          <w:color w:val="000000"/>
          <w:sz w:val="24"/>
          <w:szCs w:val="24"/>
          <w:shd w:val="clear" w:color="auto" w:fill="FFFFFF"/>
        </w:rPr>
        <w:t xml:space="preserve">Тази реформа включва и създаването на Института за справедлив преход. Целта на Института е да определи и приеме действия, които гарантират справедливо третиране на работниците и териториите, засегнати от прехода към нисковъглеродна икономика, свеждане до минимум на отрицателните въздействия върху заетостта и населението на тези територии и оптимизиране на възможностите на процеса на трансформация. Основните функции на Института са да насърчава разработването на промишлени политики, научноизследователската и развойната дейност, насърчаването на икономическата дейност, заетостта и професионалното обучение. </w:t>
      </w:r>
    </w:p>
    <w:p>
      <w:pPr>
        <w:spacing w:before="120" w:after="120" w:line="240" w:lineRule="auto"/>
        <w:jc w:val="both"/>
        <w:rPr>
          <w:rFonts w:ascii="Times New Roman" w:hAnsi="Times New Roman" w:cs="Times New Roman"/>
          <w:noProof/>
          <w:color w:val="000000"/>
          <w:sz w:val="24"/>
          <w:szCs w:val="24"/>
          <w:shd w:val="clear" w:color="auto" w:fill="FFFFFF"/>
        </w:rPr>
      </w:pPr>
      <w:r>
        <w:rPr>
          <w:rFonts w:ascii="Times New Roman" w:hAnsi="Times New Roman"/>
          <w:noProof/>
          <w:color w:val="000000"/>
          <w:sz w:val="24"/>
          <w:szCs w:val="24"/>
          <w:shd w:val="clear" w:color="auto" w:fill="FFFFFF"/>
        </w:rPr>
        <w:t xml:space="preserve">Мярката включва и създаването на консултативен съвет, съставен от представители на министерствата и представители на местните и регионалните власти, който да предоставя консултации и да оценява въздействието на политиките за справедлив преход. </w:t>
      </w:r>
    </w:p>
    <w:p>
      <w:pPr>
        <w:spacing w:before="120" w:after="120" w:line="240" w:lineRule="auto"/>
        <w:jc w:val="both"/>
        <w:rPr>
          <w:rFonts w:ascii="Times New Roman" w:hAnsi="Times New Roman" w:cs="Times New Roman"/>
          <w:noProof/>
          <w:color w:val="000000"/>
          <w:sz w:val="24"/>
          <w:szCs w:val="24"/>
          <w:shd w:val="clear" w:color="auto" w:fill="FFFFFF"/>
        </w:rPr>
      </w:pPr>
      <w:r>
        <w:rPr>
          <w:rFonts w:ascii="Times New Roman" w:hAnsi="Times New Roman"/>
          <w:noProof/>
          <w:color w:val="000000"/>
          <w:sz w:val="24"/>
          <w:szCs w:val="24"/>
          <w:shd w:val="clear" w:color="auto" w:fill="FFFFFF"/>
        </w:rPr>
        <w:t>Изпълнението на мярката приключва до 30 юни 2023 г.</w:t>
      </w:r>
    </w:p>
    <w:p>
      <w:pPr>
        <w:spacing w:before="120" w:after="120" w:line="240" w:lineRule="auto"/>
        <w:jc w:val="both"/>
        <w:rPr>
          <w:rFonts w:ascii="Times New Roman" w:hAnsi="Times New Roman" w:cs="Times New Roman"/>
          <w:noProof/>
          <w:color w:val="000000"/>
          <w:sz w:val="24"/>
          <w:szCs w:val="24"/>
          <w:u w:val="single"/>
          <w:shd w:val="clear" w:color="auto" w:fill="FFFFFF"/>
        </w:rPr>
      </w:pPr>
      <w:r>
        <w:rPr>
          <w:rFonts w:ascii="Times New Roman" w:hAnsi="Times New Roman"/>
          <w:noProof/>
          <w:color w:val="000000"/>
          <w:sz w:val="24"/>
          <w:szCs w:val="24"/>
          <w:u w:val="single"/>
          <w:shd w:val="clear" w:color="auto" w:fill="FFFFFF"/>
        </w:rPr>
        <w:t>Инвестиции 1 (C10.I1) – Инвестиции в справедлив преход</w:t>
      </w:r>
    </w:p>
    <w:p>
      <w:pPr>
        <w:spacing w:before="120" w:after="120" w:line="240" w:lineRule="auto"/>
        <w:jc w:val="both"/>
        <w:rPr>
          <w:rFonts w:ascii="Times New Roman" w:hAnsi="Times New Roman" w:cs="Times New Roman"/>
          <w:noProof/>
          <w:color w:val="000000"/>
          <w:sz w:val="24"/>
          <w:szCs w:val="24"/>
          <w:shd w:val="clear" w:color="auto" w:fill="FFFFFF"/>
        </w:rPr>
      </w:pPr>
      <w:r>
        <w:rPr>
          <w:rFonts w:ascii="Times New Roman" w:hAnsi="Times New Roman"/>
          <w:noProof/>
          <w:color w:val="000000"/>
          <w:sz w:val="24"/>
          <w:szCs w:val="24"/>
          <w:shd w:val="clear" w:color="auto" w:fill="FFFFFF"/>
        </w:rPr>
        <w:t xml:space="preserve">Протоколите за справедлив преход се придружават от инвестиции в териториите с цел: </w:t>
      </w:r>
    </w:p>
    <w:p>
      <w:pPr>
        <w:numPr>
          <w:ilvl w:val="0"/>
          <w:numId w:val="61"/>
        </w:numPr>
        <w:spacing w:before="120" w:after="120" w:line="240" w:lineRule="auto"/>
        <w:jc w:val="both"/>
        <w:rPr>
          <w:rFonts w:ascii="Times New Roman" w:hAnsi="Times New Roman" w:cs="Times New Roman"/>
          <w:noProof/>
          <w:color w:val="000000"/>
          <w:sz w:val="24"/>
          <w:szCs w:val="24"/>
          <w:shd w:val="clear" w:color="auto" w:fill="FFFFFF"/>
        </w:rPr>
      </w:pPr>
      <w:r>
        <w:rPr>
          <w:rFonts w:ascii="Times New Roman" w:hAnsi="Times New Roman"/>
          <w:noProof/>
          <w:color w:val="000000"/>
          <w:sz w:val="24"/>
          <w:szCs w:val="24"/>
          <w:shd w:val="clear" w:color="auto" w:fill="FFFFFF"/>
        </w:rPr>
        <w:t xml:space="preserve">създаване на работни места и подпомагане на краткосрочната дейност; </w:t>
      </w:r>
    </w:p>
    <w:p>
      <w:pPr>
        <w:numPr>
          <w:ilvl w:val="0"/>
          <w:numId w:val="61"/>
        </w:numPr>
        <w:spacing w:before="120" w:after="120" w:line="240" w:lineRule="auto"/>
        <w:jc w:val="both"/>
        <w:rPr>
          <w:rFonts w:ascii="Times New Roman" w:hAnsi="Times New Roman" w:cs="Times New Roman"/>
          <w:noProof/>
          <w:color w:val="000000"/>
          <w:sz w:val="24"/>
          <w:szCs w:val="24"/>
          <w:shd w:val="clear" w:color="auto" w:fill="FFFFFF"/>
        </w:rPr>
      </w:pPr>
      <w:r>
        <w:rPr>
          <w:rFonts w:ascii="Times New Roman" w:hAnsi="Times New Roman"/>
          <w:noProof/>
          <w:color w:val="000000"/>
          <w:sz w:val="24"/>
          <w:szCs w:val="24"/>
          <w:shd w:val="clear" w:color="auto" w:fill="FFFFFF"/>
        </w:rPr>
        <w:t>ускоряване на промяната чрез съсредоточаване върху по-малки пилотни проекти, които – ако се считат за успешни – ще бъдат разширени в контекста на ФСП; и</w:t>
      </w:r>
    </w:p>
    <w:p>
      <w:pPr>
        <w:numPr>
          <w:ilvl w:val="0"/>
          <w:numId w:val="61"/>
        </w:numPr>
        <w:spacing w:before="120" w:after="120" w:line="240" w:lineRule="auto"/>
        <w:jc w:val="both"/>
        <w:rPr>
          <w:rFonts w:ascii="Times New Roman" w:hAnsi="Times New Roman" w:cs="Times New Roman"/>
          <w:noProof/>
          <w:color w:val="000000"/>
          <w:sz w:val="24"/>
          <w:szCs w:val="24"/>
          <w:shd w:val="clear" w:color="auto" w:fill="FFFFFF"/>
        </w:rPr>
      </w:pPr>
      <w:r>
        <w:rPr>
          <w:rFonts w:ascii="Times New Roman" w:hAnsi="Times New Roman"/>
          <w:noProof/>
          <w:color w:val="000000"/>
          <w:sz w:val="24"/>
          <w:szCs w:val="24"/>
          <w:shd w:val="clear" w:color="auto" w:fill="FFFFFF"/>
        </w:rPr>
        <w:t xml:space="preserve">насърчаване на икономическото развитие, допринасяне за социалното и териториалното сближаване. </w:t>
      </w:r>
    </w:p>
    <w:p>
      <w:pPr>
        <w:spacing w:before="120" w:after="120" w:line="240" w:lineRule="auto"/>
        <w:jc w:val="both"/>
        <w:rPr>
          <w:rFonts w:ascii="Times New Roman" w:hAnsi="Times New Roman" w:cs="Times New Roman"/>
          <w:noProof/>
          <w:color w:val="000000"/>
          <w:sz w:val="24"/>
          <w:szCs w:val="24"/>
          <w:shd w:val="clear" w:color="auto" w:fill="FFFFFF"/>
        </w:rPr>
      </w:pPr>
      <w:r>
        <w:rPr>
          <w:rFonts w:ascii="Times New Roman" w:hAnsi="Times New Roman"/>
          <w:noProof/>
          <w:color w:val="000000"/>
          <w:sz w:val="24"/>
          <w:szCs w:val="24"/>
          <w:shd w:val="clear" w:color="auto" w:fill="FFFFFF"/>
        </w:rPr>
        <w:t xml:space="preserve">Проектите са насочени към четири специфични области: </w:t>
      </w:r>
    </w:p>
    <w:p>
      <w:pPr>
        <w:numPr>
          <w:ilvl w:val="0"/>
          <w:numId w:val="60"/>
        </w:numPr>
        <w:spacing w:before="120" w:after="120" w:line="240" w:lineRule="auto"/>
        <w:jc w:val="both"/>
        <w:rPr>
          <w:rFonts w:ascii="Times New Roman" w:hAnsi="Times New Roman" w:cs="Times New Roman"/>
          <w:noProof/>
          <w:sz w:val="24"/>
          <w:szCs w:val="24"/>
          <w:shd w:val="clear" w:color="auto" w:fill="FFFFFF"/>
        </w:rPr>
      </w:pPr>
      <w:r>
        <w:rPr>
          <w:rFonts w:ascii="Times New Roman" w:hAnsi="Times New Roman"/>
          <w:noProof/>
          <w:sz w:val="24"/>
          <w:szCs w:val="24"/>
          <w:shd w:val="clear" w:color="auto" w:fill="FFFFFF"/>
        </w:rPr>
        <w:t>Планове за възстановяване на околната среда (</w:t>
      </w:r>
      <w:r>
        <w:rPr>
          <w:rFonts w:ascii="Times New Roman" w:hAnsi="Times New Roman"/>
          <w:noProof/>
          <w:sz w:val="24"/>
          <w:szCs w:val="24"/>
        </w:rPr>
        <w:t xml:space="preserve"> напр. повторно залесяване или рекултивация) </w:t>
      </w:r>
      <w:r>
        <w:rPr>
          <w:rFonts w:ascii="Times New Roman" w:hAnsi="Times New Roman"/>
          <w:noProof/>
          <w:sz w:val="24"/>
          <w:szCs w:val="24"/>
          <w:shd w:val="clear" w:color="auto" w:fill="FFFFFF"/>
        </w:rPr>
        <w:t>за затворени или изоставени миннодобивни обекти и влошени земи в съседство с топлоелектрически централи или атомни електроцентрали, обхващащи най-малко 2000 хектара рехабилитирана земя</w:t>
      </w:r>
      <w:r>
        <w:rPr>
          <w:rFonts w:ascii="Times New Roman" w:hAnsi="Times New Roman"/>
          <w:noProof/>
          <w:sz w:val="24"/>
          <w:szCs w:val="24"/>
        </w:rPr>
        <w:t>.</w:t>
      </w:r>
      <w:r>
        <w:rPr>
          <w:rFonts w:ascii="Times New Roman" w:hAnsi="Times New Roman"/>
          <w:noProof/>
          <w:sz w:val="24"/>
          <w:szCs w:val="24"/>
          <w:shd w:val="clear" w:color="auto" w:fill="FFFFFF"/>
        </w:rPr>
        <w:t xml:space="preserve"> Като част от тези планове ще бъдат демонтирани инсталации и минни съоръжения, а почвата ще бъде рехабилитирана и подложена на процеси на повторно залесяване или рекултивация, инсталации за възобновяема енергия или екологично алтернативно икономическо развитие;</w:t>
      </w:r>
    </w:p>
    <w:p>
      <w:pPr>
        <w:numPr>
          <w:ilvl w:val="0"/>
          <w:numId w:val="60"/>
        </w:num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shd w:val="clear" w:color="auto" w:fill="FFFFFF"/>
        </w:rPr>
        <w:t xml:space="preserve">Най-малко 100 екологични, цифрови и социални инфраструктурни проекта в общините и териториите в преход към нисковъглеродна икономика с общи финансови инвестиции в размер на най-малко 91000000 EUR. Проектите обхващат редица области, включително: </w:t>
      </w:r>
      <w:r>
        <w:rPr>
          <w:rFonts w:ascii="Times New Roman" w:hAnsi="Times New Roman"/>
          <w:noProof/>
          <w:sz w:val="24"/>
          <w:szCs w:val="24"/>
        </w:rPr>
        <w:t>рехабилитация на инфраструктура и обществени сгради; иновативни проекти за комуникация между общини или изолирани населени райони въз основа на решения за устойчива мобилност и възстановяване и алтернативно използване на съществуващата транспортна инфраструктура; възстановяване на публичната инфраструктура в подкрепа на кръговата икономика, включително заводите за създаване на общности, центровете за управление на отпадъците; екологични проекти за възстановяване и подобряване на зони, които са публична собственост (като залежи, речни пътеки или кейове и природни зони за интерпретиране); цифрова инфраструктура и услуги за развитието на кооперации на екологични продукти или общностни схеми за съвместни покупки и продажби по интернет.</w:t>
      </w:r>
    </w:p>
    <w:p>
      <w:pPr>
        <w:numPr>
          <w:ilvl w:val="0"/>
          <w:numId w:val="60"/>
        </w:numPr>
        <w:spacing w:before="120" w:after="120" w:line="240" w:lineRule="auto"/>
        <w:jc w:val="both"/>
        <w:rPr>
          <w:rFonts w:ascii="Times New Roman" w:hAnsi="Times New Roman" w:cs="Times New Roman"/>
          <w:noProof/>
          <w:sz w:val="24"/>
          <w:szCs w:val="24"/>
          <w:shd w:val="clear" w:color="auto" w:fill="FFFFFF"/>
        </w:rPr>
      </w:pPr>
      <w:r>
        <w:rPr>
          <w:rFonts w:ascii="Times New Roman" w:hAnsi="Times New Roman"/>
          <w:noProof/>
          <w:sz w:val="24"/>
          <w:szCs w:val="24"/>
          <w:shd w:val="clear" w:color="auto" w:fill="FFFFFF"/>
        </w:rPr>
        <w:t>Подкрепа за два проекта за научни изследвания, развитие и иновации в областта на съхранението на енергия и зелен водород</w:t>
      </w:r>
      <w:r>
        <w:rPr>
          <w:rFonts w:ascii="Times New Roman" w:hAnsi="Times New Roman"/>
          <w:noProof/>
          <w:sz w:val="24"/>
          <w:szCs w:val="24"/>
        </w:rPr>
        <w:t>. Проектите адаптират инсталациите и лабораториите на CIUDEN (</w:t>
      </w:r>
      <w:r>
        <w:rPr>
          <w:rFonts w:ascii="Times New Roman" w:hAnsi="Times New Roman"/>
          <w:i/>
          <w:noProof/>
          <w:sz w:val="24"/>
          <w:szCs w:val="24"/>
        </w:rPr>
        <w:t>Ciudad de la Energía</w:t>
      </w:r>
      <w:r>
        <w:rPr>
          <w:rFonts w:ascii="Times New Roman" w:hAnsi="Times New Roman"/>
          <w:noProof/>
          <w:sz w:val="24"/>
          <w:szCs w:val="24"/>
        </w:rPr>
        <w:t>) — правителствена научноизследователска и развойна дейност, създадена в Бирцо (Леон) към Института за справедлив преход и в зависимост от местоположението на Министерството на екологичния преход и демографските промени — за два проекта за НИРДИ в областта на производството на зелен водород и съхранението на енергия ; и</w:t>
      </w:r>
    </w:p>
    <w:p>
      <w:pPr>
        <w:numPr>
          <w:ilvl w:val="0"/>
          <w:numId w:val="60"/>
        </w:numPr>
        <w:spacing w:before="120" w:after="120" w:line="240" w:lineRule="auto"/>
        <w:jc w:val="both"/>
        <w:rPr>
          <w:rFonts w:ascii="Times New Roman" w:hAnsi="Times New Roman" w:cs="Times New Roman"/>
          <w:noProof/>
          <w:sz w:val="24"/>
          <w:szCs w:val="24"/>
          <w:shd w:val="clear" w:color="auto" w:fill="FFFFFF"/>
        </w:rPr>
      </w:pPr>
      <w:r>
        <w:rPr>
          <w:rFonts w:ascii="Times New Roman" w:hAnsi="Times New Roman"/>
          <w:noProof/>
          <w:sz w:val="24"/>
          <w:szCs w:val="24"/>
          <w:shd w:val="clear" w:color="auto" w:fill="FFFFFF"/>
        </w:rPr>
        <w:t xml:space="preserve">Подкрепа за преквалификацията и подобряването на пригодността за заетост на работниците и хората, засегнати от прехода към нисковъглеродна икономика, като най-малко 4 000 души получават персонализирана помощ при търсене на работа и възможности за преквалификация. Помощта за преквалификация следва да обхваща най-малко следните области: инсталиране и разпространение на енергия от възобновяеми източници (вятърна и фотоволтаична), възстановяване и управление на околната среда и/или интегрирано и енергийно саниране на жилищата. </w:t>
      </w:r>
    </w:p>
    <w:p>
      <w:pPr>
        <w:spacing w:before="120" w:after="120" w:line="240" w:lineRule="auto"/>
        <w:jc w:val="both"/>
        <w:rPr>
          <w:rFonts w:ascii="Times New Roman" w:hAnsi="Times New Roman" w:cs="Times New Roman"/>
          <w:b/>
          <w:bCs/>
          <w:noProof/>
          <w:sz w:val="24"/>
          <w:u w:val="single"/>
        </w:rPr>
      </w:pPr>
      <w:r>
        <w:rPr>
          <w:rFonts w:ascii="Times New Roman" w:hAnsi="Times New Roman"/>
          <w:bCs/>
          <w:noProof/>
          <w:sz w:val="24"/>
        </w:rPr>
        <w:t>Изпълнението на инвестицията приключва до 30 юни 2026 г.</w:t>
      </w:r>
    </w:p>
    <w:p>
      <w:pPr>
        <w:spacing w:before="120" w:after="120" w:line="240" w:lineRule="auto"/>
        <w:ind w:left="709"/>
        <w:jc w:val="both"/>
        <w:rPr>
          <w:rFonts w:ascii="Times New Roman" w:hAnsi="Times New Roman" w:cs="Times New Roman"/>
          <w:b/>
          <w:bCs/>
          <w:noProof/>
          <w:sz w:val="24"/>
          <w:u w:val="single"/>
        </w:rPr>
      </w:pPr>
      <w:r>
        <w:rPr>
          <w:rFonts w:ascii="Times New Roman" w:hAnsi="Times New Roman"/>
          <w:b/>
          <w:bCs/>
          <w:noProof/>
          <w:sz w:val="24"/>
          <w:u w:val="single"/>
        </w:rPr>
        <w:t xml:space="preserve">Й.2. </w:t>
      </w:r>
      <w:r>
        <w:rPr>
          <w:rFonts w:ascii="Times New Roman" w:hAnsi="Times New Roman"/>
          <w:b/>
          <w:noProof/>
          <w:sz w:val="24"/>
          <w:u w:val="single"/>
        </w:rPr>
        <w:tab/>
      </w:r>
      <w:r>
        <w:rPr>
          <w:rFonts w:ascii="Times New Roman" w:hAnsi="Times New Roman"/>
          <w:b/>
          <w:bCs/>
          <w:noProof/>
          <w:sz w:val="24"/>
          <w:u w:val="single"/>
        </w:rPr>
        <w:t>Ключови етапи, цели, показатели и график за мониторинг и изпълнение на безвъзмездната финансова подкрепа</w:t>
      </w:r>
    </w:p>
    <w:p>
      <w:pPr>
        <w:spacing w:before="120" w:after="120" w:line="240" w:lineRule="auto"/>
        <w:rPr>
          <w:rFonts w:ascii="Times New Roman" w:hAnsi="Times New Roman" w:cs="Times New Roman"/>
          <w:noProof/>
          <w:sz w:val="24"/>
          <w:szCs w:val="24"/>
        </w:rPr>
        <w:sectPr>
          <w:headerReference w:type="even" r:id="rId127"/>
          <w:headerReference w:type="default" r:id="rId128"/>
          <w:footerReference w:type="even" r:id="rId129"/>
          <w:footerReference w:type="default" r:id="rId130"/>
          <w:headerReference w:type="first" r:id="rId131"/>
          <w:footerReference w:type="first" r:id="rId132"/>
          <w:pgSz w:w="11907" w:h="16839"/>
          <w:pgMar w:top="1134" w:right="1417" w:bottom="1134" w:left="1417" w:header="709" w:footer="709" w:gutter="0"/>
          <w:cols w:space="720"/>
          <w:docGrid w:linePitch="360"/>
        </w:sectPr>
      </w:pPr>
      <w:r>
        <w:rPr>
          <w:rFonts w:ascii="Times New Roman" w:hAnsi="Times New Roman"/>
          <w:i/>
          <w:noProof/>
          <w:color w:val="000000"/>
          <w:sz w:val="24"/>
          <w:szCs w:val="24"/>
        </w:rPr>
        <w:t>Вж. таблицата по-долу.</w:t>
      </w:r>
      <w:r>
        <w:rPr>
          <w:rFonts w:ascii="Times New Roman" w:hAnsi="Times New Roman"/>
          <w:noProof/>
          <w:color w:val="1F497D"/>
          <w:sz w:val="24"/>
          <w:szCs w:val="24"/>
        </w:rPr>
        <w:t xml:space="preserve"> </w:t>
      </w:r>
      <w:r>
        <w:rPr>
          <w:rFonts w:ascii="Times New Roman" w:hAnsi="Times New Roman"/>
          <w:i/>
          <w:noProof/>
          <w:color w:val="000000"/>
          <w:sz w:val="24"/>
          <w:szCs w:val="24"/>
        </w:rPr>
        <w:t>Датата на базовата линия за всички показатели е 1 февруари 2020 г., освен ако не е посочено друго в описанието на действието. Сумите в таблицата не включват ДДС.</w:t>
      </w:r>
    </w:p>
    <w:tbl>
      <w:tblPr>
        <w:tblW w:w="15310"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09"/>
        <w:gridCol w:w="851"/>
        <w:gridCol w:w="850"/>
        <w:gridCol w:w="3222"/>
        <w:gridCol w:w="1031"/>
        <w:gridCol w:w="859"/>
        <w:gridCol w:w="630"/>
        <w:gridCol w:w="637"/>
        <w:gridCol w:w="263"/>
        <w:gridCol w:w="729"/>
        <w:gridCol w:w="5529"/>
      </w:tblGrid>
      <w:tr>
        <w:trPr>
          <w:trHeight w:val="309"/>
          <w:tblHeader/>
        </w:trPr>
        <w:tc>
          <w:tcPr>
            <w:tcW w:w="709"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themeColor="text1"/>
                <w:sz w:val="18"/>
                <w:szCs w:val="18"/>
              </w:rPr>
            </w:pPr>
            <w:r>
              <w:rPr>
                <w:rFonts w:ascii="Times New Roman" w:hAnsi="Times New Roman"/>
                <w:b/>
                <w:bCs/>
                <w:noProof/>
                <w:color w:val="000000"/>
                <w:sz w:val="18"/>
                <w:szCs w:val="18"/>
              </w:rPr>
              <w:t>Номер</w:t>
            </w:r>
          </w:p>
        </w:tc>
        <w:tc>
          <w:tcPr>
            <w:tcW w:w="851"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sz w:val="18"/>
                <w:szCs w:val="18"/>
              </w:rPr>
            </w:pPr>
            <w:r>
              <w:rPr>
                <w:rFonts w:ascii="Times New Roman" w:hAnsi="Times New Roman"/>
                <w:b/>
                <w:bCs/>
                <w:noProof/>
                <w:color w:val="000000"/>
                <w:sz w:val="18"/>
                <w:szCs w:val="18"/>
              </w:rPr>
              <w:t>Мярка</w:t>
            </w:r>
          </w:p>
        </w:tc>
        <w:tc>
          <w:tcPr>
            <w:tcW w:w="850"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sz w:val="18"/>
                <w:szCs w:val="18"/>
              </w:rPr>
            </w:pPr>
            <w:r>
              <w:rPr>
                <w:rFonts w:ascii="Times New Roman" w:hAnsi="Times New Roman"/>
                <w:b/>
                <w:bCs/>
                <w:noProof/>
                <w:color w:val="000000"/>
                <w:sz w:val="18"/>
                <w:szCs w:val="18"/>
              </w:rPr>
              <w:t>Ключов етап /Цел</w:t>
            </w:r>
          </w:p>
        </w:tc>
        <w:tc>
          <w:tcPr>
            <w:tcW w:w="3222"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sz w:val="18"/>
                <w:szCs w:val="18"/>
              </w:rPr>
            </w:pPr>
            <w:r>
              <w:rPr>
                <w:rFonts w:ascii="Times New Roman" w:hAnsi="Times New Roman"/>
                <w:b/>
                <w:bCs/>
                <w:noProof/>
                <w:color w:val="000000"/>
                <w:sz w:val="18"/>
                <w:szCs w:val="18"/>
              </w:rPr>
              <w:t>Наименование</w:t>
            </w:r>
          </w:p>
        </w:tc>
        <w:tc>
          <w:tcPr>
            <w:tcW w:w="1031"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sz w:val="18"/>
                <w:szCs w:val="18"/>
              </w:rPr>
            </w:pPr>
            <w:r>
              <w:rPr>
                <w:rFonts w:ascii="Times New Roman" w:hAnsi="Times New Roman"/>
                <w:b/>
                <w:bCs/>
                <w:noProof/>
                <w:color w:val="000000"/>
                <w:sz w:val="18"/>
                <w:szCs w:val="18"/>
              </w:rPr>
              <w:t>Качествени показатели за ключовите етапи</w:t>
            </w:r>
          </w:p>
        </w:tc>
        <w:tc>
          <w:tcPr>
            <w:tcW w:w="2126" w:type="dxa"/>
            <w:gridSpan w:val="3"/>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sz w:val="18"/>
                <w:szCs w:val="18"/>
              </w:rPr>
            </w:pPr>
            <w:r>
              <w:rPr>
                <w:rFonts w:ascii="Times New Roman" w:hAnsi="Times New Roman"/>
                <w:b/>
                <w:bCs/>
                <w:noProof/>
                <w:color w:val="000000"/>
                <w:sz w:val="18"/>
                <w:szCs w:val="18"/>
              </w:rPr>
              <w:t>Количествени показатели за целите</w:t>
            </w:r>
          </w:p>
        </w:tc>
        <w:tc>
          <w:tcPr>
            <w:tcW w:w="992" w:type="dxa"/>
            <w:gridSpan w:val="2"/>
            <w:shd w:val="clear" w:color="auto" w:fill="C6D9F1" w:themeFill="text2" w:themeFillTint="33"/>
            <w:noWrap/>
            <w:vAlign w:val="center"/>
          </w:tcPr>
          <w:p>
            <w:pPr>
              <w:spacing w:after="0" w:line="240" w:lineRule="auto"/>
              <w:jc w:val="center"/>
              <w:rPr>
                <w:rFonts w:ascii="Times New Roman" w:hAnsi="Times New Roman" w:cs="Times New Roman"/>
                <w:noProof/>
                <w:sz w:val="18"/>
                <w:szCs w:val="18"/>
              </w:rPr>
            </w:pPr>
            <w:r>
              <w:rPr>
                <w:rFonts w:ascii="Times New Roman" w:hAnsi="Times New Roman"/>
                <w:b/>
                <w:bCs/>
                <w:noProof/>
                <w:color w:val="000000"/>
                <w:sz w:val="18"/>
                <w:szCs w:val="18"/>
              </w:rPr>
              <w:t>Време</w:t>
            </w:r>
          </w:p>
        </w:tc>
        <w:tc>
          <w:tcPr>
            <w:tcW w:w="5529"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sz w:val="18"/>
                <w:szCs w:val="18"/>
              </w:rPr>
            </w:pPr>
            <w:r>
              <w:rPr>
                <w:rFonts w:ascii="Times New Roman" w:hAnsi="Times New Roman"/>
                <w:b/>
                <w:bCs/>
                <w:noProof/>
                <w:sz w:val="18"/>
                <w:szCs w:val="18"/>
              </w:rPr>
              <w:t>Описание на всеки ключов етап и всяка цел</w:t>
            </w:r>
          </w:p>
        </w:tc>
      </w:tr>
      <w:tr>
        <w:trPr>
          <w:trHeight w:val="309"/>
          <w:tblHeader/>
        </w:trPr>
        <w:tc>
          <w:tcPr>
            <w:tcW w:w="709"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851"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850"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3222" w:type="dxa"/>
            <w:tcBorders>
              <w:top w:val="nil"/>
            </w:tcBorders>
            <w:shd w:val="clear" w:color="auto" w:fill="C6D9F1" w:themeFill="text2" w:themeFillTint="33"/>
            <w:noWrap/>
          </w:tcPr>
          <w:p>
            <w:pPr>
              <w:spacing w:after="0" w:line="240" w:lineRule="auto"/>
              <w:rPr>
                <w:rFonts w:ascii="Times New Roman" w:hAnsi="Times New Roman" w:cs="Times New Roman"/>
                <w:b/>
                <w:noProof/>
                <w:color w:val="000000"/>
                <w:sz w:val="18"/>
                <w:szCs w:val="18"/>
              </w:rPr>
            </w:pPr>
          </w:p>
        </w:tc>
        <w:tc>
          <w:tcPr>
            <w:tcW w:w="1031"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859" w:type="dxa"/>
            <w:shd w:val="clear" w:color="auto" w:fill="C6D9F1" w:themeFill="text2" w:themeFillTint="33"/>
            <w:noWrap/>
          </w:tcPr>
          <w:p>
            <w:pPr>
              <w:spacing w:after="0" w:line="240" w:lineRule="auto"/>
              <w:jc w:val="center"/>
              <w:rPr>
                <w:rFonts w:ascii="Times New Roman" w:hAnsi="Times New Roman" w:cs="Times New Roman"/>
                <w:b/>
                <w:bCs/>
                <w:noProof/>
                <w:color w:val="000000"/>
                <w:sz w:val="18"/>
                <w:szCs w:val="18"/>
              </w:rPr>
            </w:pPr>
            <w:r>
              <w:rPr>
                <w:rFonts w:ascii="Times New Roman" w:hAnsi="Times New Roman"/>
                <w:b/>
                <w:bCs/>
                <w:noProof/>
                <w:color w:val="000000"/>
                <w:sz w:val="18"/>
                <w:szCs w:val="18"/>
              </w:rPr>
              <w:t>Мерна единица</w:t>
            </w:r>
          </w:p>
        </w:tc>
        <w:tc>
          <w:tcPr>
            <w:tcW w:w="630" w:type="dxa"/>
            <w:shd w:val="clear" w:color="auto" w:fill="C6D9F1" w:themeFill="text2" w:themeFillTint="33"/>
            <w:noWrap/>
          </w:tcPr>
          <w:p>
            <w:pPr>
              <w:spacing w:after="0" w:line="240" w:lineRule="auto"/>
              <w:jc w:val="center"/>
              <w:rPr>
                <w:rFonts w:ascii="Times New Roman" w:hAnsi="Times New Roman" w:cs="Times New Roman"/>
                <w:b/>
                <w:bCs/>
                <w:noProof/>
                <w:color w:val="000000"/>
                <w:sz w:val="18"/>
                <w:szCs w:val="18"/>
              </w:rPr>
            </w:pPr>
            <w:r>
              <w:rPr>
                <w:rFonts w:ascii="Times New Roman" w:hAnsi="Times New Roman"/>
                <w:b/>
                <w:bCs/>
                <w:noProof/>
                <w:color w:val="000000"/>
                <w:sz w:val="18"/>
                <w:szCs w:val="18"/>
              </w:rPr>
              <w:t>Базова линия</w:t>
            </w:r>
          </w:p>
        </w:tc>
        <w:tc>
          <w:tcPr>
            <w:tcW w:w="637" w:type="dxa"/>
            <w:shd w:val="clear" w:color="auto" w:fill="C6D9F1" w:themeFill="text2" w:themeFillTint="33"/>
            <w:noWrap/>
          </w:tcPr>
          <w:p>
            <w:pPr>
              <w:spacing w:after="0" w:line="240" w:lineRule="auto"/>
              <w:jc w:val="center"/>
              <w:rPr>
                <w:rFonts w:ascii="Times New Roman" w:hAnsi="Times New Roman" w:cs="Times New Roman"/>
                <w:b/>
                <w:bCs/>
                <w:noProof/>
                <w:color w:val="000000"/>
                <w:sz w:val="18"/>
                <w:szCs w:val="18"/>
              </w:rPr>
            </w:pPr>
            <w:r>
              <w:rPr>
                <w:rFonts w:ascii="Times New Roman" w:hAnsi="Times New Roman"/>
                <w:b/>
                <w:bCs/>
                <w:noProof/>
                <w:color w:val="000000"/>
                <w:sz w:val="18"/>
                <w:szCs w:val="18"/>
              </w:rPr>
              <w:t>Цел</w:t>
            </w:r>
          </w:p>
        </w:tc>
        <w:tc>
          <w:tcPr>
            <w:tcW w:w="263" w:type="dxa"/>
            <w:shd w:val="clear" w:color="auto" w:fill="C6D9F1" w:themeFill="text2" w:themeFillTint="33"/>
            <w:noWrap/>
          </w:tcPr>
          <w:p>
            <w:pPr>
              <w:spacing w:after="0" w:line="240" w:lineRule="auto"/>
              <w:jc w:val="center"/>
              <w:rPr>
                <w:rFonts w:ascii="Times New Roman" w:hAnsi="Times New Roman" w:cs="Times New Roman"/>
                <w:b/>
                <w:bCs/>
                <w:noProof/>
                <w:color w:val="000000"/>
                <w:sz w:val="18"/>
                <w:szCs w:val="18"/>
              </w:rPr>
            </w:pPr>
            <w:r>
              <w:rPr>
                <w:rFonts w:ascii="Times New Roman" w:hAnsi="Times New Roman"/>
                <w:b/>
                <w:bCs/>
                <w:noProof/>
                <w:color w:val="000000"/>
                <w:sz w:val="18"/>
                <w:szCs w:val="18"/>
              </w:rPr>
              <w:t>T</w:t>
            </w:r>
          </w:p>
        </w:tc>
        <w:tc>
          <w:tcPr>
            <w:tcW w:w="729" w:type="dxa"/>
            <w:shd w:val="clear" w:color="auto" w:fill="C6D9F1" w:themeFill="text2" w:themeFillTint="33"/>
            <w:noWrap/>
          </w:tcPr>
          <w:p>
            <w:pPr>
              <w:spacing w:after="0" w:line="240" w:lineRule="auto"/>
              <w:jc w:val="center"/>
              <w:rPr>
                <w:rFonts w:ascii="Times New Roman" w:hAnsi="Times New Roman" w:cs="Times New Roman"/>
                <w:b/>
                <w:bCs/>
                <w:noProof/>
                <w:color w:val="000000"/>
                <w:sz w:val="18"/>
                <w:szCs w:val="18"/>
              </w:rPr>
            </w:pPr>
            <w:r>
              <w:rPr>
                <w:rFonts w:ascii="Times New Roman" w:hAnsi="Times New Roman"/>
                <w:b/>
                <w:bCs/>
                <w:noProof/>
                <w:color w:val="000000"/>
                <w:sz w:val="18"/>
                <w:szCs w:val="18"/>
              </w:rPr>
              <w:t>Година</w:t>
            </w:r>
          </w:p>
        </w:tc>
        <w:tc>
          <w:tcPr>
            <w:tcW w:w="5529" w:type="dxa"/>
            <w:tcBorders>
              <w:top w:val="nil"/>
            </w:tcBorders>
            <w:shd w:val="clear" w:color="auto" w:fill="C6D9F1" w:themeFill="text2" w:themeFillTint="33"/>
            <w:noWrap/>
          </w:tcPr>
          <w:p>
            <w:pPr>
              <w:spacing w:after="0" w:line="240" w:lineRule="auto"/>
              <w:rPr>
                <w:rFonts w:ascii="Times New Roman" w:hAnsi="Times New Roman" w:cs="Times New Roman"/>
                <w:b/>
                <w:noProof/>
                <w:color w:val="000000"/>
                <w:sz w:val="18"/>
                <w:szCs w:val="18"/>
                <w:lang w:val="en-IE"/>
              </w:rPr>
            </w:pP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137</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C10.R1</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3222"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Създаване на Института за Фонда за справедлив преход </w:t>
            </w:r>
          </w:p>
        </w:tc>
        <w:tc>
          <w:tcPr>
            <w:tcW w:w="103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Публикуване в ОВ:</w:t>
            </w:r>
          </w:p>
        </w:tc>
        <w:tc>
          <w:tcPr>
            <w:tcW w:w="85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63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63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263"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T1</w:t>
            </w:r>
          </w:p>
        </w:tc>
        <w:tc>
          <w:tcPr>
            <w:tcW w:w="72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2020</w:t>
            </w:r>
          </w:p>
        </w:tc>
        <w:tc>
          <w:tcPr>
            <w:tcW w:w="5529"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С Кралски указ 500/2020 създаването на Института за Фонда за справедлив преход. Целта на Института е да определи и приеме основани на солидарност мерки, които гарантират справедливо третиране на работниците и териториите, засегнати от прехода към нисковъглеродна икономика, свеждане до минимум на отрицателното въздействие върху заетостта и населението на тези територии и оптимизиране на възможностите на процеса на трансформация.</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138</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C10.R1</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w:t>
            </w:r>
          </w:p>
        </w:tc>
        <w:tc>
          <w:tcPr>
            <w:tcW w:w="3222"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Протоколи за справедлив преход </w:t>
            </w:r>
          </w:p>
        </w:tc>
        <w:tc>
          <w:tcPr>
            <w:tcW w:w="103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w:t>
            </w:r>
          </w:p>
        </w:tc>
        <w:tc>
          <w:tcPr>
            <w:tcW w:w="85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Номер</w:t>
            </w:r>
          </w:p>
        </w:tc>
        <w:tc>
          <w:tcPr>
            <w:tcW w:w="63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0</w:t>
            </w:r>
          </w:p>
        </w:tc>
        <w:tc>
          <w:tcPr>
            <w:tcW w:w="63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12</w:t>
            </w:r>
          </w:p>
        </w:tc>
        <w:tc>
          <w:tcPr>
            <w:tcW w:w="263"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T2</w:t>
            </w:r>
          </w:p>
        </w:tc>
        <w:tc>
          <w:tcPr>
            <w:tcW w:w="72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2023</w:t>
            </w:r>
          </w:p>
        </w:tc>
        <w:tc>
          <w:tcPr>
            <w:tcW w:w="5529"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След процес на участие – публикуване на уебсайта за справедлив преход на 12 протокола за справедлив преход, които включват ангажименти относно заетостта, възстановяването на околната среда и икономическото и социалното развитие на местното население в 12 засегнати области. Всеки от протоколите за фондовете за справедлив преход обхваща най-малко площ, засегната от затварянето на електроцентрала, захранвана с въглища.</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139</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C10.I1</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3222"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Програма за помощ за обучение в рамките на „справедлив преход“ и отпускане на помощ за икономическото развитие на районите, в които се извършва справедлив преход</w:t>
            </w:r>
          </w:p>
        </w:tc>
        <w:tc>
          <w:tcPr>
            <w:tcW w:w="103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Публикуване в ОВ:</w:t>
            </w:r>
          </w:p>
        </w:tc>
        <w:tc>
          <w:tcPr>
            <w:tcW w:w="85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63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63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263"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72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2021</w:t>
            </w:r>
          </w:p>
        </w:tc>
        <w:tc>
          <w:tcPr>
            <w:tcW w:w="5529"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Публикуване в Официален вестник на: а) заповед за одобряване на регулаторната рамка за програмата за помощ за обучение „справедлив преход“, в която се посочва планът за подпомагане на професионалната квалификация и интеграцията на пазара на труда на работниците и хората, засегнати от прехода към нисковъглеродна икономика; и б) заповед за определяне на регулаторните основи за предоставяне на помощ за икономическото развитие на районите, в които се извършва справедлив преход, чрез развитието на екологична, цифрова и социална инфраструктура в общините и териториите в преход към нисковъглеродна икономика.</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140</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C10.I1</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w:t>
            </w:r>
          </w:p>
        </w:tc>
        <w:tc>
          <w:tcPr>
            <w:tcW w:w="3222"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Подкрепа за екологични, цифрови и социални инфраструктурни проекти.</w:t>
            </w:r>
          </w:p>
        </w:tc>
        <w:tc>
          <w:tcPr>
            <w:tcW w:w="103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w:t>
            </w:r>
          </w:p>
        </w:tc>
        <w:tc>
          <w:tcPr>
            <w:tcW w:w="85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Номер</w:t>
            </w:r>
          </w:p>
        </w:tc>
        <w:tc>
          <w:tcPr>
            <w:tcW w:w="63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0</w:t>
            </w:r>
          </w:p>
        </w:tc>
        <w:tc>
          <w:tcPr>
            <w:tcW w:w="63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100</w:t>
            </w:r>
          </w:p>
        </w:tc>
        <w:tc>
          <w:tcPr>
            <w:tcW w:w="263"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72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2022</w:t>
            </w:r>
          </w:p>
        </w:tc>
        <w:tc>
          <w:tcPr>
            <w:tcW w:w="5529"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Публикуване в Официален вестник на присъждането на най-малко 91000000 EUR за поне 100 екологични, цифрови и социални инфраструктурни проекти в общините и териториите в преход към нисковъглеродна икономика. 100-те проекта за екологична, цифрова и социална инфраструктура са разположени в общини и територии в райони на справедлив преход. </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141</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C10.I1</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w:t>
            </w:r>
          </w:p>
        </w:tc>
        <w:tc>
          <w:tcPr>
            <w:tcW w:w="3222"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Помощ при търсене на работа и преквалификация за безработни лица </w:t>
            </w:r>
          </w:p>
        </w:tc>
        <w:tc>
          <w:tcPr>
            <w:tcW w:w="103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w:t>
            </w:r>
          </w:p>
        </w:tc>
        <w:tc>
          <w:tcPr>
            <w:tcW w:w="85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Номер</w:t>
            </w:r>
          </w:p>
        </w:tc>
        <w:tc>
          <w:tcPr>
            <w:tcW w:w="63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0</w:t>
            </w:r>
          </w:p>
        </w:tc>
        <w:tc>
          <w:tcPr>
            <w:tcW w:w="63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4 000</w:t>
            </w:r>
          </w:p>
        </w:tc>
        <w:tc>
          <w:tcPr>
            <w:tcW w:w="263"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T3</w:t>
            </w:r>
          </w:p>
        </w:tc>
        <w:tc>
          <w:tcPr>
            <w:tcW w:w="72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2023</w:t>
            </w:r>
          </w:p>
        </w:tc>
        <w:tc>
          <w:tcPr>
            <w:tcW w:w="5529"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Най-малко 4 000 души са се възползвали от индивидуална помощ при търсене на работа и индивидуални пътища за преквалификация за безработни лица в зоните на справедлив преход. Пътищата за преквалификация обхващат най-малко следните области: инсталиране и разпространение на енергия от възобновяеми източници (вятърна и фотоволтаична), възстановяване и управление на околната среда и/или интегрирано и енергийно саниране на жилищата.</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142</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C10.I1</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w:t>
            </w:r>
          </w:p>
        </w:tc>
        <w:tc>
          <w:tcPr>
            <w:tcW w:w="3222"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Инвестиционни проекти за адаптиране на промишлените съоръжения за зелен водород и съхранение на енергия.</w:t>
            </w:r>
          </w:p>
        </w:tc>
        <w:tc>
          <w:tcPr>
            <w:tcW w:w="103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w:t>
            </w:r>
          </w:p>
        </w:tc>
        <w:tc>
          <w:tcPr>
            <w:tcW w:w="85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Номер</w:t>
            </w:r>
          </w:p>
        </w:tc>
        <w:tc>
          <w:tcPr>
            <w:tcW w:w="63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0</w:t>
            </w:r>
          </w:p>
        </w:tc>
        <w:tc>
          <w:tcPr>
            <w:tcW w:w="63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2</w:t>
            </w:r>
          </w:p>
        </w:tc>
        <w:tc>
          <w:tcPr>
            <w:tcW w:w="263"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72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2023</w:t>
            </w:r>
          </w:p>
        </w:tc>
        <w:tc>
          <w:tcPr>
            <w:tcW w:w="5529"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Приключване на два инвестиционни проекта за адаптиране на промишлените съоръжения като бъдещ Infraestructura </w:t>
            </w:r>
            <w:r>
              <w:rPr>
                <w:rFonts w:ascii="Times New Roman" w:hAnsi="Times New Roman"/>
                <w:i/>
                <w:iCs/>
                <w:noProof/>
                <w:color w:val="000000"/>
                <w:sz w:val="18"/>
                <w:szCs w:val="18"/>
              </w:rPr>
              <w:t>Científica y Técnica Singular</w:t>
            </w:r>
            <w:r>
              <w:rPr>
                <w:rFonts w:ascii="Times New Roman" w:hAnsi="Times New Roman"/>
                <w:noProof/>
                <w:color w:val="000000"/>
                <w:sz w:val="18"/>
                <w:szCs w:val="18"/>
              </w:rPr>
              <w:t xml:space="preserve"> (ICTP) за валидиране на производството на зелен водород и съхранението на енергия. Проектите адаптират инсталациите и лабораториите на Ciudad de la Energía (CIUDEN) за два проекта за НИРДИ за производство на зелен водород и съхранение на енергия.</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143</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C10.I1</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w:t>
            </w:r>
          </w:p>
        </w:tc>
        <w:tc>
          <w:tcPr>
            <w:tcW w:w="3222"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Рехабилитирани земи в затворени въгледобивни мини или в съседни на електроцентрали райони.</w:t>
            </w:r>
          </w:p>
        </w:tc>
        <w:tc>
          <w:tcPr>
            <w:tcW w:w="103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w:t>
            </w:r>
          </w:p>
        </w:tc>
        <w:tc>
          <w:tcPr>
            <w:tcW w:w="85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Брой (хектари)</w:t>
            </w:r>
          </w:p>
        </w:tc>
        <w:tc>
          <w:tcPr>
            <w:tcW w:w="63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0</w:t>
            </w:r>
          </w:p>
        </w:tc>
        <w:tc>
          <w:tcPr>
            <w:tcW w:w="63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2 000</w:t>
            </w:r>
          </w:p>
        </w:tc>
        <w:tc>
          <w:tcPr>
            <w:tcW w:w="263"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T2</w:t>
            </w:r>
          </w:p>
        </w:tc>
        <w:tc>
          <w:tcPr>
            <w:tcW w:w="72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2026</w:t>
            </w:r>
          </w:p>
        </w:tc>
        <w:tc>
          <w:tcPr>
            <w:tcW w:w="5529"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Най-малко 2000 хектара рехабилитирана земя в затворени въгледобивни обекти или в съседни на топлоелектрически или атомни електроцентрали райони. Площ на рехабилитираната земя в замърсени райони, по-специално въгледобивни площадки или земя, граничеща с топлинни или атомни електроцентрали, където се демонтират централи и минни съоръжения, а почвата се рехабилитира и се подлага на процеси на повторно залесяване или рекултивация, инсталации за енергия от възобновяеми източници или екологично алтернативно икономическо развитие.</w:t>
            </w:r>
          </w:p>
        </w:tc>
      </w:tr>
    </w:tbl>
    <w:p>
      <w:pPr>
        <w:spacing w:before="120" w:after="120" w:line="240" w:lineRule="auto"/>
        <w:ind w:left="709"/>
        <w:jc w:val="both"/>
        <w:rPr>
          <w:rFonts w:ascii="Times New Roman" w:hAnsi="Times New Roman" w:cs="Times New Roman"/>
          <w:noProof/>
          <w:sz w:val="24"/>
        </w:rPr>
      </w:pPr>
    </w:p>
    <w:p>
      <w:pPr>
        <w:spacing w:before="120" w:after="120" w:line="240" w:lineRule="auto"/>
        <w:ind w:left="709"/>
        <w:jc w:val="both"/>
        <w:rPr>
          <w:rFonts w:ascii="Times New Roman" w:hAnsi="Times New Roman" w:cs="Times New Roman"/>
          <w:noProof/>
          <w:sz w:val="24"/>
          <w:szCs w:val="24"/>
        </w:rPr>
        <w:sectPr>
          <w:headerReference w:type="even" r:id="rId133"/>
          <w:headerReference w:type="default" r:id="rId134"/>
          <w:footerReference w:type="even" r:id="rId135"/>
          <w:footerReference w:type="default" r:id="rId136"/>
          <w:headerReference w:type="first" r:id="rId137"/>
          <w:footerReference w:type="first" r:id="rId138"/>
          <w:pgSz w:w="16839" w:h="11907" w:orient="landscape"/>
          <w:pgMar w:top="1417" w:right="1134" w:bottom="1417" w:left="1134" w:header="709" w:footer="709" w:gutter="0"/>
          <w:cols w:space="720"/>
          <w:docGrid w:linePitch="360"/>
        </w:sectPr>
      </w:pPr>
    </w:p>
    <w:p>
      <w:pPr>
        <w:pStyle w:val="Heading1"/>
        <w:jc w:val="left"/>
        <w:rPr>
          <w:noProof/>
          <w:spacing w:val="-4"/>
        </w:rPr>
      </w:pPr>
      <w:r>
        <w:rPr>
          <w:noProof/>
          <w:spacing w:val="-4"/>
        </w:rPr>
        <w:t>К. КОМПОНЕНТ 11: Модернизиране на публичната администрация</w:t>
      </w:r>
    </w:p>
    <w:p>
      <w:pPr>
        <w:spacing w:before="120" w:after="12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Този компонент на испанския план за възстановяване и устойчивост е насочен към предизвикателства, свързани с публичната администрация, включително ефективността на съдебната система, административния капацитет и сътрудничеството между различните равнища на управление. Тя има за цел да модернизира публичната администрация на Испания чрез реформиране на административните процеси, обществените поръчки, правосъдието, публичната заетост, включително политиките в областта на човешките ресурси; повишаване на достъпността и ефективността на обществените услуги чрез по-нататъшно цифровизиране на тези услуги; насърчаване на енергоспестяването, използването на енергия от възобновяеми източници в обществените сгради и инфраструктура, насърчаване на устойчивата мобилност на държавните служители; и укрепване на административния капацитет на публичните администрации за наблюдение, контрол и прилагане на публичните политики. Ключовите мерки за постигане на тези цели са следните:</w:t>
      </w:r>
    </w:p>
    <w:p>
      <w:pPr>
        <w:numPr>
          <w:ilvl w:val="0"/>
          <w:numId w:val="62"/>
        </w:numPr>
        <w:spacing w:before="120" w:after="120" w:line="240" w:lineRule="auto"/>
        <w:ind w:left="714" w:hanging="357"/>
        <w:contextualSpacing/>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реформиране на централната, регионалната и местната публична администрация чрез подобряване на сътрудничеството между тях, укрепване на рамката за обществените поръчки, оценка на публичните политики и насърчаване на прехода към безсрочни трудови договори;</w:t>
      </w:r>
    </w:p>
    <w:p>
      <w:pPr>
        <w:numPr>
          <w:ilvl w:val="0"/>
          <w:numId w:val="62"/>
        </w:numPr>
        <w:spacing w:before="120" w:after="120" w:line="240" w:lineRule="auto"/>
        <w:ind w:left="714" w:hanging="357"/>
        <w:contextualSpacing/>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цифровизация на администрациите и процесите с пет приоритетни проекта в стратегически области: правосъдие, публични служби по заетостта, данни за общественото здраве, управление на консулствата и териториална администрация;</w:t>
      </w:r>
    </w:p>
    <w:p>
      <w:pPr>
        <w:numPr>
          <w:ilvl w:val="0"/>
          <w:numId w:val="62"/>
        </w:numPr>
        <w:spacing w:before="120" w:after="120" w:line="240" w:lineRule="auto"/>
        <w:ind w:left="714" w:hanging="357"/>
        <w:contextualSpacing/>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план за енергиен преход на централното правителство;</w:t>
      </w:r>
    </w:p>
    <w:p>
      <w:pPr>
        <w:numPr>
          <w:ilvl w:val="0"/>
          <w:numId w:val="62"/>
        </w:numPr>
        <w:spacing w:before="120" w:after="120" w:line="259" w:lineRule="auto"/>
        <w:ind w:left="714" w:hanging="357"/>
        <w:contextualSpacing/>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укрепване на административния капацитет.</w:t>
      </w:r>
    </w:p>
    <w:p>
      <w:pPr>
        <w:spacing w:before="120" w:after="120" w:line="240" w:lineRule="auto"/>
        <w:jc w:val="both"/>
        <w:rPr>
          <w:rFonts w:ascii="Times New Roman" w:hAnsi="Times New Roman" w:cs="Times New Roman"/>
          <w:noProof/>
          <w:sz w:val="24"/>
        </w:rPr>
      </w:pPr>
      <w:r>
        <w:rPr>
          <w:rFonts w:ascii="Times New Roman" w:hAnsi="Times New Roman"/>
          <w:noProof/>
          <w:sz w:val="24"/>
        </w:rPr>
        <w:t>Този компонент на испанския план за възстановяване и устойчивост е насочен към специфичните за всяка държава препоръки за укрепване на рамката за обществените поръчки (специфични за всяка държава препоръки 1 2019 г. и 4 2020 г.), насърчаване на прехода към безсрочни договори (специфична препоръка за държавата 2 2019 г.), съсредоточаване на публичните инвестиционни проекти в началото на периода и насочване на инвестициите към екологичния и цифровия преход (специфични за всяка държава препоръки 3 2019 и 3 2020 г.) и подобряване на сътрудничеството между администрациите (специфични за всяка държава препоръки 4 2019 и 2020 г.).</w:t>
      </w:r>
    </w:p>
    <w:p>
      <w:pPr>
        <w:spacing w:before="120" w:after="12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Очаква се, че нито една мярка в този компонент не вреди в значителна степен на екологичните цели по смисъла на член 17 от Регламент (ЕС) 2020/852, като се вземат предвид описанието на мерките и стъпките за смекчаване на последиците, определени в плана за възстановяване и устойчивост в съответствие с Техническите насоки за спазването на „принципа за ненанасяне на съществена вреда“ (2021/C58/01).</w:t>
      </w:r>
    </w:p>
    <w:p>
      <w:pPr>
        <w:spacing w:before="120" w:after="120" w:line="240" w:lineRule="auto"/>
        <w:jc w:val="both"/>
        <w:rPr>
          <w:rFonts w:ascii="Times New Roman" w:hAnsi="Times New Roman" w:cs="Times New Roman"/>
          <w:b/>
          <w:bCs/>
          <w:i/>
          <w:iCs/>
          <w:noProof/>
          <w:color w:val="000000" w:themeColor="text1"/>
          <w:spacing w:val="-4"/>
          <w:sz w:val="24"/>
        </w:rPr>
      </w:pPr>
      <w:r>
        <w:rPr>
          <w:rFonts w:ascii="Times New Roman" w:hAnsi="Times New Roman"/>
          <w:b/>
          <w:bCs/>
          <w:noProof/>
          <w:color w:val="000000" w:themeColor="text1"/>
          <w:spacing w:val="-4"/>
          <w:sz w:val="24"/>
          <w:u w:val="single"/>
        </w:rPr>
        <w:t xml:space="preserve">К.1. </w:t>
      </w:r>
      <w:r>
        <w:rPr>
          <w:rFonts w:ascii="Times New Roman" w:hAnsi="Times New Roman"/>
          <w:b/>
          <w:noProof/>
          <w:color w:val="000000" w:themeColor="text1"/>
          <w:spacing w:val="-4"/>
          <w:sz w:val="24"/>
          <w:u w:val="single"/>
        </w:rPr>
        <w:tab/>
      </w:r>
      <w:r>
        <w:rPr>
          <w:rFonts w:ascii="Times New Roman" w:hAnsi="Times New Roman"/>
          <w:b/>
          <w:bCs/>
          <w:noProof/>
          <w:color w:val="000000" w:themeColor="text1"/>
          <w:spacing w:val="-4"/>
          <w:sz w:val="24"/>
          <w:u w:val="single"/>
        </w:rPr>
        <w:t>Описание на реформите и инвестициите за безвъзмездна финансова подкрепа</w:t>
      </w:r>
    </w:p>
    <w:p>
      <w:pPr>
        <w:spacing w:before="120" w:after="120" w:line="240" w:lineRule="auto"/>
        <w:jc w:val="both"/>
        <w:rPr>
          <w:rFonts w:ascii="Times New Roman" w:hAnsi="Times New Roman" w:cs="Times New Roman"/>
          <w:noProof/>
          <w:color w:val="000000" w:themeColor="text1"/>
          <w:sz w:val="24"/>
          <w:u w:val="single"/>
        </w:rPr>
      </w:pPr>
      <w:r>
        <w:rPr>
          <w:rFonts w:ascii="Times New Roman" w:hAnsi="Times New Roman"/>
          <w:noProof/>
          <w:color w:val="000000" w:themeColor="text1"/>
          <w:sz w:val="24"/>
          <w:u w:val="single"/>
        </w:rPr>
        <w:t xml:space="preserve">Реформа 1 (C11.R1) – Реформа за модернизиране и цифровизация на администрацията </w:t>
      </w:r>
    </w:p>
    <w:p>
      <w:pPr>
        <w:spacing w:before="120" w:after="120" w:line="240" w:lineRule="auto"/>
        <w:jc w:val="both"/>
        <w:rPr>
          <w:rFonts w:ascii="Times New Roman" w:hAnsi="Times New Roman" w:cs="Times New Roman"/>
          <w:noProof/>
          <w:sz w:val="24"/>
          <w:szCs w:val="24"/>
        </w:rPr>
      </w:pPr>
      <w:r>
        <w:rPr>
          <w:rFonts w:ascii="Times New Roman" w:hAnsi="Times New Roman"/>
          <w:noProof/>
          <w:color w:val="000000" w:themeColor="text1"/>
          <w:sz w:val="24"/>
          <w:szCs w:val="24"/>
        </w:rPr>
        <w:t xml:space="preserve">Тази мярка се изразява в множество направления на действие за преодоляване на слабостите в политиките за заетост на публичните администрации, за засилване на сътрудничеството и координацията между различните равнища на управление и за подобряване на начина, по който централното правителство прилага публичните политики. По отношение на политиките по заетостта целта е да се намали процентът на временно наетите служители в публичните администрации и да се укрепи капацитетът за заетост в публичния сектор чрез преминаване към основан на уменията модел на човешките ресурси, включително за целите на набирането на персонал. </w:t>
      </w:r>
      <w:r>
        <w:rPr>
          <w:rFonts w:ascii="Times New Roman" w:hAnsi="Times New Roman"/>
          <w:noProof/>
          <w:sz w:val="24"/>
          <w:szCs w:val="24"/>
        </w:rPr>
        <w:t>Втората линия на действие е да се доразвие предварителната оценка на политиката и да се повиши прозрачността и участието на гражданите в изготвянето на публичните политики. И накрая, реформата ще укрепи съществуващите инструменти за сътрудничество между различните равнища на управление в Испания. Това засилва ролята на секторните конференции, съществуващите органи за сътрудничество с регионите, като изяснява кога те могат да постигнат споразумения за задължително спазване. Реформата също така подсилва председателския съвет (на който министър-председателят и председателите на автономните области заседават на най-високо равнище). Реформата се отнася и до инструменти, чрез които е възможно сътрудничество между публичните администрации, тя установява цифрова междуадминистративна взаимосвързаност и оперативна съвместимост между ИТ платформите на централното и регионалното правителство.</w:t>
      </w:r>
    </w:p>
    <w:p>
      <w:pPr>
        <w:spacing w:before="120" w:after="120" w:line="240" w:lineRule="auto"/>
        <w:jc w:val="both"/>
        <w:rPr>
          <w:rFonts w:ascii="Times New Roman" w:hAnsi="Times New Roman" w:cs="Times New Roman"/>
          <w:noProof/>
          <w:color w:val="000000" w:themeColor="text1"/>
          <w:sz w:val="24"/>
        </w:rPr>
      </w:pPr>
      <w:r>
        <w:rPr>
          <w:rFonts w:ascii="Times New Roman" w:hAnsi="Times New Roman"/>
          <w:noProof/>
          <w:sz w:val="24"/>
        </w:rPr>
        <w:t>Изпълнението на тази мярка приключва до 31 декември 2024 г.</w:t>
      </w:r>
    </w:p>
    <w:p>
      <w:pPr>
        <w:keepNext/>
        <w:spacing w:before="120" w:after="120" w:line="240" w:lineRule="auto"/>
        <w:jc w:val="both"/>
        <w:rPr>
          <w:rFonts w:ascii="Times New Roman" w:hAnsi="Times New Roman" w:cs="Times New Roman"/>
          <w:noProof/>
          <w:color w:val="000000" w:themeColor="text1"/>
          <w:sz w:val="24"/>
          <w:u w:val="single"/>
        </w:rPr>
      </w:pPr>
      <w:r>
        <w:rPr>
          <w:rFonts w:ascii="Times New Roman" w:hAnsi="Times New Roman"/>
          <w:noProof/>
          <w:color w:val="000000" w:themeColor="text1"/>
          <w:sz w:val="24"/>
          <w:u w:val="single"/>
        </w:rPr>
        <w:t>Реформа 2 (C11.R2) – Реформа за укрепване на принципите на правовата държава и ефективността на съдебната система</w:t>
      </w:r>
    </w:p>
    <w:p>
      <w:pPr>
        <w:keepNext/>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В Закон 3/2020 от 18 септември и в програмата „Правосъдие 2030“ се определя пътна карта за реформа на правораздаването в Испания. В този контекст тази мярка ще модернизира правосъдната система с влизането в сила (като се вземе предвид </w:t>
      </w:r>
      <w:r>
        <w:rPr>
          <w:rFonts w:ascii="Times New Roman" w:hAnsi="Times New Roman"/>
          <w:i/>
          <w:iCs/>
          <w:noProof/>
          <w:sz w:val="24"/>
          <w:szCs w:val="24"/>
        </w:rPr>
        <w:t>vacatio legis</w:t>
      </w:r>
      <w:r>
        <w:rPr>
          <w:rFonts w:ascii="Times New Roman" w:hAnsi="Times New Roman"/>
          <w:noProof/>
          <w:sz w:val="24"/>
          <w:szCs w:val="24"/>
        </w:rPr>
        <w:t xml:space="preserve">, установен във всеки закон), </w:t>
      </w:r>
    </w:p>
    <w:p>
      <w:pPr>
        <w:spacing w:before="120" w:after="120" w:line="240" w:lineRule="auto"/>
        <w:jc w:val="both"/>
        <w:rPr>
          <w:rFonts w:ascii="Times New Roman" w:hAnsi="Times New Roman" w:cs="Times New Roman"/>
          <w:noProof/>
          <w:sz w:val="24"/>
        </w:rPr>
      </w:pPr>
      <w:r>
        <w:rPr>
          <w:rFonts w:ascii="Times New Roman" w:hAnsi="Times New Roman"/>
          <w:noProof/>
          <w:sz w:val="24"/>
        </w:rPr>
        <w:t>до 31 декември 2022 г.:</w:t>
      </w:r>
    </w:p>
    <w:p>
      <w:pPr>
        <w:numPr>
          <w:ilvl w:val="0"/>
          <w:numId w:val="65"/>
        </w:numPr>
        <w:spacing w:before="120" w:after="120" w:line="240" w:lineRule="auto"/>
        <w:jc w:val="both"/>
        <w:rPr>
          <w:rFonts w:ascii="Times New Roman" w:hAnsi="Times New Roman" w:cs="Times New Roman"/>
          <w:noProof/>
          <w:sz w:val="24"/>
        </w:rPr>
      </w:pPr>
      <w:r>
        <w:rPr>
          <w:rFonts w:ascii="Times New Roman" w:hAnsi="Times New Roman"/>
          <w:noProof/>
          <w:sz w:val="24"/>
        </w:rPr>
        <w:t xml:space="preserve">закон за процесуалната ефективност, за да се съкрати продължителността на производствата във всички юрисдикции, като същевременно се запазят процесуалните гаранции на гражданите, както и създаването на подходящи алтернативни средства за уреждане на спорове; </w:t>
      </w:r>
    </w:p>
    <w:p>
      <w:pPr>
        <w:numPr>
          <w:ilvl w:val="0"/>
          <w:numId w:val="65"/>
        </w:numPr>
        <w:spacing w:before="120" w:after="120" w:line="240" w:lineRule="auto"/>
        <w:jc w:val="both"/>
        <w:rPr>
          <w:rFonts w:ascii="Times New Roman" w:hAnsi="Times New Roman" w:cs="Times New Roman"/>
          <w:bCs/>
          <w:noProof/>
          <w:sz w:val="24"/>
        </w:rPr>
      </w:pPr>
      <w:r>
        <w:rPr>
          <w:rFonts w:ascii="Times New Roman" w:hAnsi="Times New Roman"/>
          <w:noProof/>
          <w:sz w:val="24"/>
        </w:rPr>
        <w:t>реформа на Наказателно-процесуалния кодекс, за да се възложи провеждането на съдебно разследване на прокурорите, вместо то да се ръководи от разследващи съдии;</w:t>
      </w:r>
    </w:p>
    <w:p>
      <w:pPr>
        <w:spacing w:before="120" w:after="120" w:line="240" w:lineRule="auto"/>
        <w:jc w:val="both"/>
        <w:rPr>
          <w:rFonts w:ascii="Times New Roman" w:hAnsi="Times New Roman" w:cs="Times New Roman"/>
          <w:bCs/>
          <w:noProof/>
          <w:sz w:val="24"/>
        </w:rPr>
      </w:pPr>
      <w:r>
        <w:rPr>
          <w:rFonts w:ascii="Times New Roman" w:hAnsi="Times New Roman"/>
          <w:bCs/>
          <w:noProof/>
          <w:sz w:val="24"/>
        </w:rPr>
        <w:t>до 31 декември 2023 г.:</w:t>
      </w:r>
    </w:p>
    <w:p>
      <w:pPr>
        <w:numPr>
          <w:ilvl w:val="0"/>
          <w:numId w:val="65"/>
        </w:numPr>
        <w:spacing w:before="120" w:after="120" w:line="240" w:lineRule="auto"/>
        <w:jc w:val="both"/>
        <w:rPr>
          <w:rFonts w:ascii="Times New Roman" w:hAnsi="Times New Roman" w:cs="Times New Roman"/>
          <w:bCs/>
          <w:noProof/>
          <w:sz w:val="24"/>
        </w:rPr>
      </w:pPr>
      <w:r>
        <w:rPr>
          <w:rFonts w:ascii="Times New Roman" w:hAnsi="Times New Roman"/>
          <w:noProof/>
          <w:sz w:val="24"/>
        </w:rPr>
        <w:t xml:space="preserve">закон за цифровата ефективност, насърчаващ основана на данни архитектура за управление на информацията; </w:t>
      </w:r>
    </w:p>
    <w:p>
      <w:pPr>
        <w:numPr>
          <w:ilvl w:val="0"/>
          <w:numId w:val="65"/>
        </w:num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закон за организационната ефективност на правосъдната система, за изменение на организацията на съдебната карта. Мярката заменя големия брой неличностни първоинстанционни съдилища с 431 колегиални органа (</w:t>
      </w:r>
      <w:r>
        <w:rPr>
          <w:rFonts w:ascii="Times New Roman" w:hAnsi="Times New Roman"/>
          <w:i/>
          <w:noProof/>
          <w:sz w:val="24"/>
          <w:szCs w:val="24"/>
        </w:rPr>
        <w:t>Tribunales de Instancia</w:t>
      </w:r>
      <w:r>
        <w:rPr>
          <w:rFonts w:ascii="Times New Roman" w:hAnsi="Times New Roman"/>
          <w:noProof/>
          <w:sz w:val="24"/>
          <w:szCs w:val="24"/>
        </w:rPr>
        <w:t>) и изпълнява Съдебната служба.</w:t>
      </w:r>
    </w:p>
    <w:p>
      <w:pPr>
        <w:spacing w:before="120" w:after="120" w:line="240" w:lineRule="auto"/>
        <w:jc w:val="both"/>
        <w:rPr>
          <w:rFonts w:ascii="Times New Roman" w:hAnsi="Times New Roman" w:cs="Times New Roman"/>
          <w:noProof/>
          <w:color w:val="000000" w:themeColor="text1"/>
          <w:sz w:val="24"/>
          <w:u w:val="single"/>
        </w:rPr>
      </w:pPr>
      <w:r>
        <w:rPr>
          <w:rFonts w:ascii="Times New Roman" w:hAnsi="Times New Roman"/>
          <w:noProof/>
          <w:sz w:val="24"/>
        </w:rPr>
        <w:t>Изпълнението на мярката приключва до 31 декември 2022 г.</w:t>
      </w:r>
    </w:p>
    <w:p>
      <w:pPr>
        <w:spacing w:before="120" w:after="120" w:line="240" w:lineRule="auto"/>
        <w:jc w:val="both"/>
        <w:rPr>
          <w:rFonts w:ascii="Times New Roman" w:hAnsi="Times New Roman" w:cs="Times New Roman"/>
          <w:noProof/>
          <w:color w:val="000000" w:themeColor="text1"/>
          <w:sz w:val="24"/>
          <w:u w:val="single"/>
        </w:rPr>
      </w:pPr>
      <w:r>
        <w:rPr>
          <w:rFonts w:ascii="Times New Roman" w:hAnsi="Times New Roman"/>
          <w:noProof/>
          <w:color w:val="000000" w:themeColor="text1"/>
          <w:sz w:val="24"/>
          <w:u w:val="single"/>
        </w:rPr>
        <w:t>Реформа 3 (C11.R3) – Реформа за модернизиране на институционалната структура на икономическото управление</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С тази мярка се реформират аспектите на институционалната рамка за икономическо управление, включително чрез ускоряване и насърчаване на цифровизацията на процесите. Тя включва: а) реформа на начина, по който </w:t>
      </w:r>
      <w:r>
        <w:rPr>
          <w:rFonts w:ascii="Times New Roman" w:hAnsi="Times New Roman"/>
          <w:i/>
          <w:noProof/>
          <w:sz w:val="24"/>
          <w:szCs w:val="24"/>
        </w:rPr>
        <w:t>Caja General de Depósitos</w:t>
      </w:r>
      <w:r>
        <w:rPr>
          <w:rFonts w:ascii="Times New Roman" w:hAnsi="Times New Roman"/>
          <w:noProof/>
          <w:sz w:val="24"/>
          <w:szCs w:val="24"/>
        </w:rPr>
        <w:t xml:space="preserve"> (Генерален фонд за депозити) обработва гаранциите, за да ги направи електронни; б) създаване на Органа за защита на финансовите клиенти, чиято цел е да гарантира правата на финансовите клиенти; в) подобряване на институционалната рамка за оздравяване на финансови институции чрез закон за изменение на настоящата институционална рамка за преструктуриране; и г) модернизиране на надзора в областта на финансите и одита чрез реформа на Общия счетоводен план и Регламента относно одита.</w:t>
      </w:r>
    </w:p>
    <w:p>
      <w:pPr>
        <w:spacing w:before="120" w:after="120" w:line="240" w:lineRule="auto"/>
        <w:jc w:val="both"/>
        <w:rPr>
          <w:rFonts w:ascii="Times New Roman" w:hAnsi="Times New Roman" w:cs="Times New Roman"/>
          <w:noProof/>
          <w:sz w:val="24"/>
        </w:rPr>
      </w:pPr>
      <w:r>
        <w:rPr>
          <w:rFonts w:ascii="Times New Roman" w:hAnsi="Times New Roman"/>
          <w:noProof/>
          <w:sz w:val="24"/>
        </w:rPr>
        <w:t>Изпълнението на мярката приключва до 31 декември 2022 г.</w:t>
      </w:r>
    </w:p>
    <w:p>
      <w:pPr>
        <w:spacing w:before="120" w:after="120" w:line="240" w:lineRule="auto"/>
        <w:jc w:val="both"/>
        <w:rPr>
          <w:rFonts w:ascii="Times New Roman" w:hAnsi="Times New Roman" w:cs="Times New Roman"/>
          <w:noProof/>
          <w:color w:val="000000" w:themeColor="text1"/>
          <w:sz w:val="24"/>
          <w:u w:val="single"/>
        </w:rPr>
      </w:pPr>
      <w:r>
        <w:rPr>
          <w:rFonts w:ascii="Times New Roman" w:hAnsi="Times New Roman"/>
          <w:noProof/>
          <w:sz w:val="24"/>
          <w:u w:val="single"/>
        </w:rPr>
        <w:t>Реформа 4 (C11.R4) — Национална стратегия за обществените поръчки</w:t>
      </w:r>
      <w:r>
        <w:rPr>
          <w:rFonts w:ascii="Times New Roman" w:hAnsi="Times New Roman"/>
          <w:noProof/>
          <w:color w:val="000000" w:themeColor="text1"/>
          <w:sz w:val="24"/>
          <w:u w:val="single"/>
        </w:rPr>
        <w:t xml:space="preserve"> </w:t>
      </w:r>
    </w:p>
    <w:p>
      <w:pPr>
        <w:spacing w:before="120" w:after="12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Тази реформа приключва изпълнението на реформата в областта на обществените поръчки, предвидена в Закон 9/2017 за обществените поръчки (основен акт за транспониране на Директива 2014/24/ЕС на Европейския парламент и на Съвета от 26 февруари 2014 г. за обществените поръчки и за отмяна на Директива 2004/18/ЕО, текст от значение за ЕИП). По този начин се създава управленска структура, за да се отговори на необходимостта от съгласувана рамка за обществените поръчки, която да гарантира прозрачност, ефективни механизми за контрол, взаимно свързване на базите данни за обществените поръчки между всички равнища на управление и координация между различните равнища на управление, с цел: i) да направи националната служба за оценка напълно оперативна и ii) да приеме националната стратегия за обществените поръчки. </w:t>
      </w:r>
    </w:p>
    <w:p>
      <w:pPr>
        <w:spacing w:before="120" w:after="12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Испания вече е създала независима Служба за регулиране и надзор на обществените поръчки и Национална служба за оценка. Тази реформа разглежда и проблемите, свързани с ограниченото предоставяне на информация и бази данни за обществените поръчки, както и слабостите в структурата на възлагането на обществени поръчки. За тази цел реформата: подобряване на ефикасността на обществените поръчки (процеси, резултати, данни и информация); насърчаване на професионализацията на участниците (в съответствие с препоръката на Комисията от октомври 2017 г.); подобряване на достъпа на МСП; и г) укрепване на правната рамка на цифровите обществени поръчки.</w:t>
      </w:r>
    </w:p>
    <w:p>
      <w:pPr>
        <w:spacing w:before="120" w:after="120" w:line="240" w:lineRule="auto"/>
        <w:jc w:val="both"/>
        <w:rPr>
          <w:rFonts w:ascii="Times New Roman" w:hAnsi="Times New Roman" w:cs="Times New Roman"/>
          <w:noProof/>
          <w:sz w:val="24"/>
        </w:rPr>
      </w:pPr>
      <w:r>
        <w:rPr>
          <w:rFonts w:ascii="Times New Roman" w:hAnsi="Times New Roman"/>
          <w:noProof/>
          <w:sz w:val="24"/>
        </w:rPr>
        <w:t>Изпълнението на мярката приключва до 31 декември 2022 г.</w:t>
      </w:r>
    </w:p>
    <w:p>
      <w:pPr>
        <w:keepNext/>
        <w:spacing w:before="120" w:after="120" w:line="240" w:lineRule="auto"/>
        <w:jc w:val="both"/>
        <w:rPr>
          <w:rFonts w:ascii="Times New Roman" w:hAnsi="Times New Roman" w:cs="Times New Roman"/>
          <w:noProof/>
          <w:color w:val="000000" w:themeColor="text1"/>
          <w:sz w:val="24"/>
          <w:u w:val="single"/>
        </w:rPr>
      </w:pPr>
      <w:r>
        <w:rPr>
          <w:rFonts w:ascii="Times New Roman" w:hAnsi="Times New Roman"/>
          <w:noProof/>
          <w:sz w:val="24"/>
          <w:u w:val="single"/>
        </w:rPr>
        <w:t>Реформа 5 (C11.R5) —Административен капацитет</w:t>
      </w:r>
      <w:r>
        <w:rPr>
          <w:rFonts w:ascii="Times New Roman" w:hAnsi="Times New Roman"/>
          <w:noProof/>
          <w:color w:val="000000" w:themeColor="text1"/>
          <w:sz w:val="24"/>
          <w:u w:val="single"/>
        </w:rPr>
        <w:t xml:space="preserve"> </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Тази реформа ще модернизира вътрешното функциониране на публичните администрации, за да се подобри изпълнението на испанския план за възстановяване и устойчивост, с цел да се окаже дълготрайно въздействие върху изпълнението на бъдещите реформи и инвестиции от страна на испанската публична администрация. Като цяло, заедно с инвестиция 5, тя реформира капацитета на публичните администрации, за да гарантира правилното изпълнение на плана за възстановяване и устойчивост. Това предполага създаването на интегрирана информационна и управленска система; разработване на дейности за обучение на лицата, участващи в плана за възстановяване и устойчивост; и да разгърнат комуникационни дейности, насочени към потенциалните участници и бенефициери на плана за възстановяване и устойчивост, както и към предприятията и домакинствата като цяло, за да се запознаят с възможностите, предлагани от плана за възстановяване и устойчивост. </w:t>
      </w:r>
    </w:p>
    <w:p>
      <w:pPr>
        <w:spacing w:before="120" w:after="120" w:line="240" w:lineRule="auto"/>
        <w:jc w:val="both"/>
        <w:rPr>
          <w:rFonts w:ascii="Times New Roman" w:hAnsi="Times New Roman" w:cs="Times New Roman"/>
          <w:noProof/>
          <w:sz w:val="24"/>
        </w:rPr>
      </w:pPr>
      <w:r>
        <w:rPr>
          <w:rFonts w:ascii="Times New Roman" w:hAnsi="Times New Roman"/>
          <w:noProof/>
          <w:sz w:val="24"/>
        </w:rPr>
        <w:t>Управлението, докладването и наблюдението на действията, включени в плана за възстановяване и устойчивост, се осъществяват чрез нов модел на административно и финансово управление, за да се гарантира правилното изпълнение на действията, предвидени в плана за възстановяване и устойчивост. Този единен модел следва да бъде централизиран в рамките на Генералния секретариат за европейските фондове и ще се използва за отчетните министерства, съответните им звена за ИКТ и евентуално за партньорските администрации в регионите (автономни общности). За тази цел централното правителство прие Кралски законодателен указ 36/2020.</w:t>
      </w:r>
    </w:p>
    <w:p>
      <w:pPr>
        <w:spacing w:before="120" w:after="120" w:line="240" w:lineRule="auto"/>
        <w:jc w:val="both"/>
        <w:rPr>
          <w:rFonts w:ascii="Times New Roman" w:hAnsi="Times New Roman" w:cs="Times New Roman"/>
          <w:noProof/>
          <w:color w:val="000000" w:themeColor="text1"/>
          <w:sz w:val="24"/>
        </w:rPr>
      </w:pPr>
      <w:r>
        <w:rPr>
          <w:rFonts w:ascii="Times New Roman" w:hAnsi="Times New Roman"/>
          <w:noProof/>
          <w:sz w:val="24"/>
        </w:rPr>
        <w:t>Изпълнението на мярката приключва до 30 септември 2021 г.</w:t>
      </w:r>
    </w:p>
    <w:p>
      <w:pPr>
        <w:spacing w:before="120" w:after="120" w:line="240" w:lineRule="auto"/>
        <w:jc w:val="both"/>
        <w:rPr>
          <w:rFonts w:ascii="Times New Roman" w:hAnsi="Times New Roman" w:cs="Times New Roman"/>
          <w:noProof/>
          <w:color w:val="000000" w:themeColor="text1"/>
          <w:sz w:val="24"/>
          <w:szCs w:val="24"/>
          <w:u w:val="single"/>
        </w:rPr>
      </w:pPr>
      <w:r>
        <w:rPr>
          <w:rFonts w:ascii="Times New Roman" w:hAnsi="Times New Roman"/>
          <w:noProof/>
          <w:color w:val="000000" w:themeColor="text1"/>
          <w:sz w:val="24"/>
          <w:szCs w:val="24"/>
          <w:u w:val="single"/>
        </w:rPr>
        <w:t>Инвестиция 1 (C11.I1) – Модернизиране на общата държавна администрация</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Действията по инвестициите в C11.I1 и C11.I3 се разработват в съответствие със същите принципи, като I1 е насочена към централното правителство, а I3 към регионалните и местните органи. За всички тези субекти се предприема следното:</w:t>
      </w:r>
    </w:p>
    <w:p>
      <w:pPr>
        <w:numPr>
          <w:ilvl w:val="0"/>
          <w:numId w:val="63"/>
        </w:num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ориентирана към гражданите администрация, подобряване на цифровите обществени услуги, предоставяни на гражданите и предприятията, и мерки за изпълнение в съответствие с испанската Програма в областта на цифровите технологии до 2025 г.;</w:t>
      </w:r>
    </w:p>
    <w:p>
      <w:pPr>
        <w:numPr>
          <w:ilvl w:val="0"/>
          <w:numId w:val="63"/>
        </w:num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интелигентни операции и управление на данните, подобряване на качеството и ефикасността на управлението на услугите на публичните администрации (т.е. обществените поръчки), включително потока от данни, чрез използването на технологии за интелигентна автоматизация и цифрови инфраструктури;</w:t>
      </w:r>
    </w:p>
    <w:p>
      <w:pPr>
        <w:numPr>
          <w:ilvl w:val="0"/>
          <w:numId w:val="63"/>
        </w:num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цифрови инфраструктури и киберсигурност, насочени към осигуряване на испанската технологична инфраструктура на публичната администрация, необходима за тяхната модернизация .</w:t>
      </w:r>
      <w:r>
        <w:rPr>
          <w:rFonts w:ascii="Times New Roman" w:hAnsi="Times New Roman"/>
          <w:b/>
          <w:bCs/>
          <w:noProof/>
          <w:sz w:val="24"/>
          <w:szCs w:val="24"/>
        </w:rPr>
        <w:t xml:space="preserve"> </w:t>
      </w:r>
      <w:r>
        <w:rPr>
          <w:rFonts w:ascii="Times New Roman" w:hAnsi="Times New Roman"/>
          <w:noProof/>
          <w:sz w:val="24"/>
          <w:szCs w:val="24"/>
        </w:rPr>
        <w:t>По отношение на киберсигурността с тази мярка се създава Оперативен център за киберсигурност за цялата обща държавна администрация и нейните публични агенции за защита срещу заплахи за киберсигурността;</w:t>
      </w:r>
    </w:p>
    <w:p>
      <w:pPr>
        <w:spacing w:before="120" w:after="120" w:line="240" w:lineRule="auto"/>
        <w:jc w:val="both"/>
        <w:rPr>
          <w:rFonts w:ascii="Times New Roman" w:hAnsi="Times New Roman" w:cs="Times New Roman"/>
          <w:noProof/>
          <w:sz w:val="24"/>
          <w:szCs w:val="24"/>
        </w:rPr>
      </w:pPr>
      <w:r>
        <w:rPr>
          <w:rFonts w:ascii="Times New Roman" w:hAnsi="Times New Roman"/>
          <w:noProof/>
          <w:color w:val="000000" w:themeColor="text1"/>
          <w:sz w:val="24"/>
          <w:szCs w:val="24"/>
        </w:rPr>
        <w:t xml:space="preserve">Изпълнението на инвестицията приключва до 31 декември 2025 г. </w:t>
      </w:r>
    </w:p>
    <w:p>
      <w:pPr>
        <w:spacing w:before="120" w:after="120" w:line="240" w:lineRule="auto"/>
        <w:jc w:val="both"/>
        <w:rPr>
          <w:rFonts w:ascii="Times New Roman" w:hAnsi="Times New Roman" w:cs="Times New Roman"/>
          <w:noProof/>
          <w:color w:val="000000" w:themeColor="text1"/>
          <w:sz w:val="24"/>
          <w:szCs w:val="24"/>
          <w:u w:val="single"/>
        </w:rPr>
      </w:pPr>
      <w:r>
        <w:rPr>
          <w:rFonts w:ascii="Times New Roman" w:hAnsi="Times New Roman"/>
          <w:noProof/>
          <w:color w:val="000000" w:themeColor="text1"/>
          <w:sz w:val="24"/>
          <w:szCs w:val="24"/>
          <w:u w:val="single"/>
        </w:rPr>
        <w:t>Инвестиция 2 (C11.I2) – Специфични проекти за цифровизиране на централното управление</w:t>
      </w: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Тези инвестиции ще доведат до по-широко приемане на цифровизацията и развитието на цифровите услуги в цялата публична администрация. Областите на политиката за осъществяване на цифрова трансформация са:</w:t>
      </w:r>
    </w:p>
    <w:p>
      <w:pPr>
        <w:numPr>
          <w:ilvl w:val="0"/>
          <w:numId w:val="64"/>
        </w:numPr>
        <w:spacing w:before="120" w:after="0" w:line="259" w:lineRule="auto"/>
        <w:contextualSpacing/>
        <w:jc w:val="both"/>
        <w:rPr>
          <w:rFonts w:ascii="Times New Roman" w:hAnsi="Times New Roman" w:cs="Times New Roman"/>
          <w:bCs/>
          <w:iCs/>
          <w:noProof/>
          <w:sz w:val="24"/>
          <w:szCs w:val="24"/>
        </w:rPr>
      </w:pPr>
      <w:r>
        <w:rPr>
          <w:rFonts w:ascii="Times New Roman" w:hAnsi="Times New Roman"/>
          <w:noProof/>
          <w:sz w:val="24"/>
          <w:szCs w:val="24"/>
        </w:rPr>
        <w:t>система за здравеопазване Инвестицията подобрява оперативната съвместимост между централното правителство и автономните области, както и чрез насърчаване на анализа на данни;</w:t>
      </w:r>
    </w:p>
    <w:p>
      <w:pPr>
        <w:numPr>
          <w:ilvl w:val="0"/>
          <w:numId w:val="64"/>
        </w:numPr>
        <w:spacing w:before="120" w:after="0" w:line="259" w:lineRule="auto"/>
        <w:contextualSpacing/>
        <w:jc w:val="both"/>
        <w:rPr>
          <w:rFonts w:ascii="Times New Roman" w:hAnsi="Times New Roman" w:cs="Times New Roman"/>
          <w:bCs/>
          <w:iCs/>
          <w:noProof/>
          <w:sz w:val="24"/>
          <w:szCs w:val="24"/>
        </w:rPr>
      </w:pPr>
      <w:r>
        <w:rPr>
          <w:rFonts w:ascii="Times New Roman" w:hAnsi="Times New Roman"/>
          <w:noProof/>
          <w:sz w:val="24"/>
          <w:szCs w:val="24"/>
        </w:rPr>
        <w:t>съдебна система Инвестицията предоставя на гражданите и на правните субекти цифрови инструменти за по-добро управление на отношенията им с правораздаването;</w:t>
      </w:r>
    </w:p>
    <w:p>
      <w:pPr>
        <w:numPr>
          <w:ilvl w:val="0"/>
          <w:numId w:val="64"/>
        </w:numPr>
        <w:spacing w:before="120" w:after="0" w:line="259" w:lineRule="auto"/>
        <w:contextualSpacing/>
        <w:jc w:val="both"/>
        <w:rPr>
          <w:rFonts w:ascii="Times New Roman" w:hAnsi="Times New Roman" w:cs="Times New Roman"/>
          <w:bCs/>
          <w:iCs/>
          <w:noProof/>
          <w:sz w:val="24"/>
          <w:szCs w:val="24"/>
        </w:rPr>
      </w:pPr>
      <w:r>
        <w:rPr>
          <w:rFonts w:ascii="Times New Roman" w:hAnsi="Times New Roman"/>
          <w:noProof/>
          <w:sz w:val="24"/>
          <w:szCs w:val="24"/>
        </w:rPr>
        <w:t>публични служби по заетостта Инвестицията актуализира информационните системи, които са в основата на управлението на активните политики на пазара на труда;</w:t>
      </w:r>
    </w:p>
    <w:p>
      <w:pPr>
        <w:numPr>
          <w:ilvl w:val="0"/>
          <w:numId w:val="64"/>
        </w:numPr>
        <w:spacing w:before="120" w:after="0" w:line="259" w:lineRule="auto"/>
        <w:contextualSpacing/>
        <w:jc w:val="both"/>
        <w:rPr>
          <w:rFonts w:ascii="Times New Roman" w:hAnsi="Times New Roman" w:cs="Times New Roman"/>
          <w:bCs/>
          <w:iCs/>
          <w:noProof/>
          <w:sz w:val="24"/>
          <w:szCs w:val="24"/>
        </w:rPr>
      </w:pPr>
      <w:r>
        <w:rPr>
          <w:rFonts w:ascii="Times New Roman" w:hAnsi="Times New Roman"/>
          <w:noProof/>
          <w:sz w:val="24"/>
          <w:szCs w:val="24"/>
        </w:rPr>
        <w:t>приобщаване, социална сигурност и миграция. Инвестицията предоставя на компетентното министерство цифрови инструменти, улесняващи прилагането на съответните политики за групите в най-неравностойно положение, както и използването на информация за разработване на допълнителни коригиращи или смекчаващи мерки;</w:t>
      </w:r>
    </w:p>
    <w:p>
      <w:pPr>
        <w:numPr>
          <w:ilvl w:val="0"/>
          <w:numId w:val="64"/>
        </w:numPr>
        <w:spacing w:before="120" w:after="0" w:line="259" w:lineRule="auto"/>
        <w:contextualSpacing/>
        <w:jc w:val="both"/>
        <w:rPr>
          <w:rFonts w:ascii="Times New Roman" w:hAnsi="Times New Roman" w:cs="Times New Roman"/>
          <w:bCs/>
          <w:iCs/>
          <w:noProof/>
          <w:sz w:val="24"/>
          <w:szCs w:val="24"/>
        </w:rPr>
      </w:pPr>
      <w:r>
        <w:rPr>
          <w:rFonts w:ascii="Times New Roman" w:hAnsi="Times New Roman"/>
          <w:noProof/>
          <w:sz w:val="24"/>
          <w:szCs w:val="24"/>
        </w:rPr>
        <w:t>консулски услуги в чужбина Инвестицията ще подобри достъпа до цифровите услуги на испанската публична администрация както за испанците, пребиваващи в чужбина, така и за чуждестранните граждани, живеещи в Испания;</w:t>
      </w:r>
    </w:p>
    <w:p>
      <w:pPr>
        <w:numPr>
          <w:ilvl w:val="0"/>
          <w:numId w:val="64"/>
        </w:numPr>
        <w:spacing w:before="120" w:after="0" w:line="259" w:lineRule="auto"/>
        <w:contextualSpacing/>
        <w:jc w:val="both"/>
        <w:rPr>
          <w:rFonts w:ascii="Times New Roman" w:hAnsi="Times New Roman" w:cs="Times New Roman"/>
          <w:bCs/>
          <w:iCs/>
          <w:noProof/>
          <w:sz w:val="24"/>
          <w:szCs w:val="24"/>
        </w:rPr>
      </w:pPr>
      <w:r>
        <w:rPr>
          <w:rFonts w:ascii="Times New Roman" w:hAnsi="Times New Roman"/>
          <w:noProof/>
          <w:sz w:val="24"/>
          <w:szCs w:val="24"/>
        </w:rPr>
        <w:t>пилотни инициативи в областта на сигурността и селското стопанство.</w:t>
      </w:r>
    </w:p>
    <w:p>
      <w:pPr>
        <w:spacing w:before="120" w:after="120" w:line="240" w:lineRule="auto"/>
        <w:jc w:val="both"/>
        <w:rPr>
          <w:rFonts w:ascii="Times New Roman" w:hAnsi="Times New Roman" w:cs="Times New Roman"/>
          <w:noProof/>
          <w:color w:val="000000" w:themeColor="text1"/>
          <w:sz w:val="24"/>
          <w:szCs w:val="24"/>
          <w:u w:val="single"/>
        </w:rPr>
      </w:pPr>
      <w:r>
        <w:rPr>
          <w:rFonts w:ascii="Times New Roman" w:hAnsi="Times New Roman"/>
          <w:noProof/>
          <w:color w:val="000000" w:themeColor="text1"/>
          <w:sz w:val="24"/>
          <w:szCs w:val="24"/>
        </w:rPr>
        <w:t xml:space="preserve">Изпълнението на инвестицията приключва до 31 декември 2025 г. </w:t>
      </w:r>
    </w:p>
    <w:p>
      <w:pPr>
        <w:spacing w:before="120" w:after="120" w:line="240" w:lineRule="auto"/>
        <w:jc w:val="both"/>
        <w:rPr>
          <w:rFonts w:ascii="Times New Roman" w:hAnsi="Times New Roman" w:cs="Times New Roman"/>
          <w:noProof/>
          <w:color w:val="000000" w:themeColor="text1"/>
          <w:sz w:val="24"/>
          <w:u w:val="single"/>
        </w:rPr>
      </w:pPr>
      <w:r>
        <w:rPr>
          <w:rFonts w:ascii="Times New Roman" w:hAnsi="Times New Roman"/>
          <w:noProof/>
          <w:color w:val="000000" w:themeColor="text1"/>
          <w:sz w:val="24"/>
          <w:u w:val="single"/>
        </w:rPr>
        <w:t xml:space="preserve">Инвестиция 3 (C11.I3) – Цифрова трансформация и модернизация на Министерството на териториалната политика и държавната администрация и на администрацията на автономните области и местните органи </w:t>
      </w:r>
    </w:p>
    <w:p>
      <w:pPr>
        <w:spacing w:before="120" w:after="12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Действията по тази инвестиция следват същите принципи, описани в C11.I1, насочени към регионалните и местните органи на управление.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Изпълнението на инвестицията приключва до 30 юни 2026 г.</w:t>
      </w:r>
    </w:p>
    <w:p>
      <w:pPr>
        <w:spacing w:before="120" w:after="120" w:line="240" w:lineRule="auto"/>
        <w:jc w:val="both"/>
        <w:rPr>
          <w:rFonts w:ascii="Times New Roman" w:hAnsi="Times New Roman" w:cs="Times New Roman"/>
          <w:noProof/>
          <w:color w:val="000000" w:themeColor="text1"/>
          <w:sz w:val="24"/>
          <w:u w:val="single"/>
        </w:rPr>
      </w:pPr>
      <w:r>
        <w:rPr>
          <w:rFonts w:ascii="Times New Roman" w:hAnsi="Times New Roman"/>
          <w:noProof/>
          <w:color w:val="000000" w:themeColor="text1"/>
          <w:sz w:val="24"/>
          <w:u w:val="single"/>
        </w:rPr>
        <w:t>Инвестиция 4 (C11.I4) – План за енергиен преход в общата държавна администрация</w:t>
      </w:r>
    </w:p>
    <w:p>
      <w:pPr>
        <w:spacing w:before="120" w:after="120" w:line="240" w:lineRule="auto"/>
        <w:jc w:val="both"/>
        <w:rPr>
          <w:rFonts w:ascii="Times New Roman" w:hAnsi="Times New Roman" w:cs="Times New Roman"/>
          <w:noProof/>
          <w:sz w:val="24"/>
        </w:rPr>
      </w:pPr>
      <w:r>
        <w:rPr>
          <w:rFonts w:ascii="Times New Roman" w:hAnsi="Times New Roman"/>
          <w:noProof/>
          <w:color w:val="000000" w:themeColor="text1"/>
          <w:sz w:val="24"/>
        </w:rPr>
        <w:t xml:space="preserve">Мярката насърчава енергоспестяването и енергийната ефективност на сградите и инфраструктурата на централната администрация. Мярката трябва да постигне средно намаление на потреблението на първична енергия с най-малко 30 %, потвърдено със сертификати за енергийни характеристики. Инвестицията допринася за санирането на разгънатата застроена площ на сградите с цел увеличаване на броя на съоръженията с висок енергиен клас, и по-специално на сгради с близко до нулево нетно потребление на енергия. Инвестицията също така насърчава внедряването на слънчеви фотоволтаични системи или други възобновяеми енергийни източници в съоръженията на централната държавна администрация. </w:t>
      </w:r>
      <w:r>
        <w:rPr>
          <w:rFonts w:ascii="Times New Roman" w:hAnsi="Times New Roman"/>
          <w:noProof/>
          <w:sz w:val="24"/>
        </w:rPr>
        <w:t>Мярката също така насърчава преобразуването на автомобилния парк от обществени превозни средства в превозни средства с нулеви или ниски емисии</w:t>
      </w:r>
      <w:r>
        <w:rPr>
          <w:rFonts w:ascii="Times New Roman" w:hAnsi="Times New Roman" w:cs="Times New Roman"/>
          <w:bCs/>
          <w:noProof/>
          <w:sz w:val="24"/>
          <w:vertAlign w:val="superscript"/>
          <w:lang w:val="en-IE"/>
        </w:rPr>
        <w:footnoteReference w:id="14"/>
      </w:r>
      <w:r>
        <w:rPr>
          <w:rFonts w:ascii="Times New Roman" w:hAnsi="Times New Roman"/>
          <w:noProof/>
          <w:sz w:val="24"/>
        </w:rPr>
        <w:t xml:space="preserve">. </w:t>
      </w:r>
    </w:p>
    <w:p>
      <w:pPr>
        <w:spacing w:before="120" w:after="12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szCs w:val="24"/>
        </w:rPr>
        <w:t xml:space="preserve">Очаква се тази мярка да не навреди значително на екологичните цели по смисъла на член 17 от Регламент (ЕС) 2020/852, като се вземат предвид описанието на мярката и смекчаващите стъпки, определени в плана за възстановяване и устойчивост в съответствие с Техническите насоки за спазването на принципа за „ненанасяне на значителни вреди“ (2021/C58/01). </w:t>
      </w:r>
      <w:r>
        <w:rPr>
          <w:rFonts w:ascii="Times New Roman" w:hAnsi="Times New Roman"/>
          <w:noProof/>
          <w:sz w:val="24"/>
        </w:rPr>
        <w:t>По-специално, преобразуването на автомобилния парк от обществени превозни средства подпомага само превозни средства с нулеви или ниски емисии</w:t>
      </w:r>
      <w:r>
        <w:rPr>
          <w:rFonts w:ascii="Times New Roman" w:hAnsi="Times New Roman" w:cs="Times New Roman"/>
          <w:bCs/>
          <w:noProof/>
          <w:sz w:val="24"/>
          <w:vertAlign w:val="superscript"/>
          <w:lang w:val="en-IE"/>
        </w:rPr>
        <w:footnoteReference w:id="15"/>
      </w:r>
      <w:r>
        <w:rPr>
          <w:rFonts w:ascii="Times New Roman" w:hAnsi="Times New Roman"/>
          <w:noProof/>
          <w:sz w:val="24"/>
        </w:rPr>
        <w:t>.</w:t>
      </w:r>
    </w:p>
    <w:p>
      <w:pPr>
        <w:spacing w:before="120" w:after="120" w:line="240" w:lineRule="auto"/>
        <w:jc w:val="both"/>
        <w:rPr>
          <w:rFonts w:ascii="Times New Roman" w:hAnsi="Times New Roman" w:cs="Times New Roman"/>
          <w:noProof/>
          <w:sz w:val="24"/>
        </w:rPr>
      </w:pPr>
      <w:r>
        <w:rPr>
          <w:rFonts w:ascii="Times New Roman" w:hAnsi="Times New Roman"/>
          <w:noProof/>
          <w:sz w:val="24"/>
        </w:rPr>
        <w:t>Инвестицията включва както инвестиции в основен капитал (инфраструктура и обществени сгради), така и в природен капитал (всички действия допринасят за намаляване на емисиите на парникови газове).</w:t>
      </w:r>
    </w:p>
    <w:p>
      <w:pPr>
        <w:spacing w:before="120" w:after="12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Изпълнението на инвестицията приключва до 30 юни 2026 г.</w:t>
      </w:r>
    </w:p>
    <w:p>
      <w:pPr>
        <w:spacing w:before="120" w:after="120" w:line="240" w:lineRule="auto"/>
        <w:jc w:val="both"/>
        <w:rPr>
          <w:rFonts w:ascii="Times New Roman" w:hAnsi="Times New Roman" w:cs="Times New Roman"/>
          <w:noProof/>
          <w:color w:val="000000" w:themeColor="text1"/>
          <w:sz w:val="24"/>
          <w:u w:val="single"/>
        </w:rPr>
      </w:pPr>
      <w:r>
        <w:rPr>
          <w:rFonts w:ascii="Times New Roman" w:hAnsi="Times New Roman"/>
          <w:noProof/>
          <w:color w:val="000000" w:themeColor="text1"/>
          <w:sz w:val="24"/>
          <w:u w:val="single"/>
        </w:rPr>
        <w:t>Инвестиция 5 (C11.I5) – Трансформация на администрацията за изпълнението на испанския план за възстановяване и устойчивост</w:t>
      </w:r>
    </w:p>
    <w:p>
      <w:pPr>
        <w:spacing w:before="120" w:after="12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Тази инвестиция е свързана с реформа R5 на този компонент. Тя адаптира функционирането на публичната администрация към предизвикателствата, свързани с изпълнението и мониторинга на плана за възстановяване и устойчивост. Мярката модернизира информационната система и каналите за комуникация с цел обмен на информация между различните равнища на управление и с гражданите, дружествата и потенциалните бенефициери. Мярката включва също така целенасочени обучения за персонала на публичната администрация, за които се счита, че ще достигнат най-малко 3150 души през целия период на изпълнение на плана за възстановяване и устойчивост.</w:t>
      </w:r>
    </w:p>
    <w:p>
      <w:pPr>
        <w:spacing w:before="120" w:after="120" w:line="240" w:lineRule="auto"/>
        <w:jc w:val="both"/>
        <w:rPr>
          <w:rFonts w:ascii="Times New Roman" w:hAnsi="Times New Roman" w:cs="Times New Roman"/>
          <w:b/>
          <w:bCs/>
          <w:noProof/>
          <w:sz w:val="24"/>
          <w:u w:val="single"/>
        </w:rPr>
      </w:pPr>
      <w:r>
        <w:rPr>
          <w:rFonts w:ascii="Times New Roman" w:hAnsi="Times New Roman"/>
          <w:noProof/>
          <w:color w:val="000000" w:themeColor="text1"/>
          <w:sz w:val="24"/>
        </w:rPr>
        <w:t xml:space="preserve">Изпълнението на инвестицията приключва до 31 август 2026 г. </w:t>
      </w:r>
    </w:p>
    <w:p>
      <w:pPr>
        <w:keepNext/>
        <w:spacing w:before="120" w:after="120" w:line="240" w:lineRule="auto"/>
        <w:jc w:val="both"/>
        <w:rPr>
          <w:rFonts w:ascii="Times New Roman" w:hAnsi="Times New Roman" w:cs="Times New Roman"/>
          <w:b/>
          <w:bCs/>
          <w:noProof/>
          <w:sz w:val="24"/>
          <w:u w:val="single"/>
        </w:rPr>
      </w:pPr>
      <w:r>
        <w:rPr>
          <w:rFonts w:ascii="Times New Roman" w:hAnsi="Times New Roman"/>
          <w:b/>
          <w:bCs/>
          <w:noProof/>
          <w:sz w:val="24"/>
          <w:u w:val="single"/>
        </w:rPr>
        <w:t xml:space="preserve">K.2. </w:t>
      </w:r>
      <w:r>
        <w:rPr>
          <w:rFonts w:ascii="Times New Roman" w:hAnsi="Times New Roman"/>
          <w:b/>
          <w:noProof/>
          <w:sz w:val="24"/>
          <w:u w:val="single"/>
        </w:rPr>
        <w:tab/>
      </w:r>
      <w:r>
        <w:rPr>
          <w:rFonts w:ascii="Times New Roman" w:hAnsi="Times New Roman"/>
          <w:b/>
          <w:bCs/>
          <w:noProof/>
          <w:sz w:val="24"/>
          <w:u w:val="single"/>
        </w:rPr>
        <w:t>Ключови етапи, цели, показатели и график за мониторинг и изпълнение на безвъзмездната финансова подкрепа</w:t>
      </w:r>
    </w:p>
    <w:p>
      <w:pPr>
        <w:keepNext/>
        <w:spacing w:before="120" w:after="120" w:line="240" w:lineRule="auto"/>
        <w:rPr>
          <w:rFonts w:ascii="Times New Roman" w:hAnsi="Times New Roman" w:cs="Times New Roman"/>
          <w:i/>
          <w:noProof/>
          <w:color w:val="000000"/>
          <w:sz w:val="24"/>
          <w:szCs w:val="24"/>
        </w:rPr>
        <w:sectPr>
          <w:headerReference w:type="even" r:id="rId139"/>
          <w:headerReference w:type="default" r:id="rId140"/>
          <w:footerReference w:type="even" r:id="rId141"/>
          <w:footerReference w:type="default" r:id="rId142"/>
          <w:headerReference w:type="first" r:id="rId143"/>
          <w:footerReference w:type="first" r:id="rId144"/>
          <w:pgSz w:w="11907" w:h="16839"/>
          <w:pgMar w:top="1134" w:right="1417" w:bottom="1134" w:left="1417" w:header="709" w:footer="709" w:gutter="0"/>
          <w:cols w:space="720"/>
          <w:docGrid w:linePitch="360"/>
        </w:sectPr>
      </w:pPr>
      <w:r>
        <w:rPr>
          <w:rFonts w:ascii="Times New Roman" w:hAnsi="Times New Roman"/>
          <w:i/>
          <w:noProof/>
          <w:color w:val="000000"/>
          <w:sz w:val="24"/>
          <w:szCs w:val="24"/>
        </w:rPr>
        <w:t>Вж. таблицата по-долу.</w:t>
      </w:r>
      <w:r>
        <w:rPr>
          <w:rFonts w:ascii="Times New Roman" w:hAnsi="Times New Roman"/>
          <w:noProof/>
          <w:color w:val="1F497D"/>
          <w:sz w:val="24"/>
          <w:szCs w:val="24"/>
        </w:rPr>
        <w:t xml:space="preserve"> </w:t>
      </w:r>
      <w:r>
        <w:rPr>
          <w:rFonts w:ascii="Times New Roman" w:hAnsi="Times New Roman"/>
          <w:i/>
          <w:noProof/>
          <w:color w:val="000000"/>
          <w:sz w:val="24"/>
          <w:szCs w:val="24"/>
        </w:rPr>
        <w:t>Датата на базовата линия за всички показатели е 1 февруари 2020 г., освен ако не е посочено друго в описанието на действието. Сумите в таблицата не включват ДДС.</w:t>
      </w:r>
    </w:p>
    <w:tbl>
      <w:tblPr>
        <w:tblW w:w="15197"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05"/>
        <w:gridCol w:w="845"/>
        <w:gridCol w:w="844"/>
        <w:gridCol w:w="2710"/>
        <w:gridCol w:w="1370"/>
        <w:gridCol w:w="778"/>
        <w:gridCol w:w="630"/>
        <w:gridCol w:w="844"/>
        <w:gridCol w:w="326"/>
        <w:gridCol w:w="659"/>
        <w:gridCol w:w="5486"/>
      </w:tblGrid>
      <w:tr>
        <w:trPr>
          <w:trHeight w:val="309"/>
          <w:tblHeader/>
        </w:trPr>
        <w:tc>
          <w:tcPr>
            <w:tcW w:w="705"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themeColor="text1"/>
                <w:sz w:val="18"/>
                <w:szCs w:val="18"/>
              </w:rPr>
            </w:pPr>
            <w:r>
              <w:rPr>
                <w:rFonts w:ascii="Times New Roman" w:hAnsi="Times New Roman"/>
                <w:b/>
                <w:bCs/>
                <w:noProof/>
                <w:color w:val="000000" w:themeColor="text1"/>
                <w:sz w:val="18"/>
                <w:szCs w:val="18"/>
              </w:rPr>
              <w:t>Номер</w:t>
            </w:r>
          </w:p>
        </w:tc>
        <w:tc>
          <w:tcPr>
            <w:tcW w:w="845"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themeColor="text1"/>
                <w:sz w:val="18"/>
                <w:szCs w:val="18"/>
              </w:rPr>
            </w:pPr>
            <w:r>
              <w:rPr>
                <w:rFonts w:ascii="Times New Roman" w:hAnsi="Times New Roman"/>
                <w:b/>
                <w:bCs/>
                <w:noProof/>
                <w:color w:val="000000" w:themeColor="text1"/>
                <w:sz w:val="18"/>
                <w:szCs w:val="18"/>
              </w:rPr>
              <w:t>Мярка</w:t>
            </w:r>
          </w:p>
        </w:tc>
        <w:tc>
          <w:tcPr>
            <w:tcW w:w="844"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themeColor="text1"/>
                <w:sz w:val="18"/>
                <w:szCs w:val="18"/>
              </w:rPr>
            </w:pPr>
            <w:r>
              <w:rPr>
                <w:rFonts w:ascii="Times New Roman" w:hAnsi="Times New Roman"/>
                <w:b/>
                <w:bCs/>
                <w:noProof/>
                <w:color w:val="000000" w:themeColor="text1"/>
                <w:sz w:val="18"/>
                <w:szCs w:val="18"/>
              </w:rPr>
              <w:t>Ключов етап /Цел</w:t>
            </w:r>
          </w:p>
        </w:tc>
        <w:tc>
          <w:tcPr>
            <w:tcW w:w="2710"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themeColor="text1"/>
                <w:sz w:val="18"/>
                <w:szCs w:val="18"/>
              </w:rPr>
            </w:pPr>
            <w:r>
              <w:rPr>
                <w:rFonts w:ascii="Times New Roman" w:hAnsi="Times New Roman"/>
                <w:b/>
                <w:bCs/>
                <w:noProof/>
                <w:color w:val="000000" w:themeColor="text1"/>
                <w:sz w:val="18"/>
                <w:szCs w:val="18"/>
              </w:rPr>
              <w:t>Наименование</w:t>
            </w:r>
          </w:p>
        </w:tc>
        <w:tc>
          <w:tcPr>
            <w:tcW w:w="1370"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themeColor="text1"/>
                <w:sz w:val="18"/>
                <w:szCs w:val="18"/>
              </w:rPr>
            </w:pPr>
            <w:r>
              <w:rPr>
                <w:rFonts w:ascii="Times New Roman" w:hAnsi="Times New Roman"/>
                <w:b/>
                <w:bCs/>
                <w:noProof/>
                <w:color w:val="000000" w:themeColor="text1"/>
                <w:sz w:val="18"/>
                <w:szCs w:val="18"/>
              </w:rPr>
              <w:t>Качествени показатели за ключовите етапи</w:t>
            </w:r>
          </w:p>
        </w:tc>
        <w:tc>
          <w:tcPr>
            <w:tcW w:w="2252" w:type="dxa"/>
            <w:gridSpan w:val="3"/>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themeColor="text1"/>
                <w:sz w:val="18"/>
                <w:szCs w:val="18"/>
              </w:rPr>
            </w:pPr>
            <w:r>
              <w:rPr>
                <w:rFonts w:ascii="Times New Roman" w:hAnsi="Times New Roman"/>
                <w:b/>
                <w:bCs/>
                <w:noProof/>
                <w:color w:val="000000" w:themeColor="text1"/>
                <w:sz w:val="18"/>
                <w:szCs w:val="18"/>
              </w:rPr>
              <w:t>Количествени показатели за целите</w:t>
            </w:r>
          </w:p>
        </w:tc>
        <w:tc>
          <w:tcPr>
            <w:tcW w:w="985" w:type="dxa"/>
            <w:gridSpan w:val="2"/>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themeColor="text1"/>
                <w:sz w:val="18"/>
                <w:szCs w:val="18"/>
              </w:rPr>
            </w:pPr>
            <w:r>
              <w:rPr>
                <w:rFonts w:ascii="Times New Roman" w:hAnsi="Times New Roman"/>
                <w:b/>
                <w:bCs/>
                <w:noProof/>
                <w:color w:val="000000" w:themeColor="text1"/>
                <w:sz w:val="18"/>
                <w:szCs w:val="18"/>
              </w:rPr>
              <w:t>Време</w:t>
            </w:r>
          </w:p>
        </w:tc>
        <w:tc>
          <w:tcPr>
            <w:tcW w:w="5486"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themeColor="text1"/>
                <w:sz w:val="18"/>
                <w:szCs w:val="18"/>
              </w:rPr>
            </w:pPr>
            <w:r>
              <w:rPr>
                <w:rFonts w:ascii="Times New Roman" w:hAnsi="Times New Roman"/>
                <w:b/>
                <w:bCs/>
                <w:noProof/>
                <w:sz w:val="18"/>
                <w:szCs w:val="18"/>
              </w:rPr>
              <w:t>Описание на всеки ключов етап и всяка цел</w:t>
            </w:r>
          </w:p>
        </w:tc>
      </w:tr>
      <w:tr>
        <w:trPr>
          <w:trHeight w:val="309"/>
          <w:tblHeader/>
        </w:trPr>
        <w:tc>
          <w:tcPr>
            <w:tcW w:w="705"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845"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844"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2710" w:type="dxa"/>
            <w:tcBorders>
              <w:top w:val="nil"/>
            </w:tcBorders>
            <w:shd w:val="clear" w:color="auto" w:fill="C6D9F1" w:themeFill="text2" w:themeFillTint="33"/>
            <w:noWrap/>
          </w:tcPr>
          <w:p>
            <w:pPr>
              <w:spacing w:after="0" w:line="240" w:lineRule="auto"/>
              <w:rPr>
                <w:rFonts w:ascii="Times New Roman" w:hAnsi="Times New Roman" w:cs="Times New Roman"/>
                <w:b/>
                <w:noProof/>
                <w:color w:val="000000"/>
                <w:sz w:val="18"/>
                <w:szCs w:val="18"/>
              </w:rPr>
            </w:pPr>
          </w:p>
        </w:tc>
        <w:tc>
          <w:tcPr>
            <w:tcW w:w="1370"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778" w:type="dxa"/>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themeColor="text1"/>
                <w:sz w:val="18"/>
                <w:szCs w:val="18"/>
              </w:rPr>
            </w:pPr>
            <w:r>
              <w:rPr>
                <w:rFonts w:ascii="Times New Roman" w:hAnsi="Times New Roman"/>
                <w:b/>
                <w:bCs/>
                <w:noProof/>
                <w:color w:val="000000" w:themeColor="text1"/>
                <w:sz w:val="18"/>
                <w:szCs w:val="18"/>
              </w:rPr>
              <w:t>Мерна единица</w:t>
            </w:r>
          </w:p>
        </w:tc>
        <w:tc>
          <w:tcPr>
            <w:tcW w:w="630" w:type="dxa"/>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themeColor="text1"/>
                <w:sz w:val="18"/>
                <w:szCs w:val="18"/>
              </w:rPr>
            </w:pPr>
            <w:r>
              <w:rPr>
                <w:rFonts w:ascii="Times New Roman" w:hAnsi="Times New Roman"/>
                <w:b/>
                <w:bCs/>
                <w:noProof/>
                <w:color w:val="000000" w:themeColor="text1"/>
                <w:sz w:val="18"/>
                <w:szCs w:val="18"/>
              </w:rPr>
              <w:t>Базова линия</w:t>
            </w:r>
          </w:p>
        </w:tc>
        <w:tc>
          <w:tcPr>
            <w:tcW w:w="844" w:type="dxa"/>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themeColor="text1"/>
                <w:sz w:val="18"/>
                <w:szCs w:val="18"/>
              </w:rPr>
            </w:pPr>
            <w:r>
              <w:rPr>
                <w:rFonts w:ascii="Times New Roman" w:hAnsi="Times New Roman"/>
                <w:b/>
                <w:bCs/>
                <w:noProof/>
                <w:color w:val="000000" w:themeColor="text1"/>
                <w:sz w:val="18"/>
                <w:szCs w:val="18"/>
              </w:rPr>
              <w:t>Цел</w:t>
            </w:r>
          </w:p>
        </w:tc>
        <w:tc>
          <w:tcPr>
            <w:tcW w:w="326" w:type="dxa"/>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themeColor="text1"/>
                <w:sz w:val="18"/>
                <w:szCs w:val="18"/>
              </w:rPr>
            </w:pPr>
            <w:r>
              <w:rPr>
                <w:rFonts w:ascii="Times New Roman" w:hAnsi="Times New Roman"/>
                <w:b/>
                <w:bCs/>
                <w:noProof/>
                <w:color w:val="000000" w:themeColor="text1"/>
                <w:sz w:val="18"/>
                <w:szCs w:val="18"/>
              </w:rPr>
              <w:t>T</w:t>
            </w:r>
          </w:p>
        </w:tc>
        <w:tc>
          <w:tcPr>
            <w:tcW w:w="659" w:type="dxa"/>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themeColor="text1"/>
                <w:sz w:val="18"/>
                <w:szCs w:val="18"/>
              </w:rPr>
            </w:pPr>
            <w:r>
              <w:rPr>
                <w:rFonts w:ascii="Times New Roman" w:hAnsi="Times New Roman"/>
                <w:b/>
                <w:bCs/>
                <w:noProof/>
                <w:color w:val="000000" w:themeColor="text1"/>
                <w:sz w:val="18"/>
                <w:szCs w:val="18"/>
              </w:rPr>
              <w:t>Година</w:t>
            </w:r>
          </w:p>
        </w:tc>
        <w:tc>
          <w:tcPr>
            <w:tcW w:w="5486" w:type="dxa"/>
            <w:tcBorders>
              <w:top w:val="nil"/>
            </w:tcBorders>
            <w:shd w:val="clear" w:color="auto" w:fill="C6D9F1" w:themeFill="text2" w:themeFillTint="33"/>
            <w:noWrap/>
          </w:tcPr>
          <w:p>
            <w:pPr>
              <w:spacing w:after="0" w:line="240" w:lineRule="auto"/>
              <w:rPr>
                <w:rFonts w:ascii="Times New Roman" w:hAnsi="Times New Roman" w:cs="Times New Roman"/>
                <w:b/>
                <w:noProof/>
                <w:color w:val="000000"/>
                <w:sz w:val="18"/>
                <w:szCs w:val="18"/>
                <w:lang w:val="en-IE"/>
              </w:rPr>
            </w:pPr>
          </w:p>
        </w:tc>
      </w:tr>
      <w:tr>
        <w:trPr>
          <w:trHeight w:val="309"/>
        </w:trPr>
        <w:tc>
          <w:tcPr>
            <w:tcW w:w="70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144</w:t>
            </w:r>
          </w:p>
        </w:tc>
        <w:tc>
          <w:tcPr>
            <w:tcW w:w="84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C11.R1</w:t>
            </w:r>
          </w:p>
        </w:tc>
        <w:tc>
          <w:tcPr>
            <w:tcW w:w="84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2710"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Влизане в сила на законодателен акт за намаляване на временната заетост в публичните администрации</w:t>
            </w:r>
          </w:p>
        </w:tc>
        <w:tc>
          <w:tcPr>
            <w:tcW w:w="137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Разпоредба в законодателния акт, посочваща влизането в сила на акта</w:t>
            </w:r>
          </w:p>
        </w:tc>
        <w:tc>
          <w:tcPr>
            <w:tcW w:w="778"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63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844"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326"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T2</w:t>
            </w:r>
          </w:p>
        </w:tc>
        <w:tc>
          <w:tcPr>
            <w:tcW w:w="65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2021</w:t>
            </w:r>
          </w:p>
        </w:tc>
        <w:tc>
          <w:tcPr>
            <w:tcW w:w="5486"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Влизане в сила на законодателен акт, в който се предвиждат мерки за намаляване на временната заетост в публичната администрация и ефективни разпоредби за предотвратяване и санкциониране на злоупотребите, включително задължението за публикуване на всички покани за процедури за стабилизиране на срочно наетите служители до 31 декември 2022 г. Настоящият законодателен акт се прилага за държавните, регионалните и местните публични администрации.</w:t>
            </w:r>
          </w:p>
        </w:tc>
      </w:tr>
      <w:tr>
        <w:trPr>
          <w:trHeight w:val="309"/>
        </w:trPr>
        <w:tc>
          <w:tcPr>
            <w:tcW w:w="705"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145</w:t>
            </w:r>
          </w:p>
        </w:tc>
        <w:tc>
          <w:tcPr>
            <w:tcW w:w="845"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C11.R1</w:t>
            </w:r>
          </w:p>
        </w:tc>
        <w:tc>
          <w:tcPr>
            <w:tcW w:w="844"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M</w:t>
            </w:r>
          </w:p>
        </w:tc>
        <w:tc>
          <w:tcPr>
            <w:tcW w:w="2710"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szCs w:val="18"/>
              </w:rPr>
              <w:t>Влизане в сила на измененията на Закон 40/2015 за засилване на междутериториалното сътрудничество</w:t>
            </w:r>
          </w:p>
        </w:tc>
        <w:tc>
          <w:tcPr>
            <w:tcW w:w="1370"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Разпоредба в правния акт, посочваща влизането в сила на реформата</w:t>
            </w:r>
          </w:p>
        </w:tc>
        <w:tc>
          <w:tcPr>
            <w:tcW w:w="778"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 xml:space="preserve"> </w:t>
            </w:r>
          </w:p>
        </w:tc>
        <w:tc>
          <w:tcPr>
            <w:tcW w:w="630"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 xml:space="preserve"> </w:t>
            </w:r>
          </w:p>
        </w:tc>
        <w:tc>
          <w:tcPr>
            <w:tcW w:w="844"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 xml:space="preserve"> </w:t>
            </w:r>
          </w:p>
        </w:tc>
        <w:tc>
          <w:tcPr>
            <w:tcW w:w="326"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T4</w:t>
            </w:r>
          </w:p>
        </w:tc>
        <w:tc>
          <w:tcPr>
            <w:tcW w:w="659"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2022</w:t>
            </w:r>
          </w:p>
        </w:tc>
        <w:tc>
          <w:tcPr>
            <w:tcW w:w="5486"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szCs w:val="18"/>
              </w:rPr>
              <w:t>Влизане в сила на измененията на Закон 40/2015 за засилване на междутериториалното сътрудничество с цел i) създаване на многосекторни конференции, ii) определяне на процедурите за вземане на решения на секторните конференции, включително когато те водят до споразумения за задължително спазване; iii) укрепване на Председателския съвет чрез създаване на постоянен секретариат; iv) предвиждане на задължителна подготовка, одобрение и публикуване на многогодишните цели на политиката и показателите за резултатите, както и прозрачни механизми за мониторинг и оценка; и v) установяване на цифрова междуадминистративна взаимосвързаност и оперативна съвместимост между ИТ платформите на централното и регионалното правителство.</w:t>
            </w:r>
          </w:p>
        </w:tc>
      </w:tr>
      <w:tr>
        <w:trPr>
          <w:trHeight w:val="309"/>
        </w:trPr>
        <w:tc>
          <w:tcPr>
            <w:tcW w:w="705"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146</w:t>
            </w:r>
          </w:p>
        </w:tc>
        <w:tc>
          <w:tcPr>
            <w:tcW w:w="845"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C11.R1</w:t>
            </w:r>
          </w:p>
        </w:tc>
        <w:tc>
          <w:tcPr>
            <w:tcW w:w="844"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M</w:t>
            </w:r>
          </w:p>
        </w:tc>
        <w:tc>
          <w:tcPr>
            <w:tcW w:w="2710"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szCs w:val="18"/>
              </w:rPr>
              <w:t>Влизане в сила на закона за засилване на оценката на публичните политики</w:t>
            </w:r>
          </w:p>
        </w:tc>
        <w:tc>
          <w:tcPr>
            <w:tcW w:w="1370"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Разпоредба от закона, указваща влизането в сила на закона</w:t>
            </w:r>
          </w:p>
        </w:tc>
        <w:tc>
          <w:tcPr>
            <w:tcW w:w="778"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 xml:space="preserve"> </w:t>
            </w:r>
          </w:p>
        </w:tc>
        <w:tc>
          <w:tcPr>
            <w:tcW w:w="630"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 xml:space="preserve"> </w:t>
            </w:r>
          </w:p>
        </w:tc>
        <w:tc>
          <w:tcPr>
            <w:tcW w:w="844"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 xml:space="preserve"> </w:t>
            </w:r>
          </w:p>
        </w:tc>
        <w:tc>
          <w:tcPr>
            <w:tcW w:w="326"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T4</w:t>
            </w:r>
          </w:p>
        </w:tc>
        <w:tc>
          <w:tcPr>
            <w:tcW w:w="659"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2022</w:t>
            </w:r>
          </w:p>
        </w:tc>
        <w:tc>
          <w:tcPr>
            <w:tcW w:w="5486"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szCs w:val="18"/>
              </w:rPr>
              <w:t>Влизане в сила на Закона за оценяване с набор от действия за укрепване на публичните политики въз основа на предварителна оценка. Целите са: i) укрепване на режима на действащия Национален институт за оценка (Instituto de Evaluación de Políticas Públicas), за да му се предостави организационна и функционална независимост; ii) предоставяне на Института на капацитета и средствата за изпълнение на неговите функции; iii) включително принципа на систематична предварителна оценка на политиките; и iv) запазване на мандата на други органи и агенции, включително AIReF.</w:t>
            </w:r>
          </w:p>
        </w:tc>
      </w:tr>
      <w:tr>
        <w:trPr>
          <w:trHeight w:val="309"/>
        </w:trPr>
        <w:tc>
          <w:tcPr>
            <w:tcW w:w="705"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147</w:t>
            </w:r>
          </w:p>
        </w:tc>
        <w:tc>
          <w:tcPr>
            <w:tcW w:w="845"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C11.R1</w:t>
            </w:r>
          </w:p>
        </w:tc>
        <w:tc>
          <w:tcPr>
            <w:tcW w:w="844"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M</w:t>
            </w:r>
          </w:p>
        </w:tc>
        <w:tc>
          <w:tcPr>
            <w:tcW w:w="2710"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szCs w:val="18"/>
              </w:rPr>
              <w:t>Влизане в сила на реформата на Закон 7/1985 за местните административни режими</w:t>
            </w:r>
          </w:p>
        </w:tc>
        <w:tc>
          <w:tcPr>
            <w:tcW w:w="1370"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Разпоредба в закона за прилагане на реформата, посочваща влизането в сила на реформата</w:t>
            </w:r>
          </w:p>
        </w:tc>
        <w:tc>
          <w:tcPr>
            <w:tcW w:w="778"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 xml:space="preserve"> </w:t>
            </w:r>
          </w:p>
        </w:tc>
        <w:tc>
          <w:tcPr>
            <w:tcW w:w="630"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 xml:space="preserve"> </w:t>
            </w:r>
          </w:p>
        </w:tc>
        <w:tc>
          <w:tcPr>
            <w:tcW w:w="844"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 xml:space="preserve"> </w:t>
            </w:r>
          </w:p>
        </w:tc>
        <w:tc>
          <w:tcPr>
            <w:tcW w:w="326"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T4</w:t>
            </w:r>
          </w:p>
        </w:tc>
        <w:tc>
          <w:tcPr>
            <w:tcW w:w="659"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2022</w:t>
            </w:r>
          </w:p>
        </w:tc>
        <w:tc>
          <w:tcPr>
            <w:tcW w:w="5486"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szCs w:val="18"/>
              </w:rPr>
              <w:t>Влизане в сила на реформата на Закон 7/1985 за регулиране на местните административни режими. Това има за цел i) ускоряване и разширяване на внедряването на местни обществени услуги, включително чрез цифрови средства като приложения, ii) подпомагане на малките градове при предоставянето на обществени услуги. Реформата се придружава от оценка на въздействието, включително аспектите на фискалната устойчивост.</w:t>
            </w:r>
          </w:p>
        </w:tc>
      </w:tr>
      <w:tr>
        <w:trPr>
          <w:trHeight w:val="309"/>
        </w:trPr>
        <w:tc>
          <w:tcPr>
            <w:tcW w:w="705"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148</w:t>
            </w:r>
          </w:p>
        </w:tc>
        <w:tc>
          <w:tcPr>
            <w:tcW w:w="845"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C11.R1</w:t>
            </w:r>
          </w:p>
        </w:tc>
        <w:tc>
          <w:tcPr>
            <w:tcW w:w="844"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M</w:t>
            </w:r>
          </w:p>
        </w:tc>
        <w:tc>
          <w:tcPr>
            <w:tcW w:w="2710"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szCs w:val="18"/>
              </w:rPr>
              <w:t>Влизане в сила на Ley de Función Pública de la Administración del Estado</w:t>
            </w:r>
          </w:p>
        </w:tc>
        <w:tc>
          <w:tcPr>
            <w:tcW w:w="1370"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 xml:space="preserve">Разпоредба в закона за прилагане на реформата, посочваща влизането в сила на реформата </w:t>
            </w:r>
          </w:p>
        </w:tc>
        <w:tc>
          <w:tcPr>
            <w:tcW w:w="778"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 xml:space="preserve"> </w:t>
            </w:r>
          </w:p>
        </w:tc>
        <w:tc>
          <w:tcPr>
            <w:tcW w:w="630"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 xml:space="preserve"> </w:t>
            </w:r>
          </w:p>
        </w:tc>
        <w:tc>
          <w:tcPr>
            <w:tcW w:w="844"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 xml:space="preserve"> </w:t>
            </w:r>
          </w:p>
        </w:tc>
        <w:tc>
          <w:tcPr>
            <w:tcW w:w="326"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T4</w:t>
            </w:r>
          </w:p>
        </w:tc>
        <w:tc>
          <w:tcPr>
            <w:tcW w:w="659"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2022</w:t>
            </w:r>
          </w:p>
        </w:tc>
        <w:tc>
          <w:tcPr>
            <w:tcW w:w="5486"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szCs w:val="18"/>
              </w:rPr>
              <w:t xml:space="preserve">Влизане в сила на Закона за държавната служба на централното правителство (Ley de Función Pública de la Administración del Estado). Те укрепват способността на администрацията да привлича и задържа таланта, необходим за изпълнението на текущите ѝ задачи, включително в областта на информацията и телекомуникациите. Той съдържа следните елементи: </w:t>
            </w:r>
            <w:r>
              <w:rPr>
                <w:rFonts w:ascii="Times New Roman" w:hAnsi="Times New Roman"/>
                <w:noProof/>
                <w:color w:val="000000"/>
                <w:sz w:val="18"/>
                <w:szCs w:val="18"/>
                <w:lang w:val="en-US"/>
              </w:rPr>
              <w:t>i</w:t>
            </w:r>
            <w:r>
              <w:rPr>
                <w:rFonts w:ascii="Times New Roman" w:hAnsi="Times New Roman"/>
                <w:noProof/>
                <w:color w:val="000000"/>
                <w:sz w:val="18"/>
                <w:szCs w:val="18"/>
              </w:rPr>
              <w:t xml:space="preserve">) съживяване на инструментите за планиране, организация и управление на човешките ресурси; ii) гарантиране на ефективността на принципите на равенство, заслуги и капацитет за достъп, както и на прозрачността и гъвкавостта на процесите на подбор; iii) регламентиране на оценяването и резултатите в съответствие с рамка, основана на компетентностите, включително за нови назначения; и iv) достъп до длъжности за висши държавни служители (а именно </w:t>
            </w:r>
            <w:r>
              <w:rPr>
                <w:rFonts w:ascii="Times New Roman" w:hAnsi="Times New Roman"/>
                <w:i/>
                <w:noProof/>
                <w:color w:val="000000"/>
                <w:sz w:val="18"/>
                <w:szCs w:val="18"/>
              </w:rPr>
              <w:t>генерални директори</w:t>
            </w:r>
            <w:r>
              <w:rPr>
                <w:rFonts w:ascii="Times New Roman" w:hAnsi="Times New Roman"/>
                <w:noProof/>
                <w:color w:val="000000"/>
                <w:sz w:val="18"/>
                <w:szCs w:val="18"/>
              </w:rPr>
              <w:t xml:space="preserve"> и </w:t>
            </w:r>
            <w:r>
              <w:rPr>
                <w:rFonts w:ascii="Times New Roman" w:hAnsi="Times New Roman"/>
                <w:i/>
                <w:noProof/>
                <w:color w:val="000000"/>
                <w:sz w:val="18"/>
                <w:szCs w:val="18"/>
              </w:rPr>
              <w:t>подгенерални директори</w:t>
            </w:r>
            <w:r>
              <w:rPr>
                <w:rFonts w:ascii="Times New Roman" w:hAnsi="Times New Roman"/>
                <w:noProof/>
                <w:color w:val="000000"/>
                <w:sz w:val="18"/>
                <w:szCs w:val="18"/>
              </w:rPr>
              <w:t>) въз основа на заслуги и конкурс.</w:t>
            </w:r>
          </w:p>
        </w:tc>
      </w:tr>
      <w:tr>
        <w:trPr>
          <w:trHeight w:val="309"/>
        </w:trPr>
        <w:tc>
          <w:tcPr>
            <w:tcW w:w="705"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149</w:t>
            </w:r>
          </w:p>
        </w:tc>
        <w:tc>
          <w:tcPr>
            <w:tcW w:w="845"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C11.R1</w:t>
            </w:r>
          </w:p>
        </w:tc>
        <w:tc>
          <w:tcPr>
            <w:tcW w:w="844"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M</w:t>
            </w:r>
          </w:p>
        </w:tc>
        <w:tc>
          <w:tcPr>
            <w:tcW w:w="2710"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szCs w:val="18"/>
              </w:rPr>
              <w:t>Устав на новия публичен орган за оценка</w:t>
            </w:r>
          </w:p>
        </w:tc>
        <w:tc>
          <w:tcPr>
            <w:tcW w:w="1370"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 xml:space="preserve">Разпоредба от кралския указ, в която се посочва неговото влизане в сила </w:t>
            </w:r>
          </w:p>
        </w:tc>
        <w:tc>
          <w:tcPr>
            <w:tcW w:w="778"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 xml:space="preserve"> </w:t>
            </w:r>
          </w:p>
        </w:tc>
        <w:tc>
          <w:tcPr>
            <w:tcW w:w="630"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 xml:space="preserve"> </w:t>
            </w:r>
          </w:p>
        </w:tc>
        <w:tc>
          <w:tcPr>
            <w:tcW w:w="844"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 xml:space="preserve"> </w:t>
            </w:r>
          </w:p>
        </w:tc>
        <w:tc>
          <w:tcPr>
            <w:tcW w:w="326"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T3</w:t>
            </w:r>
          </w:p>
        </w:tc>
        <w:tc>
          <w:tcPr>
            <w:tcW w:w="659"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2023</w:t>
            </w:r>
          </w:p>
        </w:tc>
        <w:tc>
          <w:tcPr>
            <w:tcW w:w="5486"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szCs w:val="18"/>
              </w:rPr>
              <w:t xml:space="preserve">Влизане в сила на Кралски декрет за устава на новия национален публичен орган за оценяване. Целите на настоящия кралски указ са: </w:t>
            </w:r>
            <w:r>
              <w:rPr>
                <w:rFonts w:ascii="Times New Roman" w:hAnsi="Times New Roman"/>
                <w:noProof/>
                <w:color w:val="000000"/>
                <w:sz w:val="18"/>
                <w:szCs w:val="18"/>
                <w:lang w:val="en-US"/>
              </w:rPr>
              <w:t>i</w:t>
            </w:r>
            <w:r>
              <w:rPr>
                <w:rFonts w:ascii="Times New Roman" w:hAnsi="Times New Roman"/>
                <w:noProof/>
                <w:color w:val="000000"/>
                <w:sz w:val="18"/>
                <w:szCs w:val="18"/>
              </w:rPr>
              <w:t>) да предостави на националния публичен орган за оценка капацитета и средствата за упражняване на функциите му по отношение на методологичната стандартизация за предварителна оценка на публичната политика; ii) извършване на оценки на обществената политика; и iii) включване на принципа за систематична предварителна оценка на политиката, с изключенията, предвидени в закона.</w:t>
            </w:r>
          </w:p>
        </w:tc>
      </w:tr>
      <w:tr>
        <w:trPr>
          <w:trHeight w:val="309"/>
        </w:trPr>
        <w:tc>
          <w:tcPr>
            <w:tcW w:w="705"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150</w:t>
            </w:r>
          </w:p>
        </w:tc>
        <w:tc>
          <w:tcPr>
            <w:tcW w:w="845"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C11.R1</w:t>
            </w:r>
          </w:p>
        </w:tc>
        <w:tc>
          <w:tcPr>
            <w:tcW w:w="844"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T</w:t>
            </w:r>
          </w:p>
        </w:tc>
        <w:tc>
          <w:tcPr>
            <w:tcW w:w="2710"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szCs w:val="18"/>
              </w:rPr>
              <w:t>Стабилизиране на публичната заетост</w:t>
            </w:r>
          </w:p>
        </w:tc>
        <w:tc>
          <w:tcPr>
            <w:tcW w:w="1370"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 </w:t>
            </w:r>
          </w:p>
        </w:tc>
        <w:tc>
          <w:tcPr>
            <w:tcW w:w="778"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 xml:space="preserve">Брой </w:t>
            </w:r>
          </w:p>
        </w:tc>
        <w:tc>
          <w:tcPr>
            <w:tcW w:w="630"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 xml:space="preserve">0 </w:t>
            </w:r>
          </w:p>
        </w:tc>
        <w:tc>
          <w:tcPr>
            <w:tcW w:w="844"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 xml:space="preserve">300 000 </w:t>
            </w:r>
          </w:p>
        </w:tc>
        <w:tc>
          <w:tcPr>
            <w:tcW w:w="326"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T4</w:t>
            </w:r>
          </w:p>
        </w:tc>
        <w:tc>
          <w:tcPr>
            <w:tcW w:w="659"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2024</w:t>
            </w:r>
          </w:p>
        </w:tc>
        <w:tc>
          <w:tcPr>
            <w:tcW w:w="5486" w:type="dxa"/>
            <w:shd w:val="clear" w:color="auto" w:fill="C6EFCE"/>
            <w:noWrap/>
          </w:tcPr>
          <w:p>
            <w:pPr>
              <w:spacing w:after="0" w:line="240" w:lineRule="auto"/>
              <w:rPr>
                <w:rFonts w:ascii="Times New Roman" w:hAnsi="Times New Roman" w:cs="Times New Roman"/>
                <w:noProof/>
                <w:color w:val="000000"/>
                <w:spacing w:val="-4"/>
                <w:sz w:val="18"/>
                <w:szCs w:val="18"/>
              </w:rPr>
            </w:pPr>
            <w:r>
              <w:rPr>
                <w:rFonts w:ascii="Times New Roman" w:hAnsi="Times New Roman"/>
                <w:noProof/>
                <w:color w:val="000000"/>
                <w:spacing w:val="-4"/>
                <w:sz w:val="18"/>
                <w:szCs w:val="18"/>
              </w:rPr>
              <w:t>Приключване на процедурите за набиране на персонал с цел стабилизиране на заетостта (чрез безсрочни договори или щатни бройки), включващи най-малко 300 000 длъжности (включително тези, произтичащи от процедурите за стабилизиране от 2017 г. и 2018 г.)</w:t>
            </w:r>
          </w:p>
        </w:tc>
      </w:tr>
      <w:tr>
        <w:trPr>
          <w:trHeight w:val="309"/>
        </w:trPr>
        <w:tc>
          <w:tcPr>
            <w:tcW w:w="705"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151</w:t>
            </w:r>
          </w:p>
        </w:tc>
        <w:tc>
          <w:tcPr>
            <w:tcW w:w="845"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C11.R2</w:t>
            </w:r>
          </w:p>
        </w:tc>
        <w:tc>
          <w:tcPr>
            <w:tcW w:w="844"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M</w:t>
            </w:r>
          </w:p>
        </w:tc>
        <w:tc>
          <w:tcPr>
            <w:tcW w:w="2710"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szCs w:val="18"/>
              </w:rPr>
              <w:t>Влизане в сила на Закон 3/2020 за процесуалните и организационните мерки в областта на правосъдието</w:t>
            </w:r>
          </w:p>
        </w:tc>
        <w:tc>
          <w:tcPr>
            <w:tcW w:w="1370"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Разпоредба от закона, указваща влизането в сила на закона</w:t>
            </w:r>
          </w:p>
        </w:tc>
        <w:tc>
          <w:tcPr>
            <w:tcW w:w="778"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 xml:space="preserve"> </w:t>
            </w:r>
          </w:p>
        </w:tc>
        <w:tc>
          <w:tcPr>
            <w:tcW w:w="630"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 xml:space="preserve"> </w:t>
            </w:r>
          </w:p>
        </w:tc>
        <w:tc>
          <w:tcPr>
            <w:tcW w:w="844"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 xml:space="preserve"> </w:t>
            </w:r>
          </w:p>
        </w:tc>
        <w:tc>
          <w:tcPr>
            <w:tcW w:w="326"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T3</w:t>
            </w:r>
          </w:p>
        </w:tc>
        <w:tc>
          <w:tcPr>
            <w:tcW w:w="659"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2020</w:t>
            </w:r>
          </w:p>
        </w:tc>
        <w:tc>
          <w:tcPr>
            <w:tcW w:w="5486"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szCs w:val="18"/>
              </w:rPr>
              <w:t xml:space="preserve">Влизане в сила на Закон 3/2020 от 18 септември относно процедурните и организационните мерки за справяне с COVID-19 в областта на правораздаването. </w:t>
            </w:r>
          </w:p>
        </w:tc>
      </w:tr>
      <w:tr>
        <w:trPr>
          <w:trHeight w:val="309"/>
        </w:trPr>
        <w:tc>
          <w:tcPr>
            <w:tcW w:w="705"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152</w:t>
            </w:r>
          </w:p>
        </w:tc>
        <w:tc>
          <w:tcPr>
            <w:tcW w:w="845"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C11.R2</w:t>
            </w:r>
          </w:p>
        </w:tc>
        <w:tc>
          <w:tcPr>
            <w:tcW w:w="844"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M</w:t>
            </w:r>
          </w:p>
        </w:tc>
        <w:tc>
          <w:tcPr>
            <w:tcW w:w="2710"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szCs w:val="18"/>
              </w:rPr>
              <w:t>Влизане в сила на закона за подобряване на ефективността на съдебните производства</w:t>
            </w:r>
          </w:p>
        </w:tc>
        <w:tc>
          <w:tcPr>
            <w:tcW w:w="1370"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Разпоредба от закона, указваща влизането в сила на закона</w:t>
            </w:r>
          </w:p>
        </w:tc>
        <w:tc>
          <w:tcPr>
            <w:tcW w:w="778"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 xml:space="preserve"> </w:t>
            </w:r>
          </w:p>
        </w:tc>
        <w:tc>
          <w:tcPr>
            <w:tcW w:w="630"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 xml:space="preserve"> </w:t>
            </w:r>
          </w:p>
        </w:tc>
        <w:tc>
          <w:tcPr>
            <w:tcW w:w="844"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 xml:space="preserve"> </w:t>
            </w:r>
          </w:p>
        </w:tc>
        <w:tc>
          <w:tcPr>
            <w:tcW w:w="326"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T4</w:t>
            </w:r>
          </w:p>
        </w:tc>
        <w:tc>
          <w:tcPr>
            <w:tcW w:w="659"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2022</w:t>
            </w:r>
          </w:p>
        </w:tc>
        <w:tc>
          <w:tcPr>
            <w:tcW w:w="5486"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szCs w:val="18"/>
              </w:rPr>
              <w:t xml:space="preserve">Влизане в сила на Закона за подобряване на ефективността на процедурите в националната правосъдна система (Ley de Eficiencia Procesal), включително чрез i) по-интензивно използване на технологиите за предоставяне на ефикасни и висококачествени обществени услуги; ii) въвеждане на реформи в процесуалните закони с цел ускоряване на процедурите; iii) въвеждане на средства за алтернативно разрешаване на спорове; iv) въвеждане на реформи в процесуалните закони, с които да се разрешават спорове преди да се стигне до съда; v) постигане на по-ефективно управление и по-бърз отговор на исканията на гражданите и дружествата; vi) като цяло постигането на по-гъвкаво, ефикасно, съобразено с нуждите на гражданите, устойчиво и прозрачно правораздаване. </w:t>
            </w:r>
          </w:p>
        </w:tc>
      </w:tr>
      <w:tr>
        <w:trPr>
          <w:trHeight w:val="309"/>
        </w:trPr>
        <w:tc>
          <w:tcPr>
            <w:tcW w:w="705"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153</w:t>
            </w:r>
          </w:p>
        </w:tc>
        <w:tc>
          <w:tcPr>
            <w:tcW w:w="845"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C11.R3</w:t>
            </w:r>
          </w:p>
        </w:tc>
        <w:tc>
          <w:tcPr>
            <w:tcW w:w="844"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M</w:t>
            </w:r>
          </w:p>
        </w:tc>
        <w:tc>
          <w:tcPr>
            <w:tcW w:w="2710"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szCs w:val="18"/>
              </w:rPr>
              <w:t>Влизане в сила на Кралски указ 937/2020 относно регулирането на Caja General de Depósitos</w:t>
            </w:r>
          </w:p>
        </w:tc>
        <w:tc>
          <w:tcPr>
            <w:tcW w:w="1370"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pacing w:val="-4"/>
                <w:sz w:val="18"/>
                <w:szCs w:val="18"/>
              </w:rPr>
              <w:t>Разпоредба в постановлението,</w:t>
            </w:r>
            <w:r>
              <w:rPr>
                <w:rFonts w:ascii="Times New Roman" w:hAnsi="Times New Roman"/>
                <w:noProof/>
                <w:color w:val="000000"/>
                <w:sz w:val="18"/>
                <w:szCs w:val="18"/>
              </w:rPr>
              <w:t xml:space="preserve"> в която се посочва влизането в сила на постановлението</w:t>
            </w:r>
          </w:p>
        </w:tc>
        <w:tc>
          <w:tcPr>
            <w:tcW w:w="778"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 xml:space="preserve"> </w:t>
            </w:r>
          </w:p>
        </w:tc>
        <w:tc>
          <w:tcPr>
            <w:tcW w:w="630"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 xml:space="preserve"> </w:t>
            </w:r>
          </w:p>
        </w:tc>
        <w:tc>
          <w:tcPr>
            <w:tcW w:w="844"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 xml:space="preserve"> </w:t>
            </w:r>
          </w:p>
        </w:tc>
        <w:tc>
          <w:tcPr>
            <w:tcW w:w="326"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T4</w:t>
            </w:r>
          </w:p>
        </w:tc>
        <w:tc>
          <w:tcPr>
            <w:tcW w:w="659"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2020</w:t>
            </w:r>
          </w:p>
        </w:tc>
        <w:tc>
          <w:tcPr>
            <w:tcW w:w="5486"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szCs w:val="18"/>
              </w:rPr>
              <w:t>Влизане в сила на Кралски указ 937/2020 от 27 октомври за одобряване на наредбата на Caja General de Depósitos за прилагане на цифровото управление на гаранциите и депозитите, предоставени на Caja, с което се премахва физическата документация. С кралския указ се актуализира процедурата за учредяване, анулиране и принудително изпълнение на гаранциите и паричните вноски, депозирани в Caja. Тя също така насърчава прилагането на електронни процедури в Caja чрез определяне на правилата и каналите за подаване на електронни документи и осигурява необходимата правна рамка за цифровизацията на процедурата.</w:t>
            </w:r>
          </w:p>
        </w:tc>
      </w:tr>
      <w:tr>
        <w:trPr>
          <w:trHeight w:val="309"/>
        </w:trPr>
        <w:tc>
          <w:tcPr>
            <w:tcW w:w="705"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154</w:t>
            </w:r>
          </w:p>
        </w:tc>
        <w:tc>
          <w:tcPr>
            <w:tcW w:w="845"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C11.R3</w:t>
            </w:r>
          </w:p>
        </w:tc>
        <w:tc>
          <w:tcPr>
            <w:tcW w:w="844"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M</w:t>
            </w:r>
          </w:p>
        </w:tc>
        <w:tc>
          <w:tcPr>
            <w:tcW w:w="2710"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szCs w:val="18"/>
              </w:rPr>
              <w:t>Влизане в сила на кралски указ за одобряване на Правилника за прилагане на Закон 22/2015 от 20 юли относно одита на отчетите</w:t>
            </w:r>
          </w:p>
        </w:tc>
        <w:tc>
          <w:tcPr>
            <w:tcW w:w="1370"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Разпоредба от кралския указ, в която се посочва неговото влизане в сила</w:t>
            </w:r>
          </w:p>
        </w:tc>
        <w:tc>
          <w:tcPr>
            <w:tcW w:w="778"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 xml:space="preserve"> </w:t>
            </w:r>
          </w:p>
        </w:tc>
        <w:tc>
          <w:tcPr>
            <w:tcW w:w="630"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 xml:space="preserve"> </w:t>
            </w:r>
          </w:p>
        </w:tc>
        <w:tc>
          <w:tcPr>
            <w:tcW w:w="844"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 xml:space="preserve"> </w:t>
            </w:r>
          </w:p>
        </w:tc>
        <w:tc>
          <w:tcPr>
            <w:tcW w:w="326"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T1</w:t>
            </w:r>
          </w:p>
        </w:tc>
        <w:tc>
          <w:tcPr>
            <w:tcW w:w="659"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2021</w:t>
            </w:r>
          </w:p>
        </w:tc>
        <w:tc>
          <w:tcPr>
            <w:tcW w:w="5486"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szCs w:val="18"/>
              </w:rPr>
              <w:t>Влизане в сила на кралския указ за одобряване на Правилника за прилагане на Закон 22/2015 от 20 юли 2015 г. относно одита на отчетите. Тази реформа има за цел да осигури правната рамка за одитната дейност с по-висока правна сигурност, така че да се постигне адекватно качество на одитната дейност. Поради това на одиторите, одиторските дружества и всички субекти, засегнати от настоящия регламент, се предоставят по-високи гаранции и сигурност при тълкуването и прилагането на разпоредбите, включени в Закона за одит, като същевременно се постига по-добро извършване на одитите, както и изпълнение на задълженията, включени в законодателството.</w:t>
            </w:r>
          </w:p>
        </w:tc>
      </w:tr>
      <w:tr>
        <w:trPr>
          <w:trHeight w:val="309"/>
        </w:trPr>
        <w:tc>
          <w:tcPr>
            <w:tcW w:w="705"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155</w:t>
            </w:r>
          </w:p>
        </w:tc>
        <w:tc>
          <w:tcPr>
            <w:tcW w:w="845"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C11.R4</w:t>
            </w:r>
          </w:p>
        </w:tc>
        <w:tc>
          <w:tcPr>
            <w:tcW w:w="844"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M</w:t>
            </w:r>
          </w:p>
        </w:tc>
        <w:tc>
          <w:tcPr>
            <w:tcW w:w="2710"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szCs w:val="18"/>
              </w:rPr>
              <w:t xml:space="preserve">Влизане в сила на министерското постановление за създаване на Национална служба за оценка </w:t>
            </w:r>
          </w:p>
        </w:tc>
        <w:tc>
          <w:tcPr>
            <w:tcW w:w="1370"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 xml:space="preserve">Разпоредба в министерското постановление, в която се посочва влизането в сила на заповедта </w:t>
            </w:r>
          </w:p>
        </w:tc>
        <w:tc>
          <w:tcPr>
            <w:tcW w:w="778"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 xml:space="preserve"> </w:t>
            </w:r>
          </w:p>
        </w:tc>
        <w:tc>
          <w:tcPr>
            <w:tcW w:w="630"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 xml:space="preserve"> </w:t>
            </w:r>
          </w:p>
        </w:tc>
        <w:tc>
          <w:tcPr>
            <w:tcW w:w="844"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 xml:space="preserve"> </w:t>
            </w:r>
          </w:p>
        </w:tc>
        <w:tc>
          <w:tcPr>
            <w:tcW w:w="326"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T4</w:t>
            </w:r>
          </w:p>
        </w:tc>
        <w:tc>
          <w:tcPr>
            <w:tcW w:w="659"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2021</w:t>
            </w:r>
          </w:p>
        </w:tc>
        <w:tc>
          <w:tcPr>
            <w:tcW w:w="5486"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szCs w:val="18"/>
              </w:rPr>
              <w:t>Влизане в сила на министерското постановление за създаване на Национална служба за оценка (</w:t>
            </w:r>
            <w:r>
              <w:rPr>
                <w:rFonts w:ascii="Times New Roman" w:hAnsi="Times New Roman"/>
                <w:i/>
                <w:iCs/>
                <w:noProof/>
                <w:color w:val="000000"/>
                <w:sz w:val="18"/>
                <w:szCs w:val="18"/>
              </w:rPr>
              <w:t>Oficina Nacional de Evaluación</w:t>
            </w:r>
            <w:r>
              <w:rPr>
                <w:rFonts w:ascii="Times New Roman" w:hAnsi="Times New Roman"/>
                <w:noProof/>
                <w:color w:val="000000"/>
                <w:sz w:val="18"/>
                <w:szCs w:val="18"/>
              </w:rPr>
              <w:t>) в рамките на Независимата служба за регулиране и надзор на обществените поръчки (OIReScon). В съответствие с член 333 от Закон 9/2017 за обществените поръчки тази служба оценява финансовата устойчивост на договорите за концесия, както е определено в членове 14 и 15 от Закон 9/2017 за обществените поръчки. Министерското постановление предоставя на Службата капацитета и средствата за изпълнение на нейните функции.</w:t>
            </w:r>
          </w:p>
        </w:tc>
      </w:tr>
      <w:tr>
        <w:trPr>
          <w:trHeight w:val="309"/>
        </w:trPr>
        <w:tc>
          <w:tcPr>
            <w:tcW w:w="705"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156</w:t>
            </w:r>
          </w:p>
        </w:tc>
        <w:tc>
          <w:tcPr>
            <w:tcW w:w="845"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C11.R4</w:t>
            </w:r>
          </w:p>
        </w:tc>
        <w:tc>
          <w:tcPr>
            <w:tcW w:w="844"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M</w:t>
            </w:r>
          </w:p>
        </w:tc>
        <w:tc>
          <w:tcPr>
            <w:tcW w:w="2710"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szCs w:val="18"/>
              </w:rPr>
              <w:t>Национална стратегия за обществените поръчки</w:t>
            </w:r>
          </w:p>
        </w:tc>
        <w:tc>
          <w:tcPr>
            <w:tcW w:w="1370"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Приемане от Независимата служба за регулиране и надзор на обществените поръчки на Националната стратегия за обществените поръчки</w:t>
            </w:r>
          </w:p>
        </w:tc>
        <w:tc>
          <w:tcPr>
            <w:tcW w:w="778"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 xml:space="preserve"> </w:t>
            </w:r>
          </w:p>
        </w:tc>
        <w:tc>
          <w:tcPr>
            <w:tcW w:w="630"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 xml:space="preserve"> </w:t>
            </w:r>
          </w:p>
        </w:tc>
        <w:tc>
          <w:tcPr>
            <w:tcW w:w="844"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 xml:space="preserve"> </w:t>
            </w:r>
          </w:p>
        </w:tc>
        <w:tc>
          <w:tcPr>
            <w:tcW w:w="326"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T4</w:t>
            </w:r>
          </w:p>
        </w:tc>
        <w:tc>
          <w:tcPr>
            <w:tcW w:w="659"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2022</w:t>
            </w:r>
          </w:p>
        </w:tc>
        <w:tc>
          <w:tcPr>
            <w:tcW w:w="5486"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szCs w:val="18"/>
              </w:rPr>
              <w:t xml:space="preserve">В съответствие с изискванията, определени в член 334 от Ley 9/2017, Националната стратегия за обществените поръчки има за цел подобряване на ефикасността и устойчивостта на обществените поръчки. В договора се включват следните елементи: </w:t>
            </w:r>
            <w:r>
              <w:rPr>
                <w:rFonts w:ascii="Times New Roman" w:hAnsi="Times New Roman"/>
                <w:noProof/>
                <w:color w:val="000000"/>
                <w:sz w:val="18"/>
                <w:szCs w:val="18"/>
                <w:lang w:val="en-US"/>
              </w:rPr>
              <w:t>i</w:t>
            </w:r>
            <w:r>
              <w:rPr>
                <w:rFonts w:ascii="Times New Roman" w:hAnsi="Times New Roman"/>
                <w:noProof/>
                <w:color w:val="000000"/>
                <w:sz w:val="18"/>
                <w:szCs w:val="18"/>
              </w:rPr>
              <w:t xml:space="preserve">) насърчаване на стратегическите обществени поръчки; </w:t>
            </w:r>
            <w:r>
              <w:rPr>
                <w:rFonts w:ascii="Times New Roman" w:hAnsi="Times New Roman"/>
                <w:noProof/>
                <w:color w:val="000000"/>
                <w:sz w:val="18"/>
                <w:szCs w:val="18"/>
                <w:lang w:val="en-US"/>
              </w:rPr>
              <w:t>ii</w:t>
            </w:r>
            <w:r>
              <w:rPr>
                <w:rFonts w:ascii="Times New Roman" w:hAnsi="Times New Roman"/>
                <w:noProof/>
                <w:color w:val="000000"/>
                <w:sz w:val="18"/>
                <w:szCs w:val="18"/>
              </w:rPr>
              <w:t xml:space="preserve">) професионализация; iii) улесняване на достъпа на МСП до обществени поръчки; iv) подобряване на наличните данни; v) насърчаване на ефикасността на обществените поръчки; vi) Цялостна цифрова трансформация на обществените поръчки; vii) повишаване на правната сигурност; viii) подобряване на надзора и контрола на обществените поръчки, включително предотвратяване на корупцията въз основа на карта на установените рискове. </w:t>
            </w:r>
          </w:p>
        </w:tc>
      </w:tr>
      <w:tr>
        <w:trPr>
          <w:trHeight w:val="309"/>
        </w:trPr>
        <w:tc>
          <w:tcPr>
            <w:tcW w:w="705"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157</w:t>
            </w:r>
          </w:p>
        </w:tc>
        <w:tc>
          <w:tcPr>
            <w:tcW w:w="845"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C11.R5</w:t>
            </w:r>
          </w:p>
        </w:tc>
        <w:tc>
          <w:tcPr>
            <w:tcW w:w="844"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M</w:t>
            </w:r>
          </w:p>
        </w:tc>
        <w:tc>
          <w:tcPr>
            <w:tcW w:w="2710"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szCs w:val="18"/>
              </w:rPr>
              <w:t>Влизане в сила на Кралски законодателен указ 36/2020 относно изпълнението на плана за възстановяване, трансформация и устойчивост</w:t>
            </w:r>
          </w:p>
        </w:tc>
        <w:tc>
          <w:tcPr>
            <w:tcW w:w="1370"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Разпоредба от кралския указ, в която се посочва неговото влизане в сила</w:t>
            </w:r>
          </w:p>
        </w:tc>
        <w:tc>
          <w:tcPr>
            <w:tcW w:w="778"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 xml:space="preserve"> </w:t>
            </w:r>
          </w:p>
        </w:tc>
        <w:tc>
          <w:tcPr>
            <w:tcW w:w="630"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 xml:space="preserve"> </w:t>
            </w:r>
          </w:p>
        </w:tc>
        <w:tc>
          <w:tcPr>
            <w:tcW w:w="844"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 xml:space="preserve"> </w:t>
            </w:r>
          </w:p>
        </w:tc>
        <w:tc>
          <w:tcPr>
            <w:tcW w:w="326"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T1</w:t>
            </w:r>
          </w:p>
        </w:tc>
        <w:tc>
          <w:tcPr>
            <w:tcW w:w="659"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2021</w:t>
            </w:r>
          </w:p>
        </w:tc>
        <w:tc>
          <w:tcPr>
            <w:tcW w:w="5486"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szCs w:val="18"/>
              </w:rPr>
              <w:t>Влизане в сила на Кралски законодателен указ 36/2020 от 30 декември за одобряване на спешни мерки за модернизиране на публичната администрация и за изпълнение на испанския план за възстановяване и устойчивост, предоставящ на публичните администрации в Испания средства, включително правни инструменти, за своевременно изпълнение на плана за възстановяване и устойчивост, в съответствие с правото на ЕС, включително Регламента за Механизма за възстановяване и устойчивост. С кралския декрет-закон се въвеждат регулаторни реформи, които ускоряват изпълнението на проектите и позволяват по-голяма ефективност на публичните разходи, като по всяко време запазват гаранциите и контрола, изисквани от регулаторната рамка на ЕС.</w:t>
            </w:r>
          </w:p>
        </w:tc>
      </w:tr>
      <w:tr>
        <w:trPr>
          <w:trHeight w:val="309"/>
        </w:trPr>
        <w:tc>
          <w:tcPr>
            <w:tcW w:w="705"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158</w:t>
            </w:r>
          </w:p>
        </w:tc>
        <w:tc>
          <w:tcPr>
            <w:tcW w:w="845"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C11.R5</w:t>
            </w:r>
          </w:p>
        </w:tc>
        <w:tc>
          <w:tcPr>
            <w:tcW w:w="844"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M</w:t>
            </w:r>
          </w:p>
        </w:tc>
        <w:tc>
          <w:tcPr>
            <w:tcW w:w="2710"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szCs w:val="18"/>
              </w:rPr>
              <w:t>Създаване на нови органи в рамките на централното държавно управление, които да следят изпълнението, контрола и одита на плана.</w:t>
            </w:r>
          </w:p>
        </w:tc>
        <w:tc>
          <w:tcPr>
            <w:tcW w:w="1370"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Публикуване в ОВ:</w:t>
            </w:r>
          </w:p>
        </w:tc>
        <w:tc>
          <w:tcPr>
            <w:tcW w:w="778"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 </w:t>
            </w:r>
          </w:p>
        </w:tc>
        <w:tc>
          <w:tcPr>
            <w:tcW w:w="630"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 </w:t>
            </w:r>
          </w:p>
        </w:tc>
        <w:tc>
          <w:tcPr>
            <w:tcW w:w="844"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 </w:t>
            </w:r>
          </w:p>
        </w:tc>
        <w:tc>
          <w:tcPr>
            <w:tcW w:w="326"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T2</w:t>
            </w:r>
          </w:p>
        </w:tc>
        <w:tc>
          <w:tcPr>
            <w:tcW w:w="659"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2021</w:t>
            </w:r>
          </w:p>
        </w:tc>
        <w:tc>
          <w:tcPr>
            <w:tcW w:w="5486"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szCs w:val="18"/>
              </w:rPr>
              <w:t>Създаване на генералния секретар по европейските фондове (Secretaría General de Fondos Europeos) и на нови отдели в Службата по информатика на бюджета (Oficina de Informática Presupuestaria) и в Националната сметна палата (Oficina Nacional de Auditoría) на Главния контрольор на държавната администрация (Intervención General de la Administración del Estado), за да се насърчи дългосрочното планиране и административна култура за контрол82 на Кралския план за управление и контрол 82.</w:t>
            </w:r>
          </w:p>
        </w:tc>
      </w:tr>
      <w:tr>
        <w:trPr>
          <w:trHeight w:val="309"/>
        </w:trPr>
        <w:tc>
          <w:tcPr>
            <w:tcW w:w="705"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159</w:t>
            </w:r>
          </w:p>
        </w:tc>
        <w:tc>
          <w:tcPr>
            <w:tcW w:w="845"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C11.R5</w:t>
            </w:r>
          </w:p>
        </w:tc>
        <w:tc>
          <w:tcPr>
            <w:tcW w:w="844"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M</w:t>
            </w:r>
          </w:p>
        </w:tc>
        <w:tc>
          <w:tcPr>
            <w:tcW w:w="2710"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szCs w:val="18"/>
              </w:rPr>
              <w:t>Наредба за определяне на процедурите и формата на информацията, която трябва да се обменя за мониторинга на ППР и за счетоводното изпълнение на разходите</w:t>
            </w:r>
          </w:p>
        </w:tc>
        <w:tc>
          <w:tcPr>
            <w:tcW w:w="1370"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Разпоредба в заповедта, в която се посочва влизането в сила на заповедта</w:t>
            </w:r>
          </w:p>
        </w:tc>
        <w:tc>
          <w:tcPr>
            <w:tcW w:w="778"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 </w:t>
            </w:r>
          </w:p>
        </w:tc>
        <w:tc>
          <w:tcPr>
            <w:tcW w:w="630"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 </w:t>
            </w:r>
          </w:p>
        </w:tc>
        <w:tc>
          <w:tcPr>
            <w:tcW w:w="844"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 </w:t>
            </w:r>
          </w:p>
        </w:tc>
        <w:tc>
          <w:tcPr>
            <w:tcW w:w="326"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T3</w:t>
            </w:r>
          </w:p>
        </w:tc>
        <w:tc>
          <w:tcPr>
            <w:tcW w:w="659"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2021</w:t>
            </w:r>
          </w:p>
        </w:tc>
        <w:tc>
          <w:tcPr>
            <w:tcW w:w="5486"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szCs w:val="18"/>
              </w:rPr>
              <w:t>Влизане в сила на заповедта за определяне на процедурите и формата на информацията, която трябва да се обменя за наблюдение на ППР и за счетоводно изпълнение на разходите</w:t>
            </w:r>
          </w:p>
        </w:tc>
      </w:tr>
      <w:tr>
        <w:trPr>
          <w:trHeight w:val="309"/>
        </w:trPr>
        <w:tc>
          <w:tcPr>
            <w:tcW w:w="705"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160</w:t>
            </w:r>
          </w:p>
        </w:tc>
        <w:tc>
          <w:tcPr>
            <w:tcW w:w="845"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C11.I1</w:t>
            </w:r>
          </w:p>
        </w:tc>
        <w:tc>
          <w:tcPr>
            <w:tcW w:w="844"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M</w:t>
            </w:r>
          </w:p>
        </w:tc>
        <w:tc>
          <w:tcPr>
            <w:tcW w:w="2710"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szCs w:val="18"/>
              </w:rPr>
              <w:t>Взаимно свързване на националните платформи за обществени поръчки</w:t>
            </w:r>
          </w:p>
        </w:tc>
        <w:tc>
          <w:tcPr>
            <w:tcW w:w="1370"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 xml:space="preserve">Централните и регионалните публични администрации предоставят подписани сертификати, потвърждаващи функционалните възможности на платформата </w:t>
            </w:r>
          </w:p>
        </w:tc>
        <w:tc>
          <w:tcPr>
            <w:tcW w:w="778"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 xml:space="preserve"> </w:t>
            </w:r>
          </w:p>
        </w:tc>
        <w:tc>
          <w:tcPr>
            <w:tcW w:w="630"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 </w:t>
            </w:r>
          </w:p>
        </w:tc>
        <w:tc>
          <w:tcPr>
            <w:tcW w:w="844"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 </w:t>
            </w:r>
          </w:p>
        </w:tc>
        <w:tc>
          <w:tcPr>
            <w:tcW w:w="326"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T4</w:t>
            </w:r>
          </w:p>
        </w:tc>
        <w:tc>
          <w:tcPr>
            <w:tcW w:w="659"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2023</w:t>
            </w:r>
          </w:p>
        </w:tc>
        <w:tc>
          <w:tcPr>
            <w:tcW w:w="5486"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szCs w:val="18"/>
              </w:rPr>
              <w:t>Допълнителна взаимовръзка (обмен на данни) между всички съществуващи платформи за обществени поръчки (централно и регионално управление): най-малко 142 полета със свободно достъпни данни и 52 агрегирани данни на платформата на централното държавно управление.</w:t>
            </w:r>
            <w:r>
              <w:rPr>
                <w:rFonts w:ascii="Times New Roman" w:hAnsi="Times New Roman"/>
                <w:noProof/>
                <w:color w:val="000000"/>
                <w:sz w:val="18"/>
                <w:szCs w:val="18"/>
              </w:rPr>
              <w:br/>
              <w:t xml:space="preserve">Брой полета със свободно достъпни данни в платформата на централното правителство през януари 2021 г.: 119 </w:t>
            </w:r>
            <w:r>
              <w:rPr>
                <w:rFonts w:ascii="Times New Roman" w:hAnsi="Times New Roman"/>
                <w:noProof/>
                <w:color w:val="000000"/>
                <w:sz w:val="18"/>
                <w:szCs w:val="18"/>
              </w:rPr>
              <w:br/>
              <w:t>Брой агрегирани данни в платформата на централното държавно управление през януари 2021 г.: 43</w:t>
            </w:r>
          </w:p>
        </w:tc>
      </w:tr>
      <w:tr>
        <w:trPr>
          <w:trHeight w:val="309"/>
        </w:trPr>
        <w:tc>
          <w:tcPr>
            <w:tcW w:w="705"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161</w:t>
            </w:r>
          </w:p>
        </w:tc>
        <w:tc>
          <w:tcPr>
            <w:tcW w:w="845"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C11.I1</w:t>
            </w:r>
          </w:p>
        </w:tc>
        <w:tc>
          <w:tcPr>
            <w:tcW w:w="844"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T</w:t>
            </w:r>
          </w:p>
        </w:tc>
        <w:tc>
          <w:tcPr>
            <w:tcW w:w="2710"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szCs w:val="18"/>
              </w:rPr>
              <w:t>Възлагане на проекти в подкрепа на цифровата трансформация на централната публична администрация</w:t>
            </w:r>
          </w:p>
        </w:tc>
        <w:tc>
          <w:tcPr>
            <w:tcW w:w="1370"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 </w:t>
            </w:r>
          </w:p>
        </w:tc>
        <w:tc>
          <w:tcPr>
            <w:tcW w:w="778"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милиони евро</w:t>
            </w:r>
          </w:p>
        </w:tc>
        <w:tc>
          <w:tcPr>
            <w:tcW w:w="630"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0</w:t>
            </w:r>
          </w:p>
        </w:tc>
        <w:tc>
          <w:tcPr>
            <w:tcW w:w="844"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960</w:t>
            </w:r>
          </w:p>
        </w:tc>
        <w:tc>
          <w:tcPr>
            <w:tcW w:w="326"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T4</w:t>
            </w:r>
          </w:p>
        </w:tc>
        <w:tc>
          <w:tcPr>
            <w:tcW w:w="659"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2023</w:t>
            </w:r>
          </w:p>
        </w:tc>
        <w:tc>
          <w:tcPr>
            <w:tcW w:w="5486"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szCs w:val="18"/>
              </w:rPr>
              <w:t>Публикуване в ОВ или в платформата за обществени поръчки на възлагането на поне 960 000 000 EUR по проекти, обхващащи следните области:</w:t>
            </w:r>
            <w:r>
              <w:rPr>
                <w:rFonts w:ascii="Times New Roman" w:hAnsi="Times New Roman"/>
                <w:noProof/>
                <w:color w:val="000000"/>
                <w:sz w:val="18"/>
                <w:szCs w:val="18"/>
              </w:rPr>
              <w:br/>
              <w:t>- Цифрова трансформация от гледна точка на проактивност, мобилност, потребителски опит;</w:t>
            </w:r>
            <w:r>
              <w:rPr>
                <w:rFonts w:ascii="Times New Roman" w:hAnsi="Times New Roman"/>
                <w:noProof/>
                <w:color w:val="000000"/>
                <w:sz w:val="18"/>
                <w:szCs w:val="18"/>
              </w:rPr>
              <w:br/>
              <w:t>- Цифрова трансформация по отношение на автоматизацията и ориентираната към данните публична администрация;</w:t>
            </w:r>
            <w:r>
              <w:rPr>
                <w:rFonts w:ascii="Times New Roman" w:hAnsi="Times New Roman"/>
                <w:noProof/>
                <w:color w:val="000000"/>
                <w:sz w:val="18"/>
                <w:szCs w:val="18"/>
              </w:rPr>
              <w:br/>
              <w:t>- Цифрова трансформация по отношение на физическата, логическата инфраструктура и софтуера;</w:t>
            </w:r>
            <w:r>
              <w:rPr>
                <w:rFonts w:ascii="Times New Roman" w:hAnsi="Times New Roman"/>
                <w:noProof/>
                <w:color w:val="000000"/>
                <w:sz w:val="18"/>
                <w:szCs w:val="18"/>
              </w:rPr>
              <w:br/>
              <w:t>- Цифрова трансформация по отношение на киберсигурността.</w:t>
            </w:r>
          </w:p>
        </w:tc>
      </w:tr>
      <w:tr>
        <w:trPr>
          <w:trHeight w:val="309"/>
        </w:trPr>
        <w:tc>
          <w:tcPr>
            <w:tcW w:w="705"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162</w:t>
            </w:r>
          </w:p>
        </w:tc>
        <w:tc>
          <w:tcPr>
            <w:tcW w:w="845"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C11.I1</w:t>
            </w:r>
          </w:p>
        </w:tc>
        <w:tc>
          <w:tcPr>
            <w:tcW w:w="844"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M</w:t>
            </w:r>
          </w:p>
        </w:tc>
        <w:tc>
          <w:tcPr>
            <w:tcW w:w="2710"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szCs w:val="18"/>
              </w:rPr>
              <w:t>Приключване на проекти в подкрепа на цифровата трансформация на централната публична администрация</w:t>
            </w:r>
          </w:p>
        </w:tc>
        <w:tc>
          <w:tcPr>
            <w:tcW w:w="1370"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Сертификати, подписани от компетентния орган, удостоверяващи, че проектите са завършени и функционират</w:t>
            </w:r>
          </w:p>
        </w:tc>
        <w:tc>
          <w:tcPr>
            <w:tcW w:w="778"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 </w:t>
            </w:r>
          </w:p>
        </w:tc>
        <w:tc>
          <w:tcPr>
            <w:tcW w:w="630"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 </w:t>
            </w:r>
          </w:p>
        </w:tc>
        <w:tc>
          <w:tcPr>
            <w:tcW w:w="844"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 </w:t>
            </w:r>
          </w:p>
        </w:tc>
        <w:tc>
          <w:tcPr>
            <w:tcW w:w="326"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T4</w:t>
            </w:r>
          </w:p>
        </w:tc>
        <w:tc>
          <w:tcPr>
            <w:tcW w:w="659"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2025</w:t>
            </w:r>
          </w:p>
        </w:tc>
        <w:tc>
          <w:tcPr>
            <w:tcW w:w="5486"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szCs w:val="18"/>
              </w:rPr>
              <w:t>Приключване на проектите, възложени в съответствие с цел № 161</w:t>
            </w:r>
          </w:p>
        </w:tc>
      </w:tr>
      <w:tr>
        <w:trPr>
          <w:trHeight w:val="309"/>
        </w:trPr>
        <w:tc>
          <w:tcPr>
            <w:tcW w:w="705"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163</w:t>
            </w:r>
          </w:p>
        </w:tc>
        <w:tc>
          <w:tcPr>
            <w:tcW w:w="845"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C11.I2</w:t>
            </w:r>
          </w:p>
        </w:tc>
        <w:tc>
          <w:tcPr>
            <w:tcW w:w="844"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M</w:t>
            </w:r>
          </w:p>
        </w:tc>
        <w:tc>
          <w:tcPr>
            <w:tcW w:w="2710"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szCs w:val="18"/>
              </w:rPr>
              <w:t>Оперативно съвместими платформи за обмен на данни в областта на социалната сигурност и здравеопазването</w:t>
            </w:r>
          </w:p>
        </w:tc>
        <w:tc>
          <w:tcPr>
            <w:tcW w:w="1370"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Централните и регионалните социално-осигурителни администрации предоставят подписани удостоверения, потвърждаващи функционалните възможности на платформата</w:t>
            </w:r>
          </w:p>
        </w:tc>
        <w:tc>
          <w:tcPr>
            <w:tcW w:w="778"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 xml:space="preserve"> </w:t>
            </w:r>
          </w:p>
        </w:tc>
        <w:tc>
          <w:tcPr>
            <w:tcW w:w="630"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 </w:t>
            </w:r>
          </w:p>
        </w:tc>
        <w:tc>
          <w:tcPr>
            <w:tcW w:w="844"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 </w:t>
            </w:r>
          </w:p>
        </w:tc>
        <w:tc>
          <w:tcPr>
            <w:tcW w:w="326"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T3</w:t>
            </w:r>
          </w:p>
        </w:tc>
        <w:tc>
          <w:tcPr>
            <w:tcW w:w="659"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2023</w:t>
            </w:r>
          </w:p>
        </w:tc>
        <w:tc>
          <w:tcPr>
            <w:tcW w:w="5486"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szCs w:val="18"/>
              </w:rPr>
              <w:t>Централната администрация и регионите разполагат с напълно оперативно съвместими платформи, даващи възможност за обмен на данни и информация в областта на социалната сигурност в следните области: i) първична медицинска помощ, ii) хоспитализация, iii) здравни специалисти, фармацевтично предписание/освобождаване</w:t>
            </w:r>
          </w:p>
        </w:tc>
      </w:tr>
      <w:tr>
        <w:trPr>
          <w:trHeight w:val="309"/>
        </w:trPr>
        <w:tc>
          <w:tcPr>
            <w:tcW w:w="705"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164</w:t>
            </w:r>
          </w:p>
        </w:tc>
        <w:tc>
          <w:tcPr>
            <w:tcW w:w="845"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C11.I2</w:t>
            </w:r>
          </w:p>
        </w:tc>
        <w:tc>
          <w:tcPr>
            <w:tcW w:w="844"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T</w:t>
            </w:r>
          </w:p>
        </w:tc>
        <w:tc>
          <w:tcPr>
            <w:tcW w:w="2710"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szCs w:val="18"/>
              </w:rPr>
              <w:t>Съдебно производство, което трябва да се проведе по електронен път</w:t>
            </w:r>
          </w:p>
        </w:tc>
        <w:tc>
          <w:tcPr>
            <w:tcW w:w="1370"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 </w:t>
            </w:r>
          </w:p>
        </w:tc>
        <w:tc>
          <w:tcPr>
            <w:tcW w:w="778"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 xml:space="preserve">% </w:t>
            </w:r>
          </w:p>
        </w:tc>
        <w:tc>
          <w:tcPr>
            <w:tcW w:w="630"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0</w:t>
            </w:r>
          </w:p>
        </w:tc>
        <w:tc>
          <w:tcPr>
            <w:tcW w:w="844"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70</w:t>
            </w:r>
          </w:p>
        </w:tc>
        <w:tc>
          <w:tcPr>
            <w:tcW w:w="326"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T4</w:t>
            </w:r>
          </w:p>
        </w:tc>
        <w:tc>
          <w:tcPr>
            <w:tcW w:w="659"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2023</w:t>
            </w:r>
          </w:p>
        </w:tc>
        <w:tc>
          <w:tcPr>
            <w:tcW w:w="5486"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szCs w:val="18"/>
              </w:rPr>
              <w:t>Най-малко 70 % от съществуващите 4 056 съдебни органи разполагат с необходимата инфраструктура, за да се даде възможност за провеждане на поне 30 % от производствата по електронен път. Това предполага провеждане на телематични съдебни производства в различните съдебни инстанции при пълна правна сигурност. За да се постигне тази цел, всички участници трябва да имат достъп до съдебните зали чрез видеоконферентна връзка. Освен това тя дава възможност за създаването на напълно виртуални съдебни зали, до които всички участници могат да имат достъп чрез видеоконферентна връзка. Създава се платформа за непосредственост, за да се създадат нови модели за присъствени връзки и обработване. Това ще подобри достъпа от разстояние на гражданите до услугите, предоставяни от публичната администрация.</w:t>
            </w:r>
          </w:p>
        </w:tc>
      </w:tr>
      <w:tr>
        <w:trPr>
          <w:trHeight w:val="343"/>
        </w:trPr>
        <w:tc>
          <w:tcPr>
            <w:tcW w:w="705"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165</w:t>
            </w:r>
          </w:p>
        </w:tc>
        <w:tc>
          <w:tcPr>
            <w:tcW w:w="845"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C11.I2</w:t>
            </w:r>
          </w:p>
        </w:tc>
        <w:tc>
          <w:tcPr>
            <w:tcW w:w="844"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T</w:t>
            </w:r>
          </w:p>
        </w:tc>
        <w:tc>
          <w:tcPr>
            <w:tcW w:w="2710"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szCs w:val="18"/>
              </w:rPr>
              <w:t>Възлагане на проекти в подкрепа на проекти, стимулиращи цифровизацията на централната публична администрация</w:t>
            </w:r>
          </w:p>
        </w:tc>
        <w:tc>
          <w:tcPr>
            <w:tcW w:w="1370"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 </w:t>
            </w:r>
          </w:p>
        </w:tc>
        <w:tc>
          <w:tcPr>
            <w:tcW w:w="778"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милиони евро</w:t>
            </w:r>
          </w:p>
        </w:tc>
        <w:tc>
          <w:tcPr>
            <w:tcW w:w="630"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0</w:t>
            </w:r>
          </w:p>
        </w:tc>
        <w:tc>
          <w:tcPr>
            <w:tcW w:w="844"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1 205</w:t>
            </w:r>
          </w:p>
        </w:tc>
        <w:tc>
          <w:tcPr>
            <w:tcW w:w="326"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T4</w:t>
            </w:r>
          </w:p>
        </w:tc>
        <w:tc>
          <w:tcPr>
            <w:tcW w:w="659"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2023</w:t>
            </w:r>
          </w:p>
        </w:tc>
        <w:tc>
          <w:tcPr>
            <w:tcW w:w="5486"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szCs w:val="18"/>
              </w:rPr>
              <w:t>Публикуване в ОВ или в платформата за обществени поръчки на възлагането на проекти, обхващащи следните области:</w:t>
            </w:r>
            <w:r>
              <w:rPr>
                <w:rFonts w:ascii="Times New Roman" w:hAnsi="Times New Roman"/>
                <w:noProof/>
                <w:color w:val="000000"/>
                <w:sz w:val="18"/>
                <w:szCs w:val="18"/>
              </w:rPr>
              <w:br/>
              <w:t>- Цифрова трансформация в сектора на здравеопазването;</w:t>
            </w:r>
            <w:r>
              <w:rPr>
                <w:rFonts w:ascii="Times New Roman" w:hAnsi="Times New Roman"/>
                <w:noProof/>
                <w:color w:val="000000"/>
                <w:sz w:val="18"/>
                <w:szCs w:val="18"/>
              </w:rPr>
              <w:br/>
              <w:t>- Цифрова трансформация на администрацията на правосъдието;</w:t>
            </w:r>
            <w:r>
              <w:rPr>
                <w:rFonts w:ascii="Times New Roman" w:hAnsi="Times New Roman"/>
                <w:noProof/>
                <w:color w:val="000000"/>
                <w:sz w:val="18"/>
                <w:szCs w:val="18"/>
              </w:rPr>
              <w:br/>
              <w:t>- Цифрова трансформация по отношение на заетостта;</w:t>
            </w:r>
            <w:r>
              <w:rPr>
                <w:rFonts w:ascii="Times New Roman" w:hAnsi="Times New Roman"/>
                <w:noProof/>
                <w:color w:val="000000"/>
                <w:sz w:val="18"/>
                <w:szCs w:val="18"/>
              </w:rPr>
              <w:br/>
              <w:t>- Цифрова трансформация по отношение на приобщаването, социалната сигурност и миграцията;</w:t>
            </w:r>
            <w:r>
              <w:rPr>
                <w:rFonts w:ascii="Times New Roman" w:hAnsi="Times New Roman"/>
                <w:noProof/>
                <w:color w:val="000000"/>
                <w:sz w:val="18"/>
                <w:szCs w:val="18"/>
              </w:rPr>
              <w:br/>
              <w:t>- Консулски план за цифровизация;</w:t>
            </w:r>
            <w:r>
              <w:rPr>
                <w:rFonts w:ascii="Times New Roman" w:hAnsi="Times New Roman"/>
                <w:noProof/>
                <w:color w:val="000000"/>
                <w:sz w:val="18"/>
                <w:szCs w:val="18"/>
              </w:rPr>
              <w:br/>
              <w:t>- Цифрова трансформация в други области на общата държавна администрация.</w:t>
            </w:r>
          </w:p>
        </w:tc>
      </w:tr>
      <w:tr>
        <w:trPr>
          <w:trHeight w:val="309"/>
        </w:trPr>
        <w:tc>
          <w:tcPr>
            <w:tcW w:w="705"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166</w:t>
            </w:r>
          </w:p>
        </w:tc>
        <w:tc>
          <w:tcPr>
            <w:tcW w:w="845"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C11.I2</w:t>
            </w:r>
          </w:p>
        </w:tc>
        <w:tc>
          <w:tcPr>
            <w:tcW w:w="844"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M</w:t>
            </w:r>
          </w:p>
        </w:tc>
        <w:tc>
          <w:tcPr>
            <w:tcW w:w="2710"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szCs w:val="18"/>
              </w:rPr>
              <w:t>Приключване на проекти в подкрепа на проектите за цифровизация на централната публична администрация</w:t>
            </w:r>
          </w:p>
        </w:tc>
        <w:tc>
          <w:tcPr>
            <w:tcW w:w="1370"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Сертификати, подписани от компетентния орган, удостоверяващи, че проектите са завършени и функционират</w:t>
            </w:r>
          </w:p>
        </w:tc>
        <w:tc>
          <w:tcPr>
            <w:tcW w:w="778"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 </w:t>
            </w:r>
          </w:p>
        </w:tc>
        <w:tc>
          <w:tcPr>
            <w:tcW w:w="630"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 </w:t>
            </w:r>
          </w:p>
        </w:tc>
        <w:tc>
          <w:tcPr>
            <w:tcW w:w="844"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 </w:t>
            </w:r>
          </w:p>
        </w:tc>
        <w:tc>
          <w:tcPr>
            <w:tcW w:w="326"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T4</w:t>
            </w:r>
          </w:p>
        </w:tc>
        <w:tc>
          <w:tcPr>
            <w:tcW w:w="659"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2025</w:t>
            </w:r>
          </w:p>
        </w:tc>
        <w:tc>
          <w:tcPr>
            <w:tcW w:w="5486"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szCs w:val="18"/>
              </w:rPr>
              <w:t>Приключване на проектите, възложени в съответствие с цел № 165</w:t>
            </w:r>
          </w:p>
        </w:tc>
      </w:tr>
      <w:tr>
        <w:trPr>
          <w:trHeight w:val="309"/>
        </w:trPr>
        <w:tc>
          <w:tcPr>
            <w:tcW w:w="705"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167</w:t>
            </w:r>
          </w:p>
        </w:tc>
        <w:tc>
          <w:tcPr>
            <w:tcW w:w="845"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C11.I3</w:t>
            </w:r>
          </w:p>
        </w:tc>
        <w:tc>
          <w:tcPr>
            <w:tcW w:w="844"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M</w:t>
            </w:r>
          </w:p>
        </w:tc>
        <w:tc>
          <w:tcPr>
            <w:tcW w:w="2710"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szCs w:val="18"/>
              </w:rPr>
              <w:t>Цифровизация на регионалните и местните субекти</w:t>
            </w:r>
          </w:p>
        </w:tc>
        <w:tc>
          <w:tcPr>
            <w:tcW w:w="1370"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Министерството на териториалната политика и държавната администрация предоставя подписано удостоверение, потвърждаващо, че целта е постигната</w:t>
            </w:r>
          </w:p>
        </w:tc>
        <w:tc>
          <w:tcPr>
            <w:tcW w:w="778"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 </w:t>
            </w:r>
          </w:p>
        </w:tc>
        <w:tc>
          <w:tcPr>
            <w:tcW w:w="630"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 </w:t>
            </w:r>
          </w:p>
        </w:tc>
        <w:tc>
          <w:tcPr>
            <w:tcW w:w="844"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 </w:t>
            </w:r>
          </w:p>
        </w:tc>
        <w:tc>
          <w:tcPr>
            <w:tcW w:w="326"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T4</w:t>
            </w:r>
          </w:p>
        </w:tc>
        <w:tc>
          <w:tcPr>
            <w:tcW w:w="659"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2023</w:t>
            </w:r>
          </w:p>
        </w:tc>
        <w:tc>
          <w:tcPr>
            <w:tcW w:w="5486"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szCs w:val="18"/>
              </w:rPr>
              <w:t>Автономните области и местните органи на управление приключиха проекти в рамките на стратегическите насоки на стратегията в областта на цифровите технологии до 2025 г., Плана за цифровизация на публичните администрации и останалата част от действията за модернизиране, планирани за публичния сектор. По-специално: а) Всяка автономна област е завършила поне един проект по един от петте стратегически линии (1. Администрация, ориентирана към гражданите, 2. Интелигентни операции, 3. Правителство на данните, 4. Цифрови инфраструктури и/или 5. Киберсигурност); 60 % от цифровите процедури на регионалните администрации (</w:t>
            </w:r>
            <w:r>
              <w:rPr>
                <w:rFonts w:ascii="Times New Roman" w:hAnsi="Times New Roman"/>
                <w:i/>
                <w:iCs/>
                <w:noProof/>
                <w:color w:val="000000"/>
                <w:sz w:val="18"/>
                <w:szCs w:val="18"/>
              </w:rPr>
              <w:t>Comunidades Autónomas</w:t>
            </w:r>
            <w:r>
              <w:rPr>
                <w:rFonts w:ascii="Times New Roman" w:hAnsi="Times New Roman"/>
                <w:noProof/>
                <w:color w:val="000000"/>
                <w:sz w:val="18"/>
                <w:szCs w:val="18"/>
              </w:rPr>
              <w:t xml:space="preserve">) позволяват тяхното използване чрез мобилни устройства (настоящо: 48 %). </w:t>
            </w:r>
          </w:p>
        </w:tc>
      </w:tr>
      <w:tr>
        <w:trPr>
          <w:trHeight w:val="309"/>
        </w:trPr>
        <w:tc>
          <w:tcPr>
            <w:tcW w:w="705"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168</w:t>
            </w:r>
          </w:p>
        </w:tc>
        <w:tc>
          <w:tcPr>
            <w:tcW w:w="845"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C11.I3</w:t>
            </w:r>
          </w:p>
        </w:tc>
        <w:tc>
          <w:tcPr>
            <w:tcW w:w="844"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T</w:t>
            </w:r>
          </w:p>
        </w:tc>
        <w:tc>
          <w:tcPr>
            <w:tcW w:w="2710"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szCs w:val="18"/>
              </w:rPr>
              <w:t>Възлагане на проекти в подкрепа на цифровата трансформация на регионалните и местните публични администрации и Министерството на териториалната политика и публичната администрация</w:t>
            </w:r>
          </w:p>
        </w:tc>
        <w:tc>
          <w:tcPr>
            <w:tcW w:w="1370"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 </w:t>
            </w:r>
          </w:p>
        </w:tc>
        <w:tc>
          <w:tcPr>
            <w:tcW w:w="778"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милиони евро</w:t>
            </w:r>
          </w:p>
        </w:tc>
        <w:tc>
          <w:tcPr>
            <w:tcW w:w="630"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0</w:t>
            </w:r>
          </w:p>
        </w:tc>
        <w:tc>
          <w:tcPr>
            <w:tcW w:w="844"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1 000</w:t>
            </w:r>
          </w:p>
        </w:tc>
        <w:tc>
          <w:tcPr>
            <w:tcW w:w="326"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T2</w:t>
            </w:r>
          </w:p>
        </w:tc>
        <w:tc>
          <w:tcPr>
            <w:tcW w:w="659"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2025</w:t>
            </w:r>
          </w:p>
        </w:tc>
        <w:tc>
          <w:tcPr>
            <w:tcW w:w="5486"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szCs w:val="18"/>
              </w:rPr>
              <w:t>Публикуване в ОВ или в платформата за обществени поръчки на възлагането на проекти, обхващащи следните области:</w:t>
            </w:r>
            <w:r>
              <w:rPr>
                <w:rFonts w:ascii="Times New Roman" w:hAnsi="Times New Roman"/>
                <w:noProof/>
                <w:color w:val="000000"/>
                <w:sz w:val="18"/>
                <w:szCs w:val="18"/>
              </w:rPr>
              <w:br/>
              <w:t>- Цифрова трансформация от гледна точка на проактивност, мобилност, потребителски опит;</w:t>
            </w:r>
            <w:r>
              <w:rPr>
                <w:rFonts w:ascii="Times New Roman" w:hAnsi="Times New Roman"/>
                <w:noProof/>
                <w:color w:val="000000"/>
                <w:sz w:val="18"/>
                <w:szCs w:val="18"/>
              </w:rPr>
              <w:br/>
              <w:t>- Цифрова трансформация по отношение на автоматизацията и ориентираната към данните публична администрация;</w:t>
            </w:r>
            <w:r>
              <w:rPr>
                <w:rFonts w:ascii="Times New Roman" w:hAnsi="Times New Roman"/>
                <w:noProof/>
                <w:color w:val="000000"/>
                <w:sz w:val="18"/>
                <w:szCs w:val="18"/>
              </w:rPr>
              <w:br/>
              <w:t>- Цифрова трансформация по отношение на физическата, логическата инфраструктура и софтуера;</w:t>
            </w:r>
            <w:r>
              <w:rPr>
                <w:rFonts w:ascii="Times New Roman" w:hAnsi="Times New Roman"/>
                <w:noProof/>
                <w:color w:val="000000"/>
                <w:sz w:val="18"/>
                <w:szCs w:val="18"/>
              </w:rPr>
              <w:br/>
              <w:t>- Цифрова трансформация по отношение на киберсигурността.</w:t>
            </w:r>
          </w:p>
        </w:tc>
      </w:tr>
      <w:tr>
        <w:trPr>
          <w:trHeight w:val="309"/>
        </w:trPr>
        <w:tc>
          <w:tcPr>
            <w:tcW w:w="705"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169</w:t>
            </w:r>
          </w:p>
        </w:tc>
        <w:tc>
          <w:tcPr>
            <w:tcW w:w="845"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C11.I3</w:t>
            </w:r>
          </w:p>
        </w:tc>
        <w:tc>
          <w:tcPr>
            <w:tcW w:w="844"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M</w:t>
            </w:r>
          </w:p>
        </w:tc>
        <w:tc>
          <w:tcPr>
            <w:tcW w:w="2710"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szCs w:val="18"/>
              </w:rPr>
              <w:t>Приключване на всички проекти в подкрепа на цифровата трансформация на регионалните и местните публични администрации и Министерството на териториалната политика и публичната администрация</w:t>
            </w:r>
          </w:p>
        </w:tc>
        <w:tc>
          <w:tcPr>
            <w:tcW w:w="1370"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Сертификати, подписани от компетентния орган, удостоверяващи, че проектите са завършени и функционират</w:t>
            </w:r>
          </w:p>
        </w:tc>
        <w:tc>
          <w:tcPr>
            <w:tcW w:w="778"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 </w:t>
            </w:r>
          </w:p>
        </w:tc>
        <w:tc>
          <w:tcPr>
            <w:tcW w:w="630"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 </w:t>
            </w:r>
          </w:p>
        </w:tc>
        <w:tc>
          <w:tcPr>
            <w:tcW w:w="844"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 </w:t>
            </w:r>
          </w:p>
        </w:tc>
        <w:tc>
          <w:tcPr>
            <w:tcW w:w="326"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T2</w:t>
            </w:r>
          </w:p>
        </w:tc>
        <w:tc>
          <w:tcPr>
            <w:tcW w:w="659"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2026</w:t>
            </w:r>
          </w:p>
        </w:tc>
        <w:tc>
          <w:tcPr>
            <w:tcW w:w="5486"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szCs w:val="18"/>
              </w:rPr>
              <w:t>Приключване на всички проекти, обхващащи следните области (в съответствие с цел № 168)</w:t>
            </w:r>
            <w:r>
              <w:rPr>
                <w:rFonts w:ascii="Times New Roman" w:hAnsi="Times New Roman"/>
                <w:noProof/>
                <w:color w:val="000000"/>
                <w:sz w:val="18"/>
                <w:szCs w:val="18"/>
              </w:rPr>
              <w:br/>
              <w:t>– Цифрова трансформация по отношение на проактивността, мобилността, опита на потребителите</w:t>
            </w:r>
            <w:r>
              <w:rPr>
                <w:rFonts w:ascii="Times New Roman" w:hAnsi="Times New Roman"/>
                <w:noProof/>
                <w:color w:val="000000"/>
                <w:sz w:val="18"/>
                <w:szCs w:val="18"/>
              </w:rPr>
              <w:br/>
              <w:t>– Цифрова трансформация по отношение на автоматизацията и ориентираната към данните публична администрация</w:t>
            </w:r>
            <w:r>
              <w:rPr>
                <w:rFonts w:ascii="Times New Roman" w:hAnsi="Times New Roman"/>
                <w:noProof/>
                <w:color w:val="000000"/>
                <w:sz w:val="18"/>
                <w:szCs w:val="18"/>
              </w:rPr>
              <w:br/>
              <w:t>– Цифрова трансформация по отношение на физическата, логическата инфраструктура и софтуера.</w:t>
            </w:r>
            <w:r>
              <w:rPr>
                <w:rFonts w:ascii="Times New Roman" w:hAnsi="Times New Roman"/>
                <w:noProof/>
                <w:color w:val="000000"/>
                <w:sz w:val="18"/>
                <w:szCs w:val="18"/>
              </w:rPr>
              <w:br/>
              <w:t>- Цифрова трансформация по отношение на киберсигурността.</w:t>
            </w:r>
          </w:p>
        </w:tc>
      </w:tr>
      <w:tr>
        <w:trPr>
          <w:trHeight w:val="309"/>
        </w:trPr>
        <w:tc>
          <w:tcPr>
            <w:tcW w:w="705"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170</w:t>
            </w:r>
          </w:p>
        </w:tc>
        <w:tc>
          <w:tcPr>
            <w:tcW w:w="845"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C11.I4</w:t>
            </w:r>
          </w:p>
        </w:tc>
        <w:tc>
          <w:tcPr>
            <w:tcW w:w="844"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T</w:t>
            </w:r>
          </w:p>
        </w:tc>
        <w:tc>
          <w:tcPr>
            <w:tcW w:w="2710"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szCs w:val="18"/>
              </w:rPr>
              <w:t>Обновяване на превозни средства в публичната администрация</w:t>
            </w:r>
          </w:p>
        </w:tc>
        <w:tc>
          <w:tcPr>
            <w:tcW w:w="1370"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 </w:t>
            </w:r>
          </w:p>
        </w:tc>
        <w:tc>
          <w:tcPr>
            <w:tcW w:w="778"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Брой</w:t>
            </w:r>
          </w:p>
        </w:tc>
        <w:tc>
          <w:tcPr>
            <w:tcW w:w="630"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0</w:t>
            </w:r>
          </w:p>
        </w:tc>
        <w:tc>
          <w:tcPr>
            <w:tcW w:w="844"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7 000</w:t>
            </w:r>
          </w:p>
        </w:tc>
        <w:tc>
          <w:tcPr>
            <w:tcW w:w="326"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T3</w:t>
            </w:r>
          </w:p>
        </w:tc>
        <w:tc>
          <w:tcPr>
            <w:tcW w:w="659"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2024</w:t>
            </w:r>
          </w:p>
        </w:tc>
        <w:tc>
          <w:tcPr>
            <w:tcW w:w="5486"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szCs w:val="18"/>
              </w:rPr>
              <w:t xml:space="preserve">Най-малко 7 000 превозни средства с нулеви или ниски емисии на CO2 (BEV, REEV, PHEV, FCEV), които заместват превозните средства на базата на изкопаеми горива, използвани в публичната администрация. </w:t>
            </w:r>
          </w:p>
        </w:tc>
      </w:tr>
      <w:tr>
        <w:trPr>
          <w:trHeight w:val="309"/>
        </w:trPr>
        <w:tc>
          <w:tcPr>
            <w:tcW w:w="705"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171</w:t>
            </w:r>
          </w:p>
        </w:tc>
        <w:tc>
          <w:tcPr>
            <w:tcW w:w="845"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C11.I4</w:t>
            </w:r>
          </w:p>
        </w:tc>
        <w:tc>
          <w:tcPr>
            <w:tcW w:w="844"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T</w:t>
            </w:r>
          </w:p>
        </w:tc>
        <w:tc>
          <w:tcPr>
            <w:tcW w:w="2710"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szCs w:val="18"/>
              </w:rPr>
              <w:t>Енергийно саниране на обществени сгради (140 000 m</w:t>
            </w:r>
            <w:r>
              <w:rPr>
                <w:rFonts w:ascii="Times New Roman" w:hAnsi="Times New Roman"/>
                <w:noProof/>
                <w:color w:val="000000"/>
                <w:sz w:val="18"/>
                <w:szCs w:val="18"/>
                <w:vertAlign w:val="superscript"/>
              </w:rPr>
              <w:t>²</w:t>
            </w:r>
            <w:r>
              <w:rPr>
                <w:rFonts w:ascii="Times New Roman" w:hAnsi="Times New Roman"/>
                <w:noProof/>
                <w:color w:val="000000"/>
                <w:sz w:val="18"/>
                <w:szCs w:val="18"/>
              </w:rPr>
              <w:t>)</w:t>
            </w:r>
          </w:p>
        </w:tc>
        <w:tc>
          <w:tcPr>
            <w:tcW w:w="1370"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 </w:t>
            </w:r>
          </w:p>
        </w:tc>
        <w:tc>
          <w:tcPr>
            <w:tcW w:w="778"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Брой (m</w:t>
            </w:r>
            <w:r>
              <w:rPr>
                <w:rFonts w:ascii="Times New Roman" w:hAnsi="Times New Roman"/>
                <w:noProof/>
                <w:color w:val="000000"/>
                <w:sz w:val="18"/>
                <w:szCs w:val="18"/>
                <w:vertAlign w:val="superscript"/>
              </w:rPr>
              <w:t>²</w:t>
            </w:r>
            <w:r>
              <w:rPr>
                <w:rFonts w:ascii="Times New Roman" w:hAnsi="Times New Roman"/>
                <w:noProof/>
                <w:color w:val="000000"/>
                <w:sz w:val="18"/>
                <w:szCs w:val="18"/>
              </w:rPr>
              <w:t>)</w:t>
            </w:r>
          </w:p>
        </w:tc>
        <w:tc>
          <w:tcPr>
            <w:tcW w:w="630"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0</w:t>
            </w:r>
          </w:p>
        </w:tc>
        <w:tc>
          <w:tcPr>
            <w:tcW w:w="844"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140 000</w:t>
            </w:r>
          </w:p>
        </w:tc>
        <w:tc>
          <w:tcPr>
            <w:tcW w:w="326"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T4</w:t>
            </w:r>
          </w:p>
        </w:tc>
        <w:tc>
          <w:tcPr>
            <w:tcW w:w="659"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2024</w:t>
            </w:r>
          </w:p>
        </w:tc>
        <w:tc>
          <w:tcPr>
            <w:tcW w:w="5486"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szCs w:val="18"/>
              </w:rPr>
              <w:t xml:space="preserve">Извършване на най-малко 140 000 m² енергийно саниране на обществени сгради, като се постигне средно намаление от най-малко 30 % на търсенето на първична енергия. </w:t>
            </w:r>
          </w:p>
        </w:tc>
      </w:tr>
      <w:tr>
        <w:trPr>
          <w:trHeight w:val="309"/>
        </w:trPr>
        <w:tc>
          <w:tcPr>
            <w:tcW w:w="705"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172</w:t>
            </w:r>
          </w:p>
        </w:tc>
        <w:tc>
          <w:tcPr>
            <w:tcW w:w="845"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C11.I4</w:t>
            </w:r>
          </w:p>
        </w:tc>
        <w:tc>
          <w:tcPr>
            <w:tcW w:w="844"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T</w:t>
            </w:r>
          </w:p>
        </w:tc>
        <w:tc>
          <w:tcPr>
            <w:tcW w:w="2710"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szCs w:val="18"/>
              </w:rPr>
              <w:t>Енергийно саниране на обществени сгради (1 000 000 m</w:t>
            </w:r>
            <w:r>
              <w:rPr>
                <w:rFonts w:ascii="Times New Roman" w:hAnsi="Times New Roman"/>
                <w:noProof/>
                <w:color w:val="000000"/>
                <w:sz w:val="18"/>
                <w:szCs w:val="18"/>
                <w:vertAlign w:val="superscript"/>
              </w:rPr>
              <w:t>²</w:t>
            </w:r>
            <w:r>
              <w:rPr>
                <w:rFonts w:ascii="Times New Roman" w:hAnsi="Times New Roman"/>
                <w:noProof/>
                <w:color w:val="000000"/>
                <w:sz w:val="18"/>
                <w:szCs w:val="18"/>
              </w:rPr>
              <w:t xml:space="preserve"> )</w:t>
            </w:r>
          </w:p>
        </w:tc>
        <w:tc>
          <w:tcPr>
            <w:tcW w:w="1370"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 </w:t>
            </w:r>
          </w:p>
        </w:tc>
        <w:tc>
          <w:tcPr>
            <w:tcW w:w="778"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Брой (m</w:t>
            </w:r>
            <w:r>
              <w:rPr>
                <w:rFonts w:ascii="Times New Roman" w:hAnsi="Times New Roman"/>
                <w:noProof/>
                <w:color w:val="000000"/>
                <w:sz w:val="18"/>
                <w:szCs w:val="18"/>
                <w:vertAlign w:val="superscript"/>
              </w:rPr>
              <w:t>²</w:t>
            </w:r>
            <w:r>
              <w:rPr>
                <w:rFonts w:ascii="Times New Roman" w:hAnsi="Times New Roman"/>
                <w:noProof/>
                <w:color w:val="000000"/>
                <w:sz w:val="18"/>
                <w:szCs w:val="18"/>
              </w:rPr>
              <w:t>)</w:t>
            </w:r>
          </w:p>
        </w:tc>
        <w:tc>
          <w:tcPr>
            <w:tcW w:w="630"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140 000</w:t>
            </w:r>
          </w:p>
        </w:tc>
        <w:tc>
          <w:tcPr>
            <w:tcW w:w="844"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1 000 000</w:t>
            </w:r>
          </w:p>
        </w:tc>
        <w:tc>
          <w:tcPr>
            <w:tcW w:w="326"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T2</w:t>
            </w:r>
          </w:p>
        </w:tc>
        <w:tc>
          <w:tcPr>
            <w:tcW w:w="659"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2026</w:t>
            </w:r>
          </w:p>
        </w:tc>
        <w:tc>
          <w:tcPr>
            <w:tcW w:w="5486"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szCs w:val="18"/>
              </w:rPr>
              <w:t>Извършване на най-малко 1 000 000 m² енергийни ремонти в обществени сгради, като се постигне средно намаление от най-малко 30 % на търсенето на първична енергия. (изходно положение: 31 декември 2024 г.)</w:t>
            </w:r>
          </w:p>
        </w:tc>
      </w:tr>
      <w:tr>
        <w:trPr>
          <w:trHeight w:val="309"/>
        </w:trPr>
        <w:tc>
          <w:tcPr>
            <w:tcW w:w="705"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173</w:t>
            </w:r>
          </w:p>
        </w:tc>
        <w:tc>
          <w:tcPr>
            <w:tcW w:w="845"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C11.I5</w:t>
            </w:r>
          </w:p>
        </w:tc>
        <w:tc>
          <w:tcPr>
            <w:tcW w:w="844"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M</w:t>
            </w:r>
          </w:p>
        </w:tc>
        <w:tc>
          <w:tcPr>
            <w:tcW w:w="2710"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szCs w:val="18"/>
              </w:rPr>
              <w:t>Механизъм за възстановяване и устойчивост – интегрирана информационна система</w:t>
            </w:r>
          </w:p>
        </w:tc>
        <w:tc>
          <w:tcPr>
            <w:tcW w:w="1370"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Одитен доклад</w:t>
            </w:r>
          </w:p>
        </w:tc>
        <w:tc>
          <w:tcPr>
            <w:tcW w:w="778"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 xml:space="preserve"> </w:t>
            </w:r>
          </w:p>
        </w:tc>
        <w:tc>
          <w:tcPr>
            <w:tcW w:w="630"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 xml:space="preserve"> </w:t>
            </w:r>
          </w:p>
        </w:tc>
        <w:tc>
          <w:tcPr>
            <w:tcW w:w="844"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 xml:space="preserve"> </w:t>
            </w:r>
          </w:p>
        </w:tc>
        <w:tc>
          <w:tcPr>
            <w:tcW w:w="326"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T3</w:t>
            </w:r>
          </w:p>
        </w:tc>
        <w:tc>
          <w:tcPr>
            <w:tcW w:w="659"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2021</w:t>
            </w:r>
          </w:p>
        </w:tc>
        <w:tc>
          <w:tcPr>
            <w:tcW w:w="5486"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szCs w:val="18"/>
              </w:rPr>
              <w:t>Внедряване на система, която позволява: а) качването на плана за възстановяване и устойчивост и на информацията за изпълнението и мониторинга на постигането на ключовите етапи и цели; б) за изготвянето на декларациите за управлението и обобщението на одита, както и на исканията за плащане и в) да събира и съхранява данни за бенефициерите, изпълнителите, подизпълнителите и действителните собственици в съответствие с член 22 от Регламента относно Механизма за възстановяване и устойчивост. Изготвя се специален одитен доклад за използваната система. В случай че в доклада бъдат установени слабости, в одиторския доклад се препоръчват корективни действия.</w:t>
            </w:r>
          </w:p>
        </w:tc>
      </w:tr>
      <w:tr>
        <w:trPr>
          <w:trHeight w:val="309"/>
        </w:trPr>
        <w:tc>
          <w:tcPr>
            <w:tcW w:w="705"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174</w:t>
            </w:r>
          </w:p>
        </w:tc>
        <w:tc>
          <w:tcPr>
            <w:tcW w:w="845"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C11.I5</w:t>
            </w:r>
          </w:p>
        </w:tc>
        <w:tc>
          <w:tcPr>
            <w:tcW w:w="844"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T</w:t>
            </w:r>
          </w:p>
        </w:tc>
        <w:tc>
          <w:tcPr>
            <w:tcW w:w="2710"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szCs w:val="18"/>
              </w:rPr>
              <w:t>Нови инструменти и дейности за комуникация</w:t>
            </w:r>
          </w:p>
        </w:tc>
        <w:tc>
          <w:tcPr>
            <w:tcW w:w="1370"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 </w:t>
            </w:r>
          </w:p>
        </w:tc>
        <w:tc>
          <w:tcPr>
            <w:tcW w:w="778"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Номер</w:t>
            </w:r>
          </w:p>
        </w:tc>
        <w:tc>
          <w:tcPr>
            <w:tcW w:w="630"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0</w:t>
            </w:r>
          </w:p>
        </w:tc>
        <w:tc>
          <w:tcPr>
            <w:tcW w:w="844"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4</w:t>
            </w:r>
          </w:p>
        </w:tc>
        <w:tc>
          <w:tcPr>
            <w:tcW w:w="326"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T4</w:t>
            </w:r>
          </w:p>
        </w:tc>
        <w:tc>
          <w:tcPr>
            <w:tcW w:w="659"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2022</w:t>
            </w:r>
          </w:p>
        </w:tc>
        <w:tc>
          <w:tcPr>
            <w:tcW w:w="5486"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szCs w:val="18"/>
              </w:rPr>
              <w:t>Най-малко 2 управители на общности, наети с цел увеличаване на присъствието в социалните медии, увеличаване на броя на потенциалните участници и бенефициери на плана, за да се запознаят с възможностите, предлагани от плана; и 2 уебстраници са оперативни, за да допринесат за максимално усвояване на ресурсите.</w:t>
            </w:r>
          </w:p>
        </w:tc>
      </w:tr>
      <w:tr>
        <w:trPr>
          <w:trHeight w:val="309"/>
        </w:trPr>
        <w:tc>
          <w:tcPr>
            <w:tcW w:w="705"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175</w:t>
            </w:r>
          </w:p>
        </w:tc>
        <w:tc>
          <w:tcPr>
            <w:tcW w:w="845"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C11.I5</w:t>
            </w:r>
          </w:p>
        </w:tc>
        <w:tc>
          <w:tcPr>
            <w:tcW w:w="844"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T</w:t>
            </w:r>
          </w:p>
        </w:tc>
        <w:tc>
          <w:tcPr>
            <w:tcW w:w="2710"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szCs w:val="18"/>
              </w:rPr>
              <w:t xml:space="preserve">Обучен персонал от публичната администрация </w:t>
            </w:r>
          </w:p>
        </w:tc>
        <w:tc>
          <w:tcPr>
            <w:tcW w:w="1370"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 </w:t>
            </w:r>
          </w:p>
        </w:tc>
        <w:tc>
          <w:tcPr>
            <w:tcW w:w="778"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Номер</w:t>
            </w:r>
          </w:p>
        </w:tc>
        <w:tc>
          <w:tcPr>
            <w:tcW w:w="630"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0</w:t>
            </w:r>
          </w:p>
        </w:tc>
        <w:tc>
          <w:tcPr>
            <w:tcW w:w="844"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3 150</w:t>
            </w:r>
          </w:p>
        </w:tc>
        <w:tc>
          <w:tcPr>
            <w:tcW w:w="326"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T3</w:t>
            </w:r>
          </w:p>
        </w:tc>
        <w:tc>
          <w:tcPr>
            <w:tcW w:w="659"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2026</w:t>
            </w:r>
          </w:p>
        </w:tc>
        <w:tc>
          <w:tcPr>
            <w:tcW w:w="5486"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szCs w:val="18"/>
              </w:rPr>
              <w:t xml:space="preserve">Най-малко 3 150 служители на публичната администрация са обучени в области, свързани с изпълнението, контрола и одита на плана за възстановяване и устойчивост (RRP). </w:t>
            </w:r>
          </w:p>
        </w:tc>
      </w:tr>
    </w:tbl>
    <w:p>
      <w:pPr>
        <w:spacing w:before="120" w:after="120" w:line="240" w:lineRule="auto"/>
        <w:ind w:left="709"/>
        <w:jc w:val="both"/>
        <w:rPr>
          <w:rFonts w:ascii="Times New Roman" w:hAnsi="Times New Roman" w:cs="Times New Roman"/>
          <w:noProof/>
          <w:sz w:val="24"/>
        </w:rPr>
        <w:sectPr>
          <w:headerReference w:type="even" r:id="rId145"/>
          <w:headerReference w:type="default" r:id="rId146"/>
          <w:footerReference w:type="even" r:id="rId147"/>
          <w:footerReference w:type="default" r:id="rId148"/>
          <w:headerReference w:type="first" r:id="rId149"/>
          <w:footerReference w:type="first" r:id="rId150"/>
          <w:pgSz w:w="16839" w:h="11907" w:orient="landscape"/>
          <w:pgMar w:top="1417" w:right="1134" w:bottom="1417" w:left="1134" w:header="709" w:footer="709" w:gutter="0"/>
          <w:cols w:space="720"/>
          <w:docGrid w:linePitch="360"/>
        </w:sectPr>
      </w:pPr>
    </w:p>
    <w:p>
      <w:pPr>
        <w:pStyle w:val="Heading1"/>
        <w:rPr>
          <w:noProof/>
        </w:rPr>
      </w:pPr>
      <w:r>
        <w:rPr>
          <w:noProof/>
        </w:rPr>
        <w:t>Л. КОМПОНЕНТ 12: Промишлена политика</w:t>
      </w:r>
    </w:p>
    <w:p>
      <w:pPr>
        <w:spacing w:before="120" w:after="120" w:line="240" w:lineRule="auto"/>
        <w:jc w:val="both"/>
        <w:rPr>
          <w:rFonts w:ascii="Times New Roman" w:hAnsi="Times New Roman" w:cs="Times New Roman"/>
          <w:noProof/>
          <w:sz w:val="24"/>
        </w:rPr>
      </w:pPr>
      <w:r>
        <w:rPr>
          <w:rFonts w:ascii="Times New Roman" w:hAnsi="Times New Roman"/>
          <w:noProof/>
          <w:sz w:val="24"/>
        </w:rPr>
        <w:t>Целта на компонент 12 от испанския план за възстановяване и устойчивост е да се стимулира модернизацията и производителността на испанската екосистема за услуги между промишлеността и услугите чрез по-бързо възприемане на цифровия и екологичния преход.</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Този компонент на испанския план за възстановяване и устойчивост допринася за изпълнението на специфична за всяка държава препоръка 3/2019 относно насърчаването на инвестициите в иновации и в енергийна ефективност. Тя е приведена в съответствие и със специфична за държавата препоръка № 3 от 2020 г. (чрез насърчаване на публичните и частните инвестиции и насърчаване на екологичния преход). Компонентът също така спомага за изпълнението на специфична за държавата препоръка № 2 от 2019 г. относно насърчаването на сътрудничеството между бизнеса и образованието за предоставяне на умения, свързани с пазара на труда, и на специфична за всяка държава препоръка 1 2020 относно укрепването на устойчивостта на здравната система.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Една от целите на мерките, включени в компонента, е да се улесни участието на испанските предприятия в планирани важни проекти от общоевропейски интерес (ВПОИ).</w:t>
      </w:r>
    </w:p>
    <w:p>
      <w:pPr>
        <w:spacing w:before="120" w:after="120" w:line="240" w:lineRule="auto"/>
        <w:jc w:val="both"/>
        <w:rPr>
          <w:rFonts w:ascii="Times New Roman" w:hAnsi="Times New Roman" w:cs="Times New Roman"/>
          <w:noProof/>
          <w:sz w:val="24"/>
          <w:szCs w:val="24"/>
        </w:rPr>
      </w:pPr>
      <w:r>
        <w:rPr>
          <w:rFonts w:ascii="Times New Roman" w:hAnsi="Times New Roman"/>
          <w:noProof/>
          <w:color w:val="000000" w:themeColor="text1"/>
          <w:sz w:val="24"/>
          <w:szCs w:val="24"/>
        </w:rPr>
        <w:t>Очаква се, че нито една мярка в този компонент не вреди в значителна степен на екологичните цели по смисъла на член 17 от Регламент (ЕС) 2020/852, като се вземат предвид описанието на мерките и стъпките за смекчаване на последиците, определени в плана за възстановяване и устойчивост в съответствие с Техническите насоки за спазването на „принципа за ненанасяне на съществена вреда“ (2021/C58/01).</w:t>
      </w:r>
    </w:p>
    <w:p>
      <w:pPr>
        <w:spacing w:before="120" w:after="120" w:line="240" w:lineRule="auto"/>
        <w:jc w:val="both"/>
        <w:rPr>
          <w:rFonts w:ascii="Times New Roman" w:hAnsi="Times New Roman" w:cs="Times New Roman"/>
          <w:b/>
          <w:i/>
          <w:noProof/>
          <w:color w:val="4F81BD" w:themeColor="accent1"/>
          <w:sz w:val="24"/>
        </w:rPr>
      </w:pPr>
      <w:r>
        <w:rPr>
          <w:rFonts w:ascii="Times New Roman" w:hAnsi="Times New Roman"/>
          <w:b/>
          <w:bCs/>
          <w:noProof/>
          <w:sz w:val="24"/>
          <w:u w:val="single"/>
        </w:rPr>
        <w:t xml:space="preserve">Л.1. </w:t>
      </w:r>
      <w:r>
        <w:rPr>
          <w:rFonts w:ascii="Times New Roman" w:hAnsi="Times New Roman"/>
          <w:b/>
          <w:noProof/>
          <w:sz w:val="24"/>
          <w:u w:val="single"/>
        </w:rPr>
        <w:tab/>
      </w:r>
      <w:r>
        <w:rPr>
          <w:rFonts w:ascii="Times New Roman" w:hAnsi="Times New Roman"/>
          <w:b/>
          <w:bCs/>
          <w:noProof/>
          <w:sz w:val="24"/>
          <w:u w:val="single"/>
        </w:rPr>
        <w:t>Описание на реформите и инвестициите за безвъзмездна финансова подкрепа</w:t>
      </w:r>
    </w:p>
    <w:p>
      <w:pPr>
        <w:spacing w:before="120" w:after="120" w:line="240" w:lineRule="auto"/>
        <w:jc w:val="both"/>
        <w:rPr>
          <w:rFonts w:ascii="Times New Roman" w:hAnsi="Times New Roman" w:cs="Times New Roman"/>
          <w:noProof/>
          <w:sz w:val="24"/>
          <w:u w:val="single"/>
        </w:rPr>
      </w:pPr>
      <w:r>
        <w:rPr>
          <w:rFonts w:ascii="Times New Roman" w:hAnsi="Times New Roman"/>
          <w:noProof/>
          <w:sz w:val="24"/>
          <w:u w:val="single"/>
        </w:rPr>
        <w:t>Реформа 1 (C12.R1) – Стратегия на Испания за насърчаване на промишлеността до 2030 г.</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Целта на испанската стратегия за насърчаване на промишлеността до 2030 г. е да се адаптира регулаторната рамка, за да се помогне на промишлеността да се справи с предизвикателствата, свързани с предоставянето на услуги, цифровизацията, екологичната устойчивост и кръговата икономика. Стратегията включва по-специално реформа на Закона за промишлеността от 1992 г. Целта на мярката е да се подобрят механизмите за координация между различните равнища на управление в промишлената политика и да се подобрят качеството и безопасността на промишлеността чрез засилена система за надзор на пазара в съответствие с Регламент (ЕС) 2019/1020 на Европейския парламент и на Съвета от 20 юни 2019 г. относно надзора на пазара и съответствието на продуктите и за изменение на Директива 2004/42/ЕО и регламенти (ЕО) № 765/2008 и (ЕС) № 305/2011[</w:t>
      </w:r>
      <w:r>
        <w:rPr>
          <w:rStyle w:val="FootnoteReference"/>
          <w:rFonts w:ascii="Times New Roman" w:hAnsi="Times New Roman" w:cs="Times New Roman"/>
          <w:noProof/>
          <w:sz w:val="24"/>
          <w:szCs w:val="24"/>
          <w:lang w:val="en-IE"/>
        </w:rPr>
        <w:footnoteReference w:id="16"/>
      </w:r>
      <w:r>
        <w:rPr>
          <w:rFonts w:ascii="Times New Roman" w:hAnsi="Times New Roman"/>
          <w:noProof/>
          <w:sz w:val="24"/>
          <w:szCs w:val="24"/>
        </w:rPr>
        <w:t>]. Накрая, определението за нарушения в промишлената политика се преразглежда и размерът на санкциите, които могат да се прилагат, се актуализира.</w:t>
      </w:r>
    </w:p>
    <w:p>
      <w:pPr>
        <w:spacing w:before="120" w:after="120" w:line="240" w:lineRule="auto"/>
        <w:jc w:val="both"/>
        <w:rPr>
          <w:rFonts w:ascii="Times New Roman" w:hAnsi="Times New Roman" w:cs="Times New Roman"/>
          <w:noProof/>
          <w:sz w:val="24"/>
        </w:rPr>
      </w:pPr>
      <w:r>
        <w:rPr>
          <w:rFonts w:ascii="Times New Roman" w:hAnsi="Times New Roman"/>
          <w:bCs/>
          <w:noProof/>
          <w:sz w:val="24"/>
        </w:rPr>
        <w:t>Изпълнението на мярката приключва до 31 декември 2023 г.</w:t>
      </w:r>
    </w:p>
    <w:p>
      <w:pPr>
        <w:spacing w:before="120" w:after="120" w:line="240" w:lineRule="auto"/>
        <w:jc w:val="both"/>
        <w:rPr>
          <w:rFonts w:ascii="Times New Roman" w:hAnsi="Times New Roman" w:cs="Times New Roman"/>
          <w:noProof/>
          <w:sz w:val="24"/>
          <w:u w:val="single"/>
        </w:rPr>
      </w:pPr>
      <w:r>
        <w:rPr>
          <w:rFonts w:ascii="Times New Roman" w:hAnsi="Times New Roman"/>
          <w:noProof/>
          <w:sz w:val="24"/>
          <w:u w:val="single"/>
        </w:rPr>
        <w:t>Реформа 2 (C12.R2) – Политика в областта на отпадъците и насърчаване на кръговата икономика</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Целта на мярката е да се насърчат модели на производство и потребление, които поддържат продуктите, материалите и природните ресурси в икономиката възможно най-дълго. Целта е да се сведе до минимум образуването на отпадъци и да се гарантира пълното използване на отпадъците, което не може да бъде избегнато. Тази реформа включва одобряването на испанска стратегия за кръговата икономика през юни 2020 г. в съответствие с плановете за действие на ЕС за кръговата икономика.</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Мярката включва също пакет от актове относно кръговата икономика за регулиране на превоза и обезвреждането на отпадъци и за управление на излезлите от употреба гуми, както и мерки относно излезлите от употреба превозни средства. За тази цел бяха одобрени кралски укази 553/2020 от 2 юни 2020 г., 646/2020 от 7 юли 2020 г. и 731/2020 от 4 август 2020 г. и Кралски укази 27/2021 от 19 януари и 265/2021 от 13 април. Освен това реформата включва одобряването на регулаторни мерки относно опаковките и отпадъците от опаковки от Министерския съвет през 2022 г.</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Накрая, мярката включва влизането в сила на нов Закон за отпадъците и замърсените почви до 31 декември 2022 г. Законът включва: </w:t>
      </w:r>
    </w:p>
    <w:p>
      <w:pPr>
        <w:numPr>
          <w:ilvl w:val="0"/>
          <w:numId w:val="66"/>
        </w:numPr>
        <w:spacing w:before="120" w:after="120" w:line="240" w:lineRule="auto"/>
        <w:jc w:val="both"/>
        <w:rPr>
          <w:rFonts w:ascii="Times New Roman" w:hAnsi="Times New Roman" w:cs="Times New Roman"/>
          <w:noProof/>
          <w:sz w:val="24"/>
        </w:rPr>
      </w:pPr>
      <w:r>
        <w:rPr>
          <w:rFonts w:ascii="Times New Roman" w:hAnsi="Times New Roman"/>
          <w:noProof/>
          <w:sz w:val="24"/>
        </w:rPr>
        <w:t xml:space="preserve">прилагането на Рамковата директива за отпадъците и Директивата за пластмасите за еднократна употреба, както и адаптиране на испанските разпоредби в светлината на опита от последните десет години; </w:t>
      </w:r>
    </w:p>
    <w:p>
      <w:pPr>
        <w:numPr>
          <w:ilvl w:val="0"/>
          <w:numId w:val="66"/>
        </w:num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въвеждането на целите на ЕС по отношение на отпадъците и задълженията за разделно събиране, произтичащи от регламентите на ЕС, предвиждащи тяхното прилагане в областта на биологичните отпадъци в общините с над 5000 жители. Освен това с мярката се въвеждат задължения за разделно събиране, които надхвърлят изискванията, установени в правото на Съюза;</w:t>
      </w:r>
    </w:p>
    <w:p>
      <w:pPr>
        <w:numPr>
          <w:ilvl w:val="0"/>
          <w:numId w:val="66"/>
        </w:numPr>
        <w:spacing w:before="120" w:after="120" w:line="240" w:lineRule="auto"/>
        <w:jc w:val="both"/>
        <w:rPr>
          <w:rFonts w:ascii="Times New Roman" w:hAnsi="Times New Roman" w:cs="Times New Roman"/>
          <w:noProof/>
          <w:sz w:val="24"/>
        </w:rPr>
      </w:pPr>
      <w:r>
        <w:rPr>
          <w:rFonts w:ascii="Times New Roman" w:hAnsi="Times New Roman"/>
          <w:noProof/>
          <w:sz w:val="24"/>
        </w:rPr>
        <w:t>преразглеждане на регулирането на разширената отговорност на производителя, като се създаде нова регулаторна рамка (изисквана от регламентите на ЕС и от допълнителни такива); и</w:t>
      </w:r>
    </w:p>
    <w:p>
      <w:pPr>
        <w:numPr>
          <w:ilvl w:val="0"/>
          <w:numId w:val="66"/>
        </w:numPr>
        <w:spacing w:before="120" w:after="120" w:line="240" w:lineRule="auto"/>
        <w:jc w:val="both"/>
        <w:rPr>
          <w:rFonts w:ascii="Times New Roman" w:hAnsi="Times New Roman" w:cs="Times New Roman"/>
          <w:noProof/>
          <w:sz w:val="24"/>
        </w:rPr>
      </w:pPr>
      <w:r>
        <w:rPr>
          <w:rFonts w:ascii="Times New Roman" w:hAnsi="Times New Roman"/>
          <w:noProof/>
          <w:sz w:val="24"/>
        </w:rPr>
        <w:t>въвеждане на държавно данъчно облагане на отпадъците (включително относно депонирането, изгарянето и съвместното изгаряне, както и върху пластмасовите контейнери за еднократна употреба).</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Изпълнението на мярката приключва до 31 декември 2022 г.</w:t>
      </w:r>
    </w:p>
    <w:p>
      <w:pPr>
        <w:spacing w:before="120" w:after="120" w:line="240" w:lineRule="auto"/>
        <w:jc w:val="both"/>
        <w:rPr>
          <w:rFonts w:ascii="Times New Roman" w:hAnsi="Times New Roman" w:cs="Times New Roman"/>
          <w:noProof/>
          <w:sz w:val="24"/>
          <w:u w:val="single"/>
        </w:rPr>
      </w:pPr>
      <w:r>
        <w:rPr>
          <w:rFonts w:ascii="Times New Roman" w:hAnsi="Times New Roman"/>
          <w:noProof/>
          <w:sz w:val="24"/>
          <w:u w:val="single"/>
        </w:rPr>
        <w:t xml:space="preserve">Инвестиция (C12.I1) – Секторни пространства за данни за цифровизиране на стратегически производствени сектори </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Целта на тази мярка е да се създадат сигурни и големи пространства на данни в стратегически промишлени сектори като хранително-вкусовата промишленост, устойчивата мобилност, здравеопазването и търговския сектор. Иновациите, ефективността и икономиите от мащаба се насърчават чрез разработването на общи компоненти (градивни елементи) и чрез споделяне на общи инфраструктури и данни (платформи в облак, мрежи за суперкомпютри и съхранение, анализ на големи информационни масиви и изкуствен интелект). </w:t>
      </w:r>
    </w:p>
    <w:p>
      <w:pPr>
        <w:spacing w:before="120" w:after="120" w:line="240" w:lineRule="auto"/>
        <w:jc w:val="both"/>
        <w:rPr>
          <w:rFonts w:ascii="Times New Roman" w:hAnsi="Times New Roman" w:cs="Times New Roman"/>
          <w:noProof/>
          <w:sz w:val="24"/>
        </w:rPr>
      </w:pPr>
      <w:r>
        <w:rPr>
          <w:rFonts w:ascii="Times New Roman" w:hAnsi="Times New Roman"/>
          <w:bCs/>
          <w:noProof/>
          <w:sz w:val="24"/>
        </w:rPr>
        <w:t>Управленските структури се укрепват, за да се установи публично-частно сътрудничество в развитието на пространствата за данни. Освен това се определят механизми за осигуряване на оперативна съвместимост и се разработват подходящи правила и механизми за насърчаване на обмена на данни между дружествата. Инвестицията ще бъде извършена в съответствие със съобщението на Европейската комисия „Европейска стратегия за данните“ [</w:t>
      </w:r>
      <w:r>
        <w:rPr>
          <w:rStyle w:val="FootnoteReference"/>
          <w:rFonts w:ascii="Times New Roman" w:hAnsi="Times New Roman" w:cs="Times New Roman"/>
          <w:bCs/>
          <w:noProof/>
          <w:sz w:val="24"/>
          <w:lang w:val="en-IE"/>
        </w:rPr>
        <w:footnoteReference w:id="17"/>
      </w:r>
      <w:r>
        <w:rPr>
          <w:rFonts w:ascii="Times New Roman" w:hAnsi="Times New Roman"/>
          <w:bCs/>
          <w:noProof/>
          <w:sz w:val="24"/>
        </w:rPr>
        <w:t>] и предвидените в него действия, по-специално с предстоящия Закон за данните и Регламента относно управлението на данните[</w:t>
      </w:r>
      <w:r>
        <w:rPr>
          <w:rStyle w:val="FootnoteReference"/>
          <w:rFonts w:ascii="Times New Roman" w:hAnsi="Times New Roman" w:cs="Times New Roman"/>
          <w:bCs/>
          <w:noProof/>
          <w:sz w:val="24"/>
          <w:lang w:val="en-IE"/>
        </w:rPr>
        <w:footnoteReference w:id="18"/>
      </w:r>
      <w:r>
        <w:rPr>
          <w:rFonts w:ascii="Times New Roman" w:hAnsi="Times New Roman"/>
          <w:bCs/>
          <w:noProof/>
          <w:sz w:val="24"/>
        </w:rPr>
        <w:t>], както и с Федерацията на ЕС за компютърни услуги в облак. Полезните взаимодействия гарантират взаимно допълване с програмата „Цифрова Европа“ [</w:t>
      </w:r>
      <w:r>
        <w:rPr>
          <w:rStyle w:val="FootnoteReference"/>
          <w:rFonts w:ascii="Times New Roman" w:hAnsi="Times New Roman" w:cs="Times New Roman"/>
          <w:bCs/>
          <w:noProof/>
          <w:sz w:val="24"/>
          <w:lang w:val="en-IE"/>
        </w:rPr>
        <w:footnoteReference w:id="19"/>
      </w:r>
      <w:r>
        <w:rPr>
          <w:rFonts w:ascii="Times New Roman" w:hAnsi="Times New Roman"/>
          <w:bCs/>
          <w:noProof/>
          <w:sz w:val="24"/>
        </w:rPr>
        <w:t>]. Инвестицията също така ще бъде приведена в съответствие с основните референции и стандарти, като например тези, насърчавани от Международната асоциация за пространства на данни (IDS).</w:t>
      </w:r>
    </w:p>
    <w:p>
      <w:pPr>
        <w:spacing w:before="120" w:after="120" w:line="240" w:lineRule="auto"/>
        <w:jc w:val="both"/>
        <w:rPr>
          <w:rFonts w:ascii="Times New Roman" w:hAnsi="Times New Roman" w:cs="Times New Roman"/>
          <w:noProof/>
          <w:sz w:val="24"/>
          <w:u w:val="single"/>
        </w:rPr>
      </w:pPr>
      <w:r>
        <w:rPr>
          <w:rFonts w:ascii="Times New Roman" w:hAnsi="Times New Roman"/>
          <w:noProof/>
          <w:sz w:val="24"/>
        </w:rPr>
        <w:t>До 31 декември 2023 г. се поддържат най-малко четири секторни и оперативно съвместими пространства на данни с висока стойност в хранително-вкусовия сектор, сектора на устойчивата мобилност, сектора на здравеопазването и сектора на търговията.</w:t>
      </w:r>
      <w:r>
        <w:rPr>
          <w:rFonts w:ascii="Times New Roman" w:hAnsi="Times New Roman"/>
          <w:noProof/>
          <w:sz w:val="24"/>
          <w:u w:val="single"/>
        </w:rPr>
        <w:t xml:space="preserve">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Това изпълнение на инвестицията приключва до 30 юни 2026 г. </w:t>
      </w:r>
    </w:p>
    <w:p>
      <w:pPr>
        <w:keepNext/>
        <w:spacing w:before="120" w:after="120" w:line="240" w:lineRule="auto"/>
        <w:jc w:val="both"/>
        <w:rPr>
          <w:rFonts w:ascii="Times New Roman" w:hAnsi="Times New Roman" w:cs="Times New Roman"/>
          <w:noProof/>
          <w:sz w:val="24"/>
          <w:u w:val="single"/>
        </w:rPr>
      </w:pPr>
      <w:r>
        <w:rPr>
          <w:rFonts w:ascii="Times New Roman" w:hAnsi="Times New Roman"/>
          <w:noProof/>
          <w:sz w:val="24"/>
          <w:u w:val="single"/>
        </w:rPr>
        <w:t xml:space="preserve">Инвестиция 2 (C12.I2) – Програма за насърчаване на конкурентоспособността и промишлената устойчивост </w:t>
      </w:r>
    </w:p>
    <w:p>
      <w:pPr>
        <w:keepNext/>
        <w:spacing w:before="120" w:after="120" w:line="240" w:lineRule="auto"/>
        <w:jc w:val="both"/>
        <w:rPr>
          <w:rFonts w:ascii="Times New Roman" w:hAnsi="Times New Roman" w:cs="Times New Roman"/>
          <w:noProof/>
          <w:sz w:val="24"/>
        </w:rPr>
      </w:pPr>
      <w:r>
        <w:rPr>
          <w:rFonts w:ascii="Times New Roman" w:hAnsi="Times New Roman"/>
          <w:noProof/>
          <w:sz w:val="24"/>
        </w:rPr>
        <w:t xml:space="preserve">Целта на тази мярка е да се насърчи трансформацията на стратегически сектори, които са от ключово значение за индустриалния преход на Испания, като например автомобилостроенето и електрическите превозни средства, хранително-вкусовата промишленост, здравеопазването, аеронавтиката и военноморския сектор, промишлените сектори, свързани с възобновяемите енергийни източници и с капацитета за проектиране и производство на процесори и полупроводникови технологии. В рамките на това действие се подпомагат поне големи стратегически проекти (т.нар. „PERTEs“), които обхващат цялата верига за създаване на стойност в съответния сектор и включват подкрепа за МСП. </w:t>
      </w:r>
    </w:p>
    <w:p>
      <w:pPr>
        <w:spacing w:before="120" w:after="120" w:line="240" w:lineRule="auto"/>
        <w:jc w:val="both"/>
        <w:rPr>
          <w:rFonts w:ascii="Times New Roman" w:hAnsi="Times New Roman" w:cs="Times New Roman"/>
          <w:noProof/>
          <w:sz w:val="24"/>
        </w:rPr>
      </w:pPr>
      <w:r>
        <w:rPr>
          <w:rFonts w:ascii="Times New Roman" w:hAnsi="Times New Roman"/>
          <w:noProof/>
          <w:sz w:val="24"/>
        </w:rPr>
        <w:t>С тази мярка ще се финансират и проекти от по-малък мащаб, като например промишлена симулация, авангардни материали, виртуална реалност и съвместна и когнитивна роботика. Мярката допълнително подкрепя устойчивите промишлени инфраструктури, като например промишлени паркове или логистични зони. Като част от този елемент на мярката испанският план за възстановяване и устойчивост ще финансира най-малко 78 иновативни проекта, включващи съществена промишлена трансформация по отношение на енергийната ефективност, устойчивостта и цифровата трансформация.</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След одобрение на </w:t>
      </w:r>
      <w:r>
        <w:rPr>
          <w:rFonts w:ascii="Times New Roman" w:hAnsi="Times New Roman"/>
          <w:noProof/>
          <w:sz w:val="24"/>
          <w:lang w:val="en-US"/>
        </w:rPr>
        <w:t>PERTE</w:t>
      </w:r>
      <w:r>
        <w:rPr>
          <w:rFonts w:ascii="Times New Roman" w:hAnsi="Times New Roman"/>
          <w:noProof/>
          <w:sz w:val="24"/>
        </w:rPr>
        <w:t xml:space="preserve"> от Министерския съвет се обявява конкурсна покана от съответното министерство с цел получаване на конкретни предложения, които да бъдат разработени по одобрения </w:t>
      </w:r>
      <w:r>
        <w:rPr>
          <w:rFonts w:ascii="Times New Roman" w:hAnsi="Times New Roman"/>
          <w:noProof/>
          <w:sz w:val="24"/>
          <w:lang w:val="en-US"/>
        </w:rPr>
        <w:t>PERTE</w:t>
      </w:r>
      <w:r>
        <w:rPr>
          <w:rFonts w:ascii="Times New Roman" w:hAnsi="Times New Roman"/>
          <w:noProof/>
          <w:sz w:val="24"/>
        </w:rPr>
        <w:t xml:space="preserve">. Изпълнението на мерки за подкрепа, които могат да представляват държавна помощ в съответствие с член 107 от ДФЕС и за които може да се изисква предварително уведомяване на Комисията, не се извършва, преди Испания да е получила одобрение за държавна помощ от Комисията. </w:t>
      </w:r>
    </w:p>
    <w:p>
      <w:pPr>
        <w:pStyle w:val="Text1"/>
        <w:ind w:left="0"/>
        <w:rPr>
          <w:noProof/>
        </w:rPr>
      </w:pPr>
      <w:r>
        <w:rPr>
          <w:noProof/>
        </w:rPr>
        <w:t xml:space="preserve">Решението на Министерския съвет за одобряване на </w:t>
      </w:r>
      <w:r>
        <w:rPr>
          <w:noProof/>
          <w:lang w:val="en-US"/>
        </w:rPr>
        <w:t>PERTE</w:t>
      </w:r>
      <w:r>
        <w:rPr>
          <w:noProof/>
        </w:rPr>
        <w:t xml:space="preserve"> съдържа подробни критерии за подбор, за да се гарантира съответствие с техническите насоки „Ненанасяне на значителни вреди“ (2021/C58/01). За да се гарантира, че мярката е в съответствие с техническите насоки „Ненанасяне на значителни вреди“ (2021/C58/01), критериите за допустимост, съдържащи се в техническото задание за предстоящи покани за представяне на проекти, изключват следния списък от дейности: </w:t>
      </w:r>
      <w:r>
        <w:rPr>
          <w:noProof/>
          <w:lang w:val="en-US"/>
        </w:rPr>
        <w:t>i</w:t>
      </w:r>
      <w:r>
        <w:rPr>
          <w:noProof/>
        </w:rPr>
        <w:t>) дейности, свързани с изкопаеми горива, включително използване надолу по веригата</w:t>
      </w:r>
      <w:r>
        <w:rPr>
          <w:rStyle w:val="FootnoteReference"/>
          <w:noProof/>
          <w:lang w:val="en-IE"/>
        </w:rPr>
        <w:footnoteReference w:id="20"/>
      </w:r>
      <w:r>
        <w:rPr>
          <w:noProof/>
        </w:rPr>
        <w:t>; ii) дейности по схемата на ЕС за търговия с емисии (СТЕ), с които се постигат прогнозираните емисии на парникови газове, които не са по-ниски от съответните референтни стойности</w:t>
      </w:r>
      <w:r>
        <w:rPr>
          <w:rStyle w:val="FootnoteReference"/>
          <w:noProof/>
          <w:lang w:val="en-IE"/>
        </w:rPr>
        <w:footnoteReference w:id="21"/>
      </w:r>
      <w:r>
        <w:rPr>
          <w:noProof/>
        </w:rPr>
        <w:t>; iii) компенсиране на непреките разходи по СТЕ; iv) дейности, свързани с депата за отпадъци, инсталациите за изгаряне на отпадъци</w:t>
      </w:r>
      <w:r>
        <w:rPr>
          <w:rStyle w:val="FootnoteReference"/>
          <w:noProof/>
          <w:lang w:val="en-IE"/>
        </w:rPr>
        <w:footnoteReference w:id="22"/>
      </w:r>
      <w:r>
        <w:rPr>
          <w:noProof/>
        </w:rPr>
        <w:t xml:space="preserve"> и заводите за механично-биологично третиране</w:t>
      </w:r>
      <w:r>
        <w:rPr>
          <w:rStyle w:val="FootnoteReference"/>
          <w:noProof/>
          <w:lang w:val="en-IE"/>
        </w:rPr>
        <w:footnoteReference w:id="23"/>
      </w:r>
      <w:r>
        <w:rPr>
          <w:noProof/>
        </w:rPr>
        <w:t xml:space="preserve">; и v) дейности, при които дългосрочното обезвреждане на отпадъци може да причини вреда на околната среда. В допълнение към това в заданието се изисква да могат да бъдат избирани само дейности, които отговарят на съответното законодателство на ЕС и национално законодателство в областта на околната среда. </w:t>
      </w:r>
    </w:p>
    <w:p>
      <w:pPr>
        <w:pStyle w:val="Text1"/>
        <w:ind w:left="0"/>
        <w:rPr>
          <w:iCs/>
          <w:noProof/>
          <w:highlight w:val="green"/>
        </w:rPr>
      </w:pPr>
      <w:r>
        <w:rPr>
          <w:noProof/>
        </w:rPr>
        <w:t>Следните действия за НИРД по тази инвестиция се считат за съответстващи на техническите насоки „Ненанасяне на значителни вреди“ (2021/C58/01): R&amp;D&amp;I действия по тази инвестиция, насочени към значително повишаване на екологичната устойчивост на дружествата (като декарбонизация, намаляване на замърсяването и кръгова икономика), ако основният акцент на действията в областта на научните изследвания и развойната дейност в рамките на тази инвестиция е върху разработването или адаптирането на алтернативи с възможно най-малко въздействие върху околната среда в сектора.</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Критериите за подбор гарантират, че най-малко 455 000 000 EUR допринасят за постигане на целите във връзка с изменението на климата със 100 % коефициент в областта на климата и най-малко 1 500 000 EUR с коефициент в областта на климата от 40 % в съответствие с приложение VI към Регламент (ЕС) 2021/241 на Европейския парламент и на Съвета от 12 февруари 2021 г. за създаване на Механизъм за възстановяване и устойчивост [</w:t>
      </w:r>
      <w:r>
        <w:rPr>
          <w:rStyle w:val="FootnoteReference"/>
          <w:rFonts w:ascii="Times New Roman" w:hAnsi="Times New Roman" w:cs="Times New Roman"/>
          <w:noProof/>
          <w:sz w:val="24"/>
          <w:szCs w:val="24"/>
          <w:lang w:val="en-IE"/>
        </w:rPr>
        <w:footnoteReference w:id="24"/>
      </w:r>
      <w:r>
        <w:rPr>
          <w:rFonts w:ascii="Times New Roman" w:hAnsi="Times New Roman"/>
          <w:noProof/>
          <w:sz w:val="24"/>
          <w:szCs w:val="24"/>
        </w:rPr>
        <w:t>]. Като алтернатива, ако е добре обосновано с обяснение на причините, поради които алтернативният подход може да не е осъществим, критериите за подбор гарантират, че най-малко 2531500000 EUR допринасят за постигане на целите във връзка с изменението на климата със среден коефициент в областта на климата от 40 %, в съответствие с приложение VI към Регламент (ЕС) 2021/241.</w:t>
      </w:r>
    </w:p>
    <w:p>
      <w:pPr>
        <w:spacing w:before="120" w:after="120" w:line="240" w:lineRule="auto"/>
        <w:jc w:val="both"/>
        <w:rPr>
          <w:rFonts w:ascii="Times New Roman" w:hAnsi="Times New Roman" w:cs="Times New Roman"/>
          <w:bCs/>
          <w:noProof/>
          <w:sz w:val="24"/>
        </w:rPr>
      </w:pPr>
      <w:r>
        <w:rPr>
          <w:rFonts w:ascii="Times New Roman" w:hAnsi="Times New Roman"/>
          <w:noProof/>
          <w:sz w:val="24"/>
        </w:rPr>
        <w:t xml:space="preserve">Изпълнението на инвестицията приключва до 30 юни 2026 г. </w:t>
      </w:r>
    </w:p>
    <w:p>
      <w:pPr>
        <w:keepNext/>
        <w:spacing w:before="120" w:after="120" w:line="240" w:lineRule="auto"/>
        <w:jc w:val="both"/>
        <w:rPr>
          <w:rFonts w:ascii="Times New Roman" w:hAnsi="Times New Roman" w:cs="Times New Roman"/>
          <w:noProof/>
          <w:sz w:val="24"/>
          <w:u w:val="single"/>
        </w:rPr>
      </w:pPr>
      <w:r>
        <w:rPr>
          <w:rFonts w:ascii="Times New Roman" w:hAnsi="Times New Roman"/>
          <w:noProof/>
          <w:sz w:val="24"/>
          <w:u w:val="single"/>
        </w:rPr>
        <w:t>Инвестиция 3 (C12.I3) – План за подпомагане на прилагането на законодателството в областта на отпадъците и насърчаване на кръговата икономика</w:t>
      </w:r>
    </w:p>
    <w:p>
      <w:pPr>
        <w:keepNext/>
        <w:spacing w:before="120" w:after="120" w:line="240" w:lineRule="auto"/>
        <w:jc w:val="both"/>
        <w:rPr>
          <w:rFonts w:ascii="Times New Roman" w:hAnsi="Times New Roman" w:cs="Times New Roman"/>
          <w:noProof/>
          <w:sz w:val="24"/>
        </w:rPr>
      </w:pPr>
      <w:r>
        <w:rPr>
          <w:rFonts w:ascii="Times New Roman" w:hAnsi="Times New Roman"/>
          <w:noProof/>
          <w:sz w:val="24"/>
        </w:rPr>
        <w:t xml:space="preserve">Целта на тази мярка е да спомогне за насърчаване на кръговата икономика в Испания чрез финансиране на проекти, предназначени за прилагане на националната регулаторна рамка за отпадъците и за постигане на целите на ЕС в областта на отпадъците, както и иновативни проекти за кръгова икономика в частния сектор с цел улесняване на прехода към кръгова икономика. </w:t>
      </w:r>
    </w:p>
    <w:p>
      <w:pPr>
        <w:spacing w:before="120" w:after="120" w:line="240" w:lineRule="auto"/>
        <w:jc w:val="both"/>
        <w:rPr>
          <w:rFonts w:ascii="Times New Roman" w:hAnsi="Times New Roman" w:cs="Times New Roman"/>
          <w:noProof/>
          <w:sz w:val="24"/>
        </w:rPr>
      </w:pPr>
      <w:r>
        <w:rPr>
          <w:rFonts w:ascii="Times New Roman" w:hAnsi="Times New Roman"/>
          <w:noProof/>
          <w:sz w:val="24"/>
        </w:rPr>
        <w:t>Мярката подкрепя модернизирането на съществуващите системи за разделно събиране на отпадъци и инвестициите в събирателни пунктове за подобряване на рециклирането, изграждането на нови инсталации за третиране на отпадъци и повишаването на ресурсната ефективност в съществуващите заводи за механично-биологично третиране, без да се увеличава техният жизнен цикъл или капацитет (проверява се на равнището на централите). Целта на мярката обхваща и цифровите решения в тази област и насърчаването на кръговата икономика на фирмено равнище. Предложената цел е да бъдат завършени най-малко 30 от планираните проекти. С мярката се постига най-малко 30 % разделно събирани битови отпадъци като дял от общото количество битови отпадъци, образувани през 2024 г. (данните от 2024 г. ще бъдат налични през 2026 г.) в съответствие с Директива 2008/98/ЕО.</w:t>
      </w:r>
    </w:p>
    <w:p>
      <w:pPr>
        <w:pStyle w:val="Text1"/>
        <w:ind w:left="0"/>
        <w:rPr>
          <w:iCs/>
          <w:noProof/>
          <w:highlight w:val="green"/>
        </w:rPr>
      </w:pPr>
      <w:r>
        <w:rPr>
          <w:noProof/>
        </w:rPr>
        <w:t xml:space="preserve">За да се гарантира, че мярката е в съответствие с техническите насоки „Ненанасяне на значителни вреди“ (2021/C58/01), критериите за допустимост, съдържащи се в техническото задание за предстоящи покани за представяне на проекти, изключват следния списък от дейности: </w:t>
      </w:r>
      <w:r>
        <w:rPr>
          <w:noProof/>
          <w:lang w:val="en-US"/>
        </w:rPr>
        <w:t>i</w:t>
      </w:r>
      <w:r>
        <w:rPr>
          <w:noProof/>
        </w:rPr>
        <w:t>) дейности , свързани с изкопаеми горива, включително използване надолу по веригата</w:t>
      </w:r>
      <w:r>
        <w:rPr>
          <w:rStyle w:val="FootnoteReference"/>
          <w:noProof/>
          <w:lang w:val="en-IE"/>
        </w:rPr>
        <w:footnoteReference w:id="25"/>
      </w:r>
      <w:r>
        <w:rPr>
          <w:noProof/>
        </w:rPr>
        <w:t>; ii) дейности по схемата на ЕС за търговия с емисии (СТЕ), с които се постигат прогнозираните емисии на парникови газове, които не са по-ниски от съответните референтни стойности</w:t>
      </w:r>
      <w:r>
        <w:rPr>
          <w:rStyle w:val="FootnoteReference"/>
          <w:noProof/>
          <w:lang w:val="en-IE"/>
        </w:rPr>
        <w:footnoteReference w:id="26"/>
      </w:r>
      <w:r>
        <w:rPr>
          <w:noProof/>
        </w:rPr>
        <w:t>; iii) дейности, свързани с депата за отпадъци, инсталациите за изгаряне на отпадъци</w:t>
      </w:r>
      <w:r>
        <w:rPr>
          <w:rStyle w:val="FootnoteReference"/>
          <w:noProof/>
          <w:lang w:val="en-IE"/>
        </w:rPr>
        <w:footnoteReference w:id="27"/>
      </w:r>
      <w:r>
        <w:rPr>
          <w:noProof/>
        </w:rPr>
        <w:t xml:space="preserve"> и заводите за механично-биологично третиране</w:t>
      </w:r>
      <w:r>
        <w:rPr>
          <w:rStyle w:val="FootnoteReference"/>
          <w:noProof/>
          <w:lang w:val="en-IE"/>
        </w:rPr>
        <w:footnoteReference w:id="28"/>
      </w:r>
      <w:r>
        <w:rPr>
          <w:noProof/>
        </w:rPr>
        <w:t>; и iv) дейности, при които дългосрочното обезвреждане на отпадъци може да причини вреда на околната среда. В допълнение към това в заданието се изисква да могат да бъдат избирани само дейности, които отговарят на съответното законодателство на ЕС и национално законодателство в областта на околната среда.</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Изпълнението на инвестицията ще приключи до 30 юни 2026 г. </w:t>
      </w:r>
    </w:p>
    <w:p>
      <w:pPr>
        <w:spacing w:before="120" w:after="120" w:line="240" w:lineRule="auto"/>
        <w:ind w:left="709"/>
        <w:jc w:val="both"/>
        <w:rPr>
          <w:rFonts w:ascii="Times New Roman" w:hAnsi="Times New Roman" w:cs="Times New Roman"/>
          <w:b/>
          <w:bCs/>
          <w:noProof/>
          <w:sz w:val="24"/>
          <w:u w:val="single"/>
        </w:rPr>
      </w:pPr>
      <w:r>
        <w:rPr>
          <w:rFonts w:ascii="Times New Roman" w:hAnsi="Times New Roman"/>
          <w:b/>
          <w:noProof/>
          <w:sz w:val="24"/>
          <w:u w:val="single"/>
        </w:rPr>
        <w:t xml:space="preserve">Л.2. </w:t>
      </w:r>
      <w:r>
        <w:rPr>
          <w:rFonts w:ascii="Times New Roman" w:hAnsi="Times New Roman"/>
          <w:b/>
          <w:noProof/>
          <w:sz w:val="24"/>
          <w:u w:val="single"/>
        </w:rPr>
        <w:tab/>
      </w:r>
      <w:r>
        <w:rPr>
          <w:rFonts w:ascii="Times New Roman" w:hAnsi="Times New Roman"/>
          <w:b/>
          <w:bCs/>
          <w:noProof/>
          <w:sz w:val="24"/>
          <w:u w:val="single"/>
        </w:rPr>
        <w:t>Ключови етапи, цели, показатели и график за мониторинг и изпълнение на безвъзмездната финансова подкрепа</w:t>
      </w:r>
    </w:p>
    <w:p>
      <w:pPr>
        <w:spacing w:before="120" w:after="120" w:line="240" w:lineRule="auto"/>
        <w:jc w:val="both"/>
        <w:rPr>
          <w:rFonts w:ascii="Times New Roman" w:hAnsi="Times New Roman" w:cs="Times New Roman"/>
          <w:noProof/>
          <w:sz w:val="24"/>
          <w:u w:val="single"/>
        </w:rPr>
      </w:pPr>
      <w:r>
        <w:rPr>
          <w:rFonts w:ascii="Times New Roman" w:hAnsi="Times New Roman"/>
          <w:i/>
          <w:iCs/>
          <w:noProof/>
          <w:color w:val="000000"/>
          <w:sz w:val="24"/>
        </w:rPr>
        <w:t>Вж. таблицата по-долу.</w:t>
      </w:r>
      <w:r>
        <w:rPr>
          <w:rFonts w:ascii="Times New Roman" w:hAnsi="Times New Roman"/>
          <w:noProof/>
          <w:color w:val="1F497D"/>
          <w:sz w:val="24"/>
        </w:rPr>
        <w:t xml:space="preserve"> </w:t>
      </w:r>
      <w:r>
        <w:rPr>
          <w:rFonts w:ascii="Times New Roman" w:hAnsi="Times New Roman"/>
          <w:i/>
          <w:iCs/>
          <w:noProof/>
          <w:color w:val="000000"/>
          <w:sz w:val="24"/>
        </w:rPr>
        <w:t>Датата на базовата линия за всички показатели е 1 февруари 2020 г., освен ако не е посочено друго в описанието на действието. Сумите в таблицата не включват ДДС.</w:t>
      </w:r>
    </w:p>
    <w:p>
      <w:pPr>
        <w:spacing w:before="120" w:after="120" w:line="240" w:lineRule="auto"/>
        <w:ind w:left="709"/>
        <w:jc w:val="both"/>
        <w:rPr>
          <w:rFonts w:ascii="Times New Roman" w:hAnsi="Times New Roman" w:cs="Times New Roman"/>
          <w:noProof/>
          <w:sz w:val="24"/>
          <w:lang w:val="en-IE"/>
        </w:rPr>
      </w:pPr>
    </w:p>
    <w:p>
      <w:pPr>
        <w:spacing w:before="120" w:after="120" w:line="240" w:lineRule="auto"/>
        <w:jc w:val="both"/>
        <w:rPr>
          <w:rFonts w:ascii="Times New Roman" w:hAnsi="Times New Roman" w:cs="Times New Roman"/>
          <w:noProof/>
          <w:sz w:val="24"/>
          <w:lang w:val="en-IE"/>
        </w:rPr>
        <w:sectPr>
          <w:headerReference w:type="even" r:id="rId151"/>
          <w:headerReference w:type="default" r:id="rId152"/>
          <w:footerReference w:type="even" r:id="rId153"/>
          <w:footerReference w:type="default" r:id="rId154"/>
          <w:headerReference w:type="first" r:id="rId155"/>
          <w:footerReference w:type="first" r:id="rId156"/>
          <w:pgSz w:w="11907" w:h="16839"/>
          <w:pgMar w:top="1134" w:right="1417" w:bottom="1134" w:left="1417" w:header="709" w:footer="709" w:gutter="0"/>
          <w:cols w:space="720"/>
          <w:docGrid w:linePitch="360"/>
        </w:sectPr>
      </w:pPr>
    </w:p>
    <w:tbl>
      <w:tblPr>
        <w:tblW w:w="15197"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09"/>
        <w:gridCol w:w="851"/>
        <w:gridCol w:w="742"/>
        <w:gridCol w:w="1431"/>
        <w:gridCol w:w="1179"/>
        <w:gridCol w:w="810"/>
        <w:gridCol w:w="630"/>
        <w:gridCol w:w="360"/>
        <w:gridCol w:w="270"/>
        <w:gridCol w:w="673"/>
        <w:gridCol w:w="7542"/>
      </w:tblGrid>
      <w:tr>
        <w:trPr>
          <w:trHeight w:val="309"/>
          <w:tblHeader/>
        </w:trPr>
        <w:tc>
          <w:tcPr>
            <w:tcW w:w="709" w:type="dxa"/>
            <w:vMerge w:val="restart"/>
            <w:tcBorders>
              <w:top w:val="single" w:sz="4" w:space="0" w:color="auto"/>
              <w:left w:val="single" w:sz="4" w:space="0" w:color="auto"/>
              <w:right w:val="single" w:sz="4" w:space="0" w:color="auto"/>
            </w:tcBorders>
            <w:shd w:val="clear" w:color="auto" w:fill="C6D9F1" w:themeFill="text2" w:themeFillTint="33"/>
            <w:noWrap/>
            <w:vAlign w:val="center"/>
          </w:tcPr>
          <w:p>
            <w:pPr>
              <w:spacing w:after="0" w:line="240" w:lineRule="auto"/>
              <w:jc w:val="both"/>
              <w:rPr>
                <w:rFonts w:ascii="Times New Roman" w:hAnsi="Times New Roman" w:cs="Times New Roman"/>
                <w:noProof/>
                <w:color w:val="000000"/>
                <w:sz w:val="18"/>
                <w:szCs w:val="18"/>
              </w:rPr>
            </w:pPr>
            <w:r>
              <w:rPr>
                <w:rFonts w:ascii="Times New Roman" w:hAnsi="Times New Roman"/>
                <w:b/>
                <w:noProof/>
                <w:color w:val="000000"/>
                <w:sz w:val="18"/>
                <w:szCs w:val="18"/>
              </w:rPr>
              <w:t>Номер</w:t>
            </w:r>
          </w:p>
        </w:tc>
        <w:tc>
          <w:tcPr>
            <w:tcW w:w="851" w:type="dxa"/>
            <w:vMerge w:val="restart"/>
            <w:tcBorders>
              <w:top w:val="single" w:sz="4" w:space="0" w:color="auto"/>
              <w:left w:val="single" w:sz="4" w:space="0" w:color="auto"/>
              <w:right w:val="single" w:sz="4" w:space="0" w:color="auto"/>
            </w:tcBorders>
            <w:shd w:val="clear" w:color="auto" w:fill="C6D9F1" w:themeFill="text2" w:themeFillTint="33"/>
            <w:noWrap/>
            <w:vAlign w:val="center"/>
          </w:tcPr>
          <w:p>
            <w:pPr>
              <w:spacing w:after="0" w:line="240" w:lineRule="auto"/>
              <w:jc w:val="center"/>
              <w:rPr>
                <w:rFonts w:ascii="Times New Roman" w:hAnsi="Times New Roman" w:cs="Times New Roman"/>
                <w:noProof/>
                <w:color w:val="000000"/>
                <w:sz w:val="18"/>
                <w:szCs w:val="18"/>
              </w:rPr>
            </w:pPr>
            <w:r>
              <w:rPr>
                <w:rFonts w:ascii="Times New Roman" w:hAnsi="Times New Roman"/>
                <w:b/>
                <w:noProof/>
                <w:color w:val="000000"/>
                <w:sz w:val="18"/>
                <w:szCs w:val="18"/>
              </w:rPr>
              <w:t>Мярка</w:t>
            </w:r>
          </w:p>
        </w:tc>
        <w:tc>
          <w:tcPr>
            <w:tcW w:w="742" w:type="dxa"/>
            <w:vMerge w:val="restart"/>
            <w:tcBorders>
              <w:top w:val="single" w:sz="4" w:space="0" w:color="auto"/>
              <w:left w:val="single" w:sz="4" w:space="0" w:color="auto"/>
              <w:right w:val="single" w:sz="4" w:space="0" w:color="auto"/>
            </w:tcBorders>
            <w:shd w:val="clear" w:color="auto" w:fill="C6D9F1" w:themeFill="text2" w:themeFillTint="33"/>
            <w:noWrap/>
            <w:vAlign w:val="center"/>
          </w:tcPr>
          <w:p>
            <w:pPr>
              <w:spacing w:after="0" w:line="240" w:lineRule="auto"/>
              <w:jc w:val="center"/>
              <w:rPr>
                <w:rFonts w:ascii="Times New Roman" w:hAnsi="Times New Roman" w:cs="Times New Roman"/>
                <w:noProof/>
                <w:color w:val="000000"/>
                <w:sz w:val="18"/>
                <w:szCs w:val="18"/>
              </w:rPr>
            </w:pPr>
            <w:r>
              <w:rPr>
                <w:rFonts w:ascii="Times New Roman" w:hAnsi="Times New Roman"/>
                <w:b/>
                <w:noProof/>
                <w:color w:val="000000"/>
                <w:sz w:val="18"/>
                <w:szCs w:val="18"/>
              </w:rPr>
              <w:t>Ключов етап / Цел</w:t>
            </w:r>
          </w:p>
        </w:tc>
        <w:tc>
          <w:tcPr>
            <w:tcW w:w="1431" w:type="dxa"/>
            <w:vMerge w:val="restart"/>
            <w:tcBorders>
              <w:top w:val="single" w:sz="4" w:space="0" w:color="auto"/>
              <w:left w:val="single" w:sz="4" w:space="0" w:color="auto"/>
              <w:right w:val="single" w:sz="4" w:space="0" w:color="auto"/>
            </w:tcBorders>
            <w:shd w:val="clear" w:color="auto" w:fill="C6D9F1" w:themeFill="text2" w:themeFillTint="33"/>
            <w:noWrap/>
            <w:vAlign w:val="center"/>
          </w:tcPr>
          <w:p>
            <w:pPr>
              <w:spacing w:after="0" w:line="240" w:lineRule="auto"/>
              <w:jc w:val="center"/>
              <w:rPr>
                <w:rFonts w:ascii="Times New Roman" w:hAnsi="Times New Roman" w:cs="Times New Roman"/>
                <w:noProof/>
                <w:color w:val="000000"/>
                <w:sz w:val="18"/>
                <w:szCs w:val="18"/>
              </w:rPr>
            </w:pPr>
            <w:r>
              <w:rPr>
                <w:rFonts w:ascii="Times New Roman" w:hAnsi="Times New Roman"/>
                <w:b/>
                <w:noProof/>
                <w:color w:val="000000"/>
                <w:sz w:val="18"/>
                <w:szCs w:val="18"/>
              </w:rPr>
              <w:t>Наименование</w:t>
            </w:r>
          </w:p>
        </w:tc>
        <w:tc>
          <w:tcPr>
            <w:tcW w:w="1179"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pPr>
              <w:spacing w:after="0" w:line="240" w:lineRule="auto"/>
              <w:jc w:val="center"/>
              <w:rPr>
                <w:rFonts w:ascii="Times New Roman" w:hAnsi="Times New Roman" w:cs="Times New Roman"/>
                <w:noProof/>
                <w:color w:val="000000"/>
                <w:sz w:val="18"/>
                <w:szCs w:val="18"/>
                <w:lang w:val="en-IE"/>
              </w:rPr>
            </w:pPr>
          </w:p>
        </w:tc>
        <w:tc>
          <w:tcPr>
            <w:tcW w:w="1800"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pPr>
              <w:spacing w:after="0" w:line="240" w:lineRule="auto"/>
              <w:jc w:val="center"/>
              <w:rPr>
                <w:rFonts w:ascii="Times New Roman" w:hAnsi="Times New Roman" w:cs="Times New Roman"/>
                <w:noProof/>
                <w:color w:val="000000"/>
                <w:sz w:val="18"/>
                <w:szCs w:val="18"/>
              </w:rPr>
            </w:pPr>
            <w:r>
              <w:rPr>
                <w:rFonts w:ascii="Times New Roman" w:hAnsi="Times New Roman"/>
                <w:b/>
                <w:noProof/>
                <w:color w:val="000000"/>
                <w:sz w:val="18"/>
                <w:szCs w:val="18"/>
              </w:rPr>
              <w:t>Количествени показатели за целите</w:t>
            </w:r>
          </w:p>
        </w:tc>
        <w:tc>
          <w:tcPr>
            <w:tcW w:w="943"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pPr>
              <w:spacing w:after="0" w:line="240" w:lineRule="auto"/>
              <w:jc w:val="center"/>
              <w:rPr>
                <w:rFonts w:ascii="Times New Roman" w:hAnsi="Times New Roman" w:cs="Times New Roman"/>
                <w:noProof/>
                <w:color w:val="000000"/>
                <w:sz w:val="18"/>
                <w:szCs w:val="18"/>
              </w:rPr>
            </w:pPr>
            <w:r>
              <w:rPr>
                <w:rFonts w:ascii="Times New Roman" w:hAnsi="Times New Roman"/>
                <w:b/>
                <w:noProof/>
                <w:color w:val="000000"/>
                <w:sz w:val="18"/>
                <w:szCs w:val="18"/>
              </w:rPr>
              <w:t>Време</w:t>
            </w:r>
          </w:p>
        </w:tc>
        <w:tc>
          <w:tcPr>
            <w:tcW w:w="7542" w:type="dxa"/>
            <w:vMerge w:val="restart"/>
            <w:tcBorders>
              <w:top w:val="single" w:sz="4" w:space="0" w:color="auto"/>
              <w:left w:val="single" w:sz="4" w:space="0" w:color="auto"/>
              <w:right w:val="single" w:sz="4" w:space="0" w:color="auto"/>
            </w:tcBorders>
            <w:shd w:val="clear" w:color="auto" w:fill="C6D9F1" w:themeFill="text2" w:themeFillTint="33"/>
            <w:noWrap/>
            <w:vAlign w:val="center"/>
          </w:tcPr>
          <w:p>
            <w:pPr>
              <w:spacing w:after="0" w:line="240" w:lineRule="auto"/>
              <w:jc w:val="center"/>
              <w:rPr>
                <w:rFonts w:ascii="Times New Roman" w:hAnsi="Times New Roman" w:cs="Times New Roman"/>
                <w:noProof/>
                <w:color w:val="000000"/>
                <w:sz w:val="18"/>
                <w:szCs w:val="18"/>
              </w:rPr>
            </w:pPr>
          </w:p>
          <w:p>
            <w:pPr>
              <w:spacing w:after="0" w:line="240" w:lineRule="auto"/>
              <w:jc w:val="center"/>
              <w:rPr>
                <w:rFonts w:ascii="Times New Roman" w:hAnsi="Times New Roman" w:cs="Times New Roman"/>
                <w:noProof/>
                <w:color w:val="000000"/>
                <w:sz w:val="18"/>
                <w:szCs w:val="18"/>
              </w:rPr>
            </w:pPr>
            <w:r>
              <w:rPr>
                <w:rFonts w:ascii="Times New Roman" w:hAnsi="Times New Roman"/>
                <w:b/>
                <w:noProof/>
                <w:sz w:val="18"/>
                <w:szCs w:val="18"/>
              </w:rPr>
              <w:t>Описание на всеки ключов етап и всяка цел</w:t>
            </w:r>
          </w:p>
        </w:tc>
      </w:tr>
      <w:tr>
        <w:trPr>
          <w:trHeight w:val="309"/>
          <w:tblHeader/>
        </w:trPr>
        <w:tc>
          <w:tcPr>
            <w:tcW w:w="709" w:type="dxa"/>
            <w:vMerge/>
            <w:tcBorders>
              <w:left w:val="single" w:sz="4" w:space="0" w:color="auto"/>
              <w:bottom w:val="single" w:sz="4" w:space="0" w:color="auto"/>
              <w:right w:val="single" w:sz="4" w:space="0" w:color="auto"/>
            </w:tcBorders>
            <w:shd w:val="clear" w:color="auto" w:fill="C6D9F1" w:themeFill="text2" w:themeFillTint="33"/>
            <w:noWrap/>
          </w:tcPr>
          <w:p>
            <w:pPr>
              <w:spacing w:after="0" w:line="240" w:lineRule="auto"/>
              <w:jc w:val="center"/>
              <w:rPr>
                <w:rFonts w:ascii="Times New Roman" w:hAnsi="Times New Roman" w:cs="Times New Roman"/>
                <w:noProof/>
                <w:color w:val="000000"/>
                <w:sz w:val="18"/>
                <w:szCs w:val="18"/>
              </w:rPr>
            </w:pPr>
          </w:p>
        </w:tc>
        <w:tc>
          <w:tcPr>
            <w:tcW w:w="851" w:type="dxa"/>
            <w:vMerge/>
            <w:tcBorders>
              <w:left w:val="single" w:sz="4" w:space="0" w:color="auto"/>
              <w:bottom w:val="single" w:sz="4" w:space="0" w:color="auto"/>
              <w:right w:val="single" w:sz="4" w:space="0" w:color="auto"/>
            </w:tcBorders>
            <w:shd w:val="clear" w:color="auto" w:fill="C6D9F1" w:themeFill="text2" w:themeFillTint="33"/>
            <w:noWrap/>
          </w:tcPr>
          <w:p>
            <w:pPr>
              <w:spacing w:after="0" w:line="240" w:lineRule="auto"/>
              <w:jc w:val="center"/>
              <w:rPr>
                <w:rFonts w:ascii="Times New Roman" w:hAnsi="Times New Roman" w:cs="Times New Roman"/>
                <w:noProof/>
                <w:color w:val="000000"/>
                <w:sz w:val="18"/>
                <w:szCs w:val="18"/>
              </w:rPr>
            </w:pPr>
          </w:p>
        </w:tc>
        <w:tc>
          <w:tcPr>
            <w:tcW w:w="742" w:type="dxa"/>
            <w:vMerge/>
            <w:tcBorders>
              <w:left w:val="single" w:sz="4" w:space="0" w:color="auto"/>
              <w:bottom w:val="single" w:sz="4" w:space="0" w:color="auto"/>
              <w:right w:val="single" w:sz="4" w:space="0" w:color="auto"/>
            </w:tcBorders>
            <w:shd w:val="clear" w:color="auto" w:fill="C6D9F1" w:themeFill="text2" w:themeFillTint="33"/>
            <w:noWrap/>
          </w:tcPr>
          <w:p>
            <w:pPr>
              <w:spacing w:after="0" w:line="240" w:lineRule="auto"/>
              <w:jc w:val="center"/>
              <w:rPr>
                <w:rFonts w:ascii="Times New Roman" w:hAnsi="Times New Roman" w:cs="Times New Roman"/>
                <w:noProof/>
                <w:color w:val="000000"/>
                <w:sz w:val="18"/>
                <w:szCs w:val="18"/>
              </w:rPr>
            </w:pPr>
          </w:p>
        </w:tc>
        <w:tc>
          <w:tcPr>
            <w:tcW w:w="1431" w:type="dxa"/>
            <w:vMerge/>
            <w:tcBorders>
              <w:left w:val="single" w:sz="4" w:space="0" w:color="auto"/>
              <w:bottom w:val="single" w:sz="4" w:space="0" w:color="auto"/>
              <w:right w:val="single" w:sz="4" w:space="0" w:color="auto"/>
            </w:tcBorders>
            <w:shd w:val="clear" w:color="auto" w:fill="C6D9F1" w:themeFill="text2" w:themeFillTint="33"/>
            <w:noWrap/>
          </w:tcPr>
          <w:p>
            <w:pPr>
              <w:spacing w:after="0" w:line="240" w:lineRule="auto"/>
              <w:jc w:val="center"/>
              <w:rPr>
                <w:rFonts w:ascii="Times New Roman" w:hAnsi="Times New Roman" w:cs="Times New Roman"/>
                <w:noProof/>
                <w:color w:val="000000"/>
                <w:sz w:val="18"/>
                <w:szCs w:val="18"/>
              </w:rPr>
            </w:pPr>
          </w:p>
        </w:tc>
        <w:tc>
          <w:tcPr>
            <w:tcW w:w="1179"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pPr>
              <w:spacing w:after="0" w:line="240" w:lineRule="auto"/>
              <w:jc w:val="center"/>
              <w:rPr>
                <w:rFonts w:ascii="Times New Roman" w:hAnsi="Times New Roman" w:cs="Times New Roman"/>
                <w:noProof/>
                <w:color w:val="000000"/>
                <w:sz w:val="18"/>
                <w:szCs w:val="18"/>
              </w:rPr>
            </w:pPr>
            <w:r>
              <w:rPr>
                <w:rFonts w:ascii="Times New Roman" w:hAnsi="Times New Roman"/>
                <w:b/>
                <w:noProof/>
                <w:color w:val="000000"/>
                <w:sz w:val="18"/>
                <w:szCs w:val="18"/>
              </w:rPr>
              <w:t>Качествени показатели за ключовите етапи</w:t>
            </w:r>
          </w:p>
        </w:tc>
        <w:tc>
          <w:tcPr>
            <w:tcW w:w="810"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pPr>
              <w:spacing w:after="0" w:line="240" w:lineRule="auto"/>
              <w:jc w:val="center"/>
              <w:rPr>
                <w:rFonts w:ascii="Times New Roman" w:hAnsi="Times New Roman" w:cs="Times New Roman"/>
                <w:b/>
                <w:noProof/>
                <w:color w:val="000000"/>
                <w:spacing w:val="-4"/>
                <w:sz w:val="18"/>
                <w:szCs w:val="18"/>
              </w:rPr>
            </w:pPr>
            <w:r>
              <w:rPr>
                <w:rFonts w:ascii="Times New Roman" w:hAnsi="Times New Roman"/>
                <w:b/>
                <w:noProof/>
                <w:color w:val="000000"/>
                <w:spacing w:val="-4"/>
                <w:sz w:val="18"/>
                <w:szCs w:val="18"/>
              </w:rPr>
              <w:t>Мерна единица</w:t>
            </w:r>
          </w:p>
        </w:tc>
        <w:tc>
          <w:tcPr>
            <w:tcW w:w="630"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szCs w:val="18"/>
              </w:rPr>
              <w:t>Базова линия</w:t>
            </w:r>
          </w:p>
        </w:tc>
        <w:tc>
          <w:tcPr>
            <w:tcW w:w="360"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pPr>
              <w:spacing w:after="0" w:line="240" w:lineRule="auto"/>
              <w:jc w:val="center"/>
              <w:rPr>
                <w:rFonts w:ascii="Times New Roman" w:hAnsi="Times New Roman" w:cs="Times New Roman"/>
                <w:b/>
                <w:noProof/>
                <w:color w:val="000000"/>
                <w:spacing w:val="-6"/>
                <w:sz w:val="18"/>
                <w:szCs w:val="18"/>
              </w:rPr>
            </w:pPr>
            <w:r>
              <w:rPr>
                <w:rFonts w:ascii="Times New Roman" w:hAnsi="Times New Roman"/>
                <w:b/>
                <w:noProof/>
                <w:color w:val="000000"/>
                <w:spacing w:val="-6"/>
                <w:sz w:val="18"/>
                <w:szCs w:val="18"/>
              </w:rPr>
              <w:t>Цел</w:t>
            </w:r>
          </w:p>
        </w:tc>
        <w:tc>
          <w:tcPr>
            <w:tcW w:w="270"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szCs w:val="18"/>
              </w:rPr>
              <w:t>T</w:t>
            </w:r>
          </w:p>
        </w:tc>
        <w:tc>
          <w:tcPr>
            <w:tcW w:w="673"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szCs w:val="18"/>
              </w:rPr>
              <w:t>Година</w:t>
            </w:r>
          </w:p>
        </w:tc>
        <w:tc>
          <w:tcPr>
            <w:tcW w:w="7542" w:type="dxa"/>
            <w:vMerge/>
            <w:tcBorders>
              <w:left w:val="single" w:sz="4" w:space="0" w:color="auto"/>
              <w:bottom w:val="single" w:sz="4" w:space="0" w:color="auto"/>
              <w:right w:val="single" w:sz="4" w:space="0" w:color="auto"/>
            </w:tcBorders>
            <w:shd w:val="clear" w:color="auto" w:fill="C6D9F1" w:themeFill="text2" w:themeFillTint="33"/>
            <w:noWrap/>
          </w:tcPr>
          <w:p>
            <w:pPr>
              <w:spacing w:after="0" w:line="240" w:lineRule="auto"/>
              <w:jc w:val="center"/>
              <w:rPr>
                <w:rFonts w:ascii="Times New Roman" w:hAnsi="Times New Roman" w:cs="Times New Roman"/>
                <w:noProof/>
                <w:color w:val="000000"/>
                <w:sz w:val="18"/>
                <w:szCs w:val="18"/>
                <w:lang w:val="en-IE"/>
              </w:rPr>
            </w:pPr>
          </w:p>
        </w:tc>
      </w:tr>
      <w:tr>
        <w:trPr>
          <w:trHeight w:val="309"/>
        </w:trPr>
        <w:tc>
          <w:tcPr>
            <w:tcW w:w="709"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176</w:t>
            </w:r>
          </w:p>
        </w:tc>
        <w:tc>
          <w:tcPr>
            <w:tcW w:w="851"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C12.R1</w:t>
            </w:r>
          </w:p>
        </w:tc>
        <w:tc>
          <w:tcPr>
            <w:tcW w:w="742"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M</w:t>
            </w:r>
          </w:p>
        </w:tc>
        <w:tc>
          <w:tcPr>
            <w:tcW w:w="1431"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szCs w:val="18"/>
              </w:rPr>
              <w:t>Влизане в сила на Закона за промишлеността</w:t>
            </w:r>
          </w:p>
        </w:tc>
        <w:tc>
          <w:tcPr>
            <w:tcW w:w="1179"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Разпоредба от закона, указваща влизането в сила на закона</w:t>
            </w:r>
          </w:p>
        </w:tc>
        <w:tc>
          <w:tcPr>
            <w:tcW w:w="810"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 </w:t>
            </w:r>
          </w:p>
        </w:tc>
        <w:tc>
          <w:tcPr>
            <w:tcW w:w="630"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 </w:t>
            </w:r>
          </w:p>
        </w:tc>
        <w:tc>
          <w:tcPr>
            <w:tcW w:w="360"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 </w:t>
            </w:r>
          </w:p>
        </w:tc>
        <w:tc>
          <w:tcPr>
            <w:tcW w:w="270"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T4</w:t>
            </w:r>
          </w:p>
        </w:tc>
        <w:tc>
          <w:tcPr>
            <w:tcW w:w="673"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2023</w:t>
            </w:r>
          </w:p>
        </w:tc>
        <w:tc>
          <w:tcPr>
            <w:tcW w:w="7542"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szCs w:val="18"/>
              </w:rPr>
              <w:t>Законът има за цел подобряване на механизмите за координация между различните равнища на управление в промишлената политика и подобряване на качеството и безопасността на промишлеността чрез засилена система за надзор на пазара в съответствие с Регламент (ЕС) 2019/1020 на Европейския парламент и на Съвета от 20 юни 2019 г. относно надзора на пазара и съответствието на продуктите и за изменение на Директива 2004/42/ЕО и регламенти (ЕО) № 765/2008 и (ЕС) № 305/2011. Накрая, определението за нарушения в областта се преразглежда и размерът на санкциите, които могат да се прилагат, се актуализира.</w:t>
            </w:r>
          </w:p>
        </w:tc>
      </w:tr>
      <w:tr>
        <w:trPr>
          <w:trHeight w:val="309"/>
        </w:trPr>
        <w:tc>
          <w:tcPr>
            <w:tcW w:w="709"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177</w:t>
            </w:r>
          </w:p>
        </w:tc>
        <w:tc>
          <w:tcPr>
            <w:tcW w:w="851"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C12.R2</w:t>
            </w:r>
          </w:p>
        </w:tc>
        <w:tc>
          <w:tcPr>
            <w:tcW w:w="742"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1431"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Испанска стратегия за кръговата икономика (EEEC)</w:t>
            </w:r>
          </w:p>
        </w:tc>
        <w:tc>
          <w:tcPr>
            <w:tcW w:w="1179"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Одобрение от Министерския съвет</w:t>
            </w:r>
          </w:p>
        </w:tc>
        <w:tc>
          <w:tcPr>
            <w:tcW w:w="810"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630"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360"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270"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T2</w:t>
            </w:r>
          </w:p>
        </w:tc>
        <w:tc>
          <w:tcPr>
            <w:tcW w:w="673"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2020</w:t>
            </w:r>
          </w:p>
        </w:tc>
        <w:tc>
          <w:tcPr>
            <w:tcW w:w="7542"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Одобряване на испанската стратегия за кръгова икономика (EEEC). Тя поставя основата за насърчаване на нов модел на производство и потребление, при който стойността на продуктите, материалите и ресурсите се поддържа възможно най-дълго, при който генерирането на отпадъци е сведено до минимум и отпадъците, които не могат да бъдат избегнати, се използват пълноценно.</w:t>
            </w:r>
          </w:p>
        </w:tc>
      </w:tr>
      <w:tr>
        <w:trPr>
          <w:trHeight w:val="309"/>
        </w:trPr>
        <w:tc>
          <w:tcPr>
            <w:tcW w:w="709"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178</w:t>
            </w:r>
          </w:p>
        </w:tc>
        <w:tc>
          <w:tcPr>
            <w:tcW w:w="851"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C12.R2</w:t>
            </w:r>
          </w:p>
        </w:tc>
        <w:tc>
          <w:tcPr>
            <w:tcW w:w="742"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1431"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Влизане в сила на актовете, които са част от пакета от мерки за кръговата икономика</w:t>
            </w:r>
          </w:p>
        </w:tc>
        <w:tc>
          <w:tcPr>
            <w:tcW w:w="1179"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Разпоредби в кралските укази, указващи влизането в сила на законите</w:t>
            </w:r>
          </w:p>
        </w:tc>
        <w:tc>
          <w:tcPr>
            <w:tcW w:w="810"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630"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360"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270"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673"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2022</w:t>
            </w:r>
          </w:p>
        </w:tc>
        <w:tc>
          <w:tcPr>
            <w:tcW w:w="7542"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Пакетът от мерки за кръговата икономика включва: </w:t>
            </w:r>
            <w:r>
              <w:rPr>
                <w:rFonts w:ascii="Times New Roman" w:hAnsi="Times New Roman"/>
                <w:noProof/>
                <w:color w:val="000000"/>
                <w:sz w:val="18"/>
                <w:szCs w:val="18"/>
              </w:rPr>
              <w:br/>
              <w:t>Кралски указ 731/2020 от 4 август за изменение на Кралски указ 1619/2005 от 30 декември относно управлението на излезли от употреба гуми.</w:t>
            </w:r>
            <w:r>
              <w:rPr>
                <w:rFonts w:ascii="Times New Roman" w:hAnsi="Times New Roman"/>
                <w:noProof/>
                <w:color w:val="000000"/>
                <w:sz w:val="18"/>
                <w:szCs w:val="18"/>
              </w:rPr>
              <w:br/>
              <w:t>Кралски указ 646/2020 от 7 юли за уреждане на депонирането на отпадъци.</w:t>
            </w:r>
            <w:r>
              <w:rPr>
                <w:rFonts w:ascii="Times New Roman" w:hAnsi="Times New Roman"/>
                <w:noProof/>
                <w:color w:val="000000"/>
                <w:sz w:val="18"/>
                <w:szCs w:val="18"/>
              </w:rPr>
              <w:br/>
              <w:t>Кралски указ 553/2020 от 2 юни, уреждащ превоза на отпадъци на територията на държавата.</w:t>
            </w:r>
            <w:r>
              <w:rPr>
                <w:rFonts w:ascii="Times New Roman" w:hAnsi="Times New Roman"/>
                <w:noProof/>
                <w:color w:val="000000"/>
                <w:sz w:val="18"/>
                <w:szCs w:val="18"/>
              </w:rPr>
              <w:br/>
              <w:t>Кралски укази 27/2021 от 19 януари и 265/2021 от 13 април.</w:t>
            </w:r>
            <w:r>
              <w:rPr>
                <w:rFonts w:ascii="Times New Roman" w:hAnsi="Times New Roman"/>
                <w:noProof/>
                <w:color w:val="000000"/>
                <w:sz w:val="18"/>
                <w:szCs w:val="18"/>
              </w:rPr>
              <w:br/>
              <w:t>Предстоящото приемане на регулаторни мерки относно опаковките и отпадъците от опаковки от Министерския съвет през 2022 г.</w:t>
            </w:r>
          </w:p>
        </w:tc>
      </w:tr>
      <w:tr>
        <w:trPr>
          <w:trHeight w:val="309"/>
        </w:trPr>
        <w:tc>
          <w:tcPr>
            <w:tcW w:w="709"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179</w:t>
            </w:r>
          </w:p>
        </w:tc>
        <w:tc>
          <w:tcPr>
            <w:tcW w:w="851"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C12.R2</w:t>
            </w:r>
          </w:p>
        </w:tc>
        <w:tc>
          <w:tcPr>
            <w:tcW w:w="742"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1431"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Влизане в сила на Закона за отпадъците и замърсените почви </w:t>
            </w:r>
          </w:p>
        </w:tc>
        <w:tc>
          <w:tcPr>
            <w:tcW w:w="1179"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Разпоредба от закона, указваща влизането в сила на закона </w:t>
            </w:r>
          </w:p>
        </w:tc>
        <w:tc>
          <w:tcPr>
            <w:tcW w:w="810"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w:t>
            </w:r>
          </w:p>
        </w:tc>
        <w:tc>
          <w:tcPr>
            <w:tcW w:w="630"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w:t>
            </w:r>
          </w:p>
        </w:tc>
        <w:tc>
          <w:tcPr>
            <w:tcW w:w="360"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w:t>
            </w:r>
          </w:p>
        </w:tc>
        <w:tc>
          <w:tcPr>
            <w:tcW w:w="270"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673"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2022</w:t>
            </w:r>
          </w:p>
        </w:tc>
        <w:tc>
          <w:tcPr>
            <w:tcW w:w="7542"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szCs w:val="18"/>
              </w:rPr>
              <w:t>Законът включва:</w:t>
            </w:r>
            <w:r>
              <w:rPr>
                <w:rFonts w:ascii="Times New Roman" w:hAnsi="Times New Roman"/>
                <w:noProof/>
                <w:color w:val="000000"/>
                <w:sz w:val="18"/>
                <w:szCs w:val="18"/>
              </w:rPr>
              <w:br/>
            </w:r>
            <w:r>
              <w:rPr>
                <w:rFonts w:ascii="Times New Roman" w:hAnsi="Times New Roman"/>
                <w:noProof/>
                <w:color w:val="000000"/>
                <w:sz w:val="18"/>
                <w:szCs w:val="18"/>
                <w:lang w:val="en-US"/>
              </w:rPr>
              <w:t>i</w:t>
            </w:r>
            <w:r>
              <w:rPr>
                <w:rFonts w:ascii="Times New Roman" w:hAnsi="Times New Roman"/>
                <w:noProof/>
                <w:color w:val="000000"/>
                <w:sz w:val="18"/>
                <w:szCs w:val="18"/>
              </w:rPr>
              <w:t>) Прилагането на Рамковата директива за отпадъците и директивата за пластмасите за еднократна употреба, както и актуализирането на испанските разпоредби в светлината на опита от последните десет години;</w:t>
            </w:r>
            <w:r>
              <w:rPr>
                <w:rFonts w:ascii="Times New Roman" w:hAnsi="Times New Roman"/>
                <w:noProof/>
                <w:color w:val="000000"/>
                <w:sz w:val="18"/>
                <w:szCs w:val="18"/>
              </w:rPr>
              <w:br/>
            </w:r>
            <w:r>
              <w:rPr>
                <w:rFonts w:ascii="Times New Roman" w:hAnsi="Times New Roman"/>
                <w:noProof/>
                <w:color w:val="000000"/>
                <w:sz w:val="18"/>
                <w:szCs w:val="18"/>
                <w:lang w:val="en-US"/>
              </w:rPr>
              <w:t>ii</w:t>
            </w:r>
            <w:r>
              <w:rPr>
                <w:rFonts w:ascii="Times New Roman" w:hAnsi="Times New Roman"/>
                <w:noProof/>
                <w:color w:val="000000"/>
                <w:sz w:val="18"/>
                <w:szCs w:val="18"/>
              </w:rPr>
              <w:t>) Въвеждането на цели на ЕС по отношение на отпадъците и задълженията за разделно събиране, произтичащи от регламентите на ЕС, предвиждащи тяхното прилагане в областта на биологичните отпадъци в общините с над 5000 жители. Освен това с мярката се въвеждат задължения за разделно събиране, които надхвърлят изискванията, установени в правото на Съюза;</w:t>
            </w:r>
            <w:r>
              <w:rPr>
                <w:rFonts w:ascii="Times New Roman" w:hAnsi="Times New Roman"/>
                <w:noProof/>
                <w:color w:val="000000"/>
                <w:sz w:val="18"/>
                <w:szCs w:val="18"/>
              </w:rPr>
              <w:br/>
            </w:r>
            <w:r>
              <w:rPr>
                <w:rFonts w:ascii="Times New Roman" w:hAnsi="Times New Roman"/>
                <w:noProof/>
                <w:color w:val="000000"/>
                <w:sz w:val="18"/>
                <w:szCs w:val="18"/>
                <w:lang w:val="en-US"/>
              </w:rPr>
              <w:t>iii</w:t>
            </w:r>
            <w:r>
              <w:rPr>
                <w:rFonts w:ascii="Times New Roman" w:hAnsi="Times New Roman"/>
                <w:noProof/>
                <w:color w:val="000000"/>
                <w:sz w:val="18"/>
                <w:szCs w:val="18"/>
              </w:rPr>
              <w:t>) Преразглеждане на регулирането на разширената отговорност на производителя, като се установят нови разпоредби, които надхвърлят изискванията на правото на Съюза;</w:t>
            </w:r>
            <w:r>
              <w:rPr>
                <w:rFonts w:ascii="Times New Roman" w:hAnsi="Times New Roman"/>
                <w:noProof/>
                <w:color w:val="000000"/>
                <w:sz w:val="18"/>
                <w:szCs w:val="18"/>
              </w:rPr>
              <w:br/>
            </w:r>
            <w:r>
              <w:rPr>
                <w:rFonts w:ascii="Times New Roman" w:hAnsi="Times New Roman"/>
                <w:noProof/>
                <w:color w:val="000000"/>
                <w:sz w:val="18"/>
                <w:szCs w:val="18"/>
                <w:lang w:val="en-US"/>
              </w:rPr>
              <w:t>iv</w:t>
            </w:r>
            <w:r>
              <w:rPr>
                <w:rFonts w:ascii="Times New Roman" w:hAnsi="Times New Roman"/>
                <w:noProof/>
                <w:color w:val="000000"/>
                <w:sz w:val="18"/>
                <w:szCs w:val="18"/>
              </w:rPr>
              <w:t>) Въвеждане на държавно данъчно облагане на отпадъците (включително относно депонирането, изгарянето и съвместното изгаряне, както и върху пластмасовите контейнери за еднократна употреба).</w:t>
            </w:r>
          </w:p>
        </w:tc>
      </w:tr>
      <w:tr>
        <w:trPr>
          <w:trHeight w:val="309"/>
        </w:trPr>
        <w:tc>
          <w:tcPr>
            <w:tcW w:w="709"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180</w:t>
            </w:r>
          </w:p>
        </w:tc>
        <w:tc>
          <w:tcPr>
            <w:tcW w:w="851"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C12.I1</w:t>
            </w:r>
          </w:p>
        </w:tc>
        <w:tc>
          <w:tcPr>
            <w:tcW w:w="742"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w:t>
            </w:r>
          </w:p>
        </w:tc>
        <w:tc>
          <w:tcPr>
            <w:tcW w:w="1431"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Секторни и оперативно съвместими пространства за данни с висока стойност</w:t>
            </w:r>
          </w:p>
        </w:tc>
        <w:tc>
          <w:tcPr>
            <w:tcW w:w="1179"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w:t>
            </w:r>
          </w:p>
        </w:tc>
        <w:tc>
          <w:tcPr>
            <w:tcW w:w="810"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Номер</w:t>
            </w:r>
          </w:p>
        </w:tc>
        <w:tc>
          <w:tcPr>
            <w:tcW w:w="630"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0</w:t>
            </w:r>
          </w:p>
        </w:tc>
        <w:tc>
          <w:tcPr>
            <w:tcW w:w="360"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4</w:t>
            </w:r>
          </w:p>
        </w:tc>
        <w:tc>
          <w:tcPr>
            <w:tcW w:w="270"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T2</w:t>
            </w:r>
          </w:p>
        </w:tc>
        <w:tc>
          <w:tcPr>
            <w:tcW w:w="673"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2026</w:t>
            </w:r>
          </w:p>
        </w:tc>
        <w:tc>
          <w:tcPr>
            <w:tcW w:w="7542"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Големи секторни и оперативно съвместими пространства за данни с висока стойност, създадени в стратегически сектори. Най-малко четири в хранително-вкусовия сектор, сектора на устойчивата мобилност, сектора на здравеопазването и търговския сектор, в съответствие с техническите насоки „Ненанасяне на значителни вреди“ (2021/C58/01), чрез използването на списък за изключване и изискването за спазване на съответното законодателство на ЕС и национално законодателство в областта на околната среда. Изпълнението на бюджета, мобилизирано за тази цел, възлиза на най-малко 400 000 000 EUR. </w:t>
            </w:r>
          </w:p>
        </w:tc>
      </w:tr>
      <w:tr>
        <w:trPr>
          <w:trHeight w:val="309"/>
        </w:trPr>
        <w:tc>
          <w:tcPr>
            <w:tcW w:w="709"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181</w:t>
            </w:r>
          </w:p>
        </w:tc>
        <w:tc>
          <w:tcPr>
            <w:tcW w:w="851"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C12.I2</w:t>
            </w:r>
          </w:p>
        </w:tc>
        <w:tc>
          <w:tcPr>
            <w:tcW w:w="742"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1431"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План за насърчаване на веригата за създаване на стойност на автомобилната промишленост към устойчива и свързана мобилност</w:t>
            </w:r>
          </w:p>
        </w:tc>
        <w:tc>
          <w:tcPr>
            <w:tcW w:w="1179"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Одобрение от Министерския съвет</w:t>
            </w:r>
          </w:p>
        </w:tc>
        <w:tc>
          <w:tcPr>
            <w:tcW w:w="810"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630"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360"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270"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T2</w:t>
            </w:r>
          </w:p>
        </w:tc>
        <w:tc>
          <w:tcPr>
            <w:tcW w:w="673"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2020</w:t>
            </w:r>
          </w:p>
        </w:tc>
        <w:tc>
          <w:tcPr>
            <w:tcW w:w="7542"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Одобряване от Министерския съвет на плана за насърчаване на веригата за създаване на стойност на автомобилната промишленост към устойчива и свързана мобилност. </w:t>
            </w:r>
          </w:p>
        </w:tc>
      </w:tr>
      <w:tr>
        <w:trPr>
          <w:trHeight w:val="309"/>
        </w:trPr>
        <w:tc>
          <w:tcPr>
            <w:tcW w:w="709"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182</w:t>
            </w:r>
          </w:p>
        </w:tc>
        <w:tc>
          <w:tcPr>
            <w:tcW w:w="851"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C12.I2</w:t>
            </w:r>
          </w:p>
        </w:tc>
        <w:tc>
          <w:tcPr>
            <w:tcW w:w="742"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1431"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PERTE в областта на електрическите превозни средства</w:t>
            </w:r>
          </w:p>
        </w:tc>
        <w:tc>
          <w:tcPr>
            <w:tcW w:w="1179"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Одобрение от Министерския съвет</w:t>
            </w:r>
          </w:p>
        </w:tc>
        <w:tc>
          <w:tcPr>
            <w:tcW w:w="810"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630"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cs="Times New Roman"/>
                <w:noProof/>
                <w:sz w:val="18"/>
                <w:szCs w:val="18"/>
                <w:lang w:val="en-IE" w:eastAsia="en-GB"/>
              </w:rPr>
            </w:pPr>
          </w:p>
        </w:tc>
        <w:tc>
          <w:tcPr>
            <w:tcW w:w="360"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cs="Times New Roman"/>
                <w:noProof/>
                <w:sz w:val="18"/>
                <w:szCs w:val="18"/>
                <w:lang w:val="en-IE" w:eastAsia="en-GB"/>
              </w:rPr>
            </w:pPr>
          </w:p>
        </w:tc>
        <w:tc>
          <w:tcPr>
            <w:tcW w:w="270"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T3</w:t>
            </w:r>
          </w:p>
        </w:tc>
        <w:tc>
          <w:tcPr>
            <w:tcW w:w="673"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2022</w:t>
            </w:r>
          </w:p>
        </w:tc>
        <w:tc>
          <w:tcPr>
            <w:tcW w:w="7542"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Одобряване от Министерския съвет на Стратегически проект за икономическо възстановяване и трансформация (извършване) в стратегическата област на електрическите превозни средства и разпределяне на най-малко 400 000 000 EUR от бюджета за помощ. Решението за одобрение на PERTE съдържа подробни критерии за подбор, за да се гарантира съответствие с техническите насоки „Ненанасяне на значителни вреди“ (2021/C58/01) чрез използването на списък за изключване и изискването за съответствие със съответното законодателство на ЕС и национално законодателство в областта на околната среда. Освен това критериите за подбор отразяват изискванията на приложимите области на интервенция за целите във връзка с изменението на климата в съответствие с приложение VI към Регламент (ЕС) 2021/241 на Европейския парламент и на Съвета от 12 февруари 2021 г. за създаване на Механизъм за възстановяване и устойчивост.</w:t>
            </w:r>
          </w:p>
        </w:tc>
      </w:tr>
      <w:tr>
        <w:trPr>
          <w:trHeight w:val="309"/>
        </w:trPr>
        <w:tc>
          <w:tcPr>
            <w:tcW w:w="709"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183</w:t>
            </w:r>
          </w:p>
        </w:tc>
        <w:tc>
          <w:tcPr>
            <w:tcW w:w="851"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C12.I2</w:t>
            </w:r>
          </w:p>
        </w:tc>
        <w:tc>
          <w:tcPr>
            <w:tcW w:w="742"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1431"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PERTE в стратегически области, определени в плана </w:t>
            </w:r>
          </w:p>
        </w:tc>
        <w:tc>
          <w:tcPr>
            <w:tcW w:w="1179"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Одобрение от Министерския съвет</w:t>
            </w:r>
          </w:p>
        </w:tc>
        <w:tc>
          <w:tcPr>
            <w:tcW w:w="810"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630"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cs="Times New Roman"/>
                <w:noProof/>
                <w:sz w:val="18"/>
                <w:szCs w:val="18"/>
                <w:lang w:val="en-IE" w:eastAsia="en-GB"/>
              </w:rPr>
            </w:pPr>
          </w:p>
        </w:tc>
        <w:tc>
          <w:tcPr>
            <w:tcW w:w="360"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cs="Times New Roman"/>
                <w:noProof/>
                <w:sz w:val="18"/>
                <w:szCs w:val="18"/>
                <w:lang w:val="en-IE" w:eastAsia="en-GB"/>
              </w:rPr>
            </w:pPr>
          </w:p>
        </w:tc>
        <w:tc>
          <w:tcPr>
            <w:tcW w:w="270"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673"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2022</w:t>
            </w:r>
          </w:p>
        </w:tc>
        <w:tc>
          <w:tcPr>
            <w:tcW w:w="7542"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Одобряване от Министерския съвет на най-малко два транша и общо отпуснати средства в размер на най-малко 400 000 000 EUR от бюджета за всяка от тях, в други стратегически области като хранително-вкусовата промишленост, здравеопазването, аеронавтиката и военноморския сектор и промишлените сектори, свързани с възобновяемите енергийни източници, както и с капацитета за проектиране и производство на процесори и полупроводникови технологии. Решението за одобрение на PERTE съдържа подробни критерии за подбор, за да се гарантира съответствие с техническите насоки „Ненанасяне на значителни вреди“ (2021/C58/01) чрез използването на списък за изключване и изискването за съответствие със съответното законодателство на ЕС и национално законодателство в областта на околната среда. Освен това критериите за подбор отразяват изискванията на приложимите области на интервенция за целите във връзка с изменението на климата в съответствие с приложение VI към Регламент (ЕС) 2021/241 на Европейския парламент и на Съвета от 12 февруари 2021 г. за създаване на Механизъм за възстановяване и устойчивост. </w:t>
            </w:r>
          </w:p>
        </w:tc>
      </w:tr>
      <w:tr>
        <w:trPr>
          <w:trHeight w:val="309"/>
        </w:trPr>
        <w:tc>
          <w:tcPr>
            <w:tcW w:w="709"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184</w:t>
            </w:r>
          </w:p>
        </w:tc>
        <w:tc>
          <w:tcPr>
            <w:tcW w:w="851"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C12.I2</w:t>
            </w:r>
          </w:p>
        </w:tc>
        <w:tc>
          <w:tcPr>
            <w:tcW w:w="742"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w:t>
            </w:r>
          </w:p>
        </w:tc>
        <w:tc>
          <w:tcPr>
            <w:tcW w:w="1431"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Иновативни проекти за трансформация на промишлеността по отношение на енергийната ефективност, устойчивостта и цифровизацията </w:t>
            </w:r>
          </w:p>
        </w:tc>
        <w:tc>
          <w:tcPr>
            <w:tcW w:w="1179"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w:t>
            </w:r>
          </w:p>
        </w:tc>
        <w:tc>
          <w:tcPr>
            <w:tcW w:w="810"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Номер</w:t>
            </w:r>
          </w:p>
        </w:tc>
        <w:tc>
          <w:tcPr>
            <w:tcW w:w="630"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0</w:t>
            </w:r>
          </w:p>
        </w:tc>
        <w:tc>
          <w:tcPr>
            <w:tcW w:w="360"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78</w:t>
            </w:r>
          </w:p>
        </w:tc>
        <w:tc>
          <w:tcPr>
            <w:tcW w:w="270"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673"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2022</w:t>
            </w:r>
          </w:p>
        </w:tc>
        <w:tc>
          <w:tcPr>
            <w:tcW w:w="7542"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Предоставяне на най-малко 1 200 000 000 EUR от министъра на промишлеността на най-малко 78 иновативни проекта, включително тези, свързани с одобрени </w:t>
            </w:r>
            <w:r>
              <w:rPr>
                <w:rFonts w:ascii="Times New Roman" w:hAnsi="Times New Roman"/>
                <w:noProof/>
                <w:color w:val="000000"/>
                <w:sz w:val="18"/>
                <w:szCs w:val="18"/>
                <w:lang w:val="en-US"/>
              </w:rPr>
              <w:t>PERTEs</w:t>
            </w:r>
            <w:r>
              <w:rPr>
                <w:rFonts w:ascii="Times New Roman" w:hAnsi="Times New Roman"/>
                <w:noProof/>
                <w:color w:val="000000"/>
                <w:sz w:val="18"/>
                <w:szCs w:val="18"/>
              </w:rPr>
              <w:t xml:space="preserve"> (най-малко 3), които включват съществена трансформация на промишлеността по отношение на енергийната ефективност, устойчивостта и цифровата трансформация. Подбор на проекти след покана, публикувана в ОВ, и въз основа на критерии за подбор за съответствие с техническите насоки „Ненанасяне на значителни вреди“ (2021/C58/01) чрез използване на списък за изключване и изискване за съответствие със съответното законодателство на ЕС и национално законодателство в областта на околната среда. Освен това критериите за подбор отразяват изискванията на приложимите области на интервенция за целите във връзка с изменението на климата в съответствие с приложение VI към Регламент (ЕС) 2021/241 на Европейския парламент и на Съвета от 12 февруари 2021 г. за създаване на Механизъм за възстановяване и устойчивост. </w:t>
            </w:r>
          </w:p>
        </w:tc>
      </w:tr>
      <w:tr>
        <w:trPr>
          <w:trHeight w:val="309"/>
        </w:trPr>
        <w:tc>
          <w:tcPr>
            <w:tcW w:w="709"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185</w:t>
            </w:r>
          </w:p>
        </w:tc>
        <w:tc>
          <w:tcPr>
            <w:tcW w:w="851"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C12.I2</w:t>
            </w:r>
          </w:p>
        </w:tc>
        <w:tc>
          <w:tcPr>
            <w:tcW w:w="742"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w:t>
            </w:r>
          </w:p>
        </w:tc>
        <w:tc>
          <w:tcPr>
            <w:tcW w:w="1431"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Изпълнение на бюджета на PERTE и иновативни проекти за трансформация на промишлеността </w:t>
            </w:r>
          </w:p>
        </w:tc>
        <w:tc>
          <w:tcPr>
            <w:tcW w:w="1179"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w:t>
            </w:r>
          </w:p>
        </w:tc>
        <w:tc>
          <w:tcPr>
            <w:tcW w:w="810"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EUR  </w:t>
            </w:r>
          </w:p>
        </w:tc>
        <w:tc>
          <w:tcPr>
            <w:tcW w:w="630"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0</w:t>
            </w:r>
          </w:p>
        </w:tc>
        <w:tc>
          <w:tcPr>
            <w:tcW w:w="360"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2 531 500 000</w:t>
            </w:r>
          </w:p>
        </w:tc>
        <w:tc>
          <w:tcPr>
            <w:tcW w:w="270"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673"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2024</w:t>
            </w:r>
          </w:p>
        </w:tc>
        <w:tc>
          <w:tcPr>
            <w:tcW w:w="7542"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Изпълнение на бюджета в размер на най-малко 2 531 500 000 EUR, мобилизирани в 210 иновативни проекта, включително свързаните с одобрени </w:t>
            </w:r>
            <w:r>
              <w:rPr>
                <w:rFonts w:ascii="Times New Roman" w:hAnsi="Times New Roman"/>
                <w:noProof/>
                <w:color w:val="000000"/>
                <w:sz w:val="18"/>
                <w:szCs w:val="18"/>
                <w:lang w:val="en-US"/>
              </w:rPr>
              <w:t>PERTEs</w:t>
            </w:r>
            <w:r>
              <w:rPr>
                <w:rFonts w:ascii="Times New Roman" w:hAnsi="Times New Roman"/>
                <w:noProof/>
                <w:color w:val="000000"/>
                <w:sz w:val="18"/>
                <w:szCs w:val="18"/>
              </w:rPr>
              <w:t xml:space="preserve"> (най-малко 3), които включват реална трансформация на промишлеността по отношение на енергийната ефективност, устойчивостта и цифровата трансформация, в съответствие с техническите насоки „Ненанасяне на значителни вреди“ (2021/C58/01) чрез използването на списък за изключване и изискването за спазване на съответното законодателство на ЕС и националното законодателство в областта на околната среда. Критериите за подбор гарантират, че най-малко 455 000 000 EUR допринасят за постигане на целите във връзка с изменението на климата със 100 % коефициент в областта на климата и най-малко 1 500 000 EUR с коефициент в областта на климата от 40 % в съответствие с приложение VI към Регламент (ЕС) 2021/241 на Европейския парламент и на Съвета от 12 февруари 2021 г. за създаване на Механизъм за възстановяване и устойчивост. Като алтернатива, ако е добре обосновано с обяснение на причините, поради които алтернативният подход може да не е осъществим, критериите за подбор гарантират, че най-малко 2 531 500 000 EUR допринасят за постигане на целите във връзка с изменението на климата със среден коефициент в областта на климата от 40 %, в съответствие с приложение VI към Регламент (ЕС) 2021/241 на Европейския парламент и на Съвета от 12 февруари 2021 г. за създаване на Механизъм за възстановяване и устойчивост. Най-малко 3 800 000 000 EUR частни инвестиции се мобилизират със средства от Механизма за възстановяване и устойчивост, а мултиплициращият ефект от допълнителното финансиране на тези фондове върху частните инвестиции е сходен до датата на етапната цел, също в съответствие с техническите насоки „Ненанасяне на значителни вреди“ (2021/C58/01) чрез използването на списък за изключване и изискването за спазване на съответното законодателство на ЕС и националното законодателство в областта на околната среда. Тази цел не се счита за изпълнена, в случай че някоя от мерките, за които е заделен бюджет, представлява държавна помощ в съответствие с член 107 от ДФЕС, изисква се уведомяване на Комисията и не е получила одобрение от Комисията до 31 декември 2023 г.</w:t>
            </w:r>
          </w:p>
        </w:tc>
      </w:tr>
      <w:tr>
        <w:trPr>
          <w:trHeight w:val="309"/>
        </w:trPr>
        <w:tc>
          <w:tcPr>
            <w:tcW w:w="709"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186</w:t>
            </w:r>
          </w:p>
        </w:tc>
        <w:tc>
          <w:tcPr>
            <w:tcW w:w="851"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C12.I2</w:t>
            </w:r>
          </w:p>
        </w:tc>
        <w:tc>
          <w:tcPr>
            <w:tcW w:w="742"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w:t>
            </w:r>
          </w:p>
        </w:tc>
        <w:tc>
          <w:tcPr>
            <w:tcW w:w="1431"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Завършване на PERTE и иновативни проекти за трансформация на промишлеността</w:t>
            </w:r>
          </w:p>
        </w:tc>
        <w:tc>
          <w:tcPr>
            <w:tcW w:w="1179"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w:t>
            </w:r>
          </w:p>
        </w:tc>
        <w:tc>
          <w:tcPr>
            <w:tcW w:w="810"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Номер </w:t>
            </w:r>
          </w:p>
        </w:tc>
        <w:tc>
          <w:tcPr>
            <w:tcW w:w="630"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0</w:t>
            </w:r>
          </w:p>
        </w:tc>
        <w:tc>
          <w:tcPr>
            <w:tcW w:w="360"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3</w:t>
            </w:r>
          </w:p>
        </w:tc>
        <w:tc>
          <w:tcPr>
            <w:tcW w:w="270"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T2</w:t>
            </w:r>
          </w:p>
        </w:tc>
        <w:tc>
          <w:tcPr>
            <w:tcW w:w="673"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2026</w:t>
            </w:r>
          </w:p>
        </w:tc>
        <w:tc>
          <w:tcPr>
            <w:tcW w:w="7542"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Завършване на 210 иновативни проекта, включително свързаните с одобрени </w:t>
            </w:r>
            <w:r>
              <w:rPr>
                <w:rFonts w:ascii="Times New Roman" w:hAnsi="Times New Roman"/>
                <w:noProof/>
                <w:color w:val="000000"/>
                <w:sz w:val="18"/>
                <w:szCs w:val="18"/>
                <w:lang w:val="en-US"/>
              </w:rPr>
              <w:t>PERTEs</w:t>
            </w:r>
            <w:r>
              <w:rPr>
                <w:rFonts w:ascii="Times New Roman" w:hAnsi="Times New Roman"/>
                <w:noProof/>
                <w:color w:val="000000"/>
                <w:sz w:val="18"/>
                <w:szCs w:val="18"/>
              </w:rPr>
              <w:t xml:space="preserve"> (най-малко три), които включват реална трансформация на промишлеността по отношение на енергийната ефективност, устойчивостта и цифровата трансформация, в съответствие с техническите насоки „Ненанасяне на значителни вреди“ (2021/C58/01) чрез използване на списък за изключване и изискване за спазване на съответното законодателство на ЕС и националното законодателство в областта на околната среда.</w:t>
            </w:r>
          </w:p>
        </w:tc>
      </w:tr>
      <w:tr>
        <w:trPr>
          <w:trHeight w:val="309"/>
        </w:trPr>
        <w:tc>
          <w:tcPr>
            <w:tcW w:w="709"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187</w:t>
            </w:r>
          </w:p>
        </w:tc>
        <w:tc>
          <w:tcPr>
            <w:tcW w:w="851"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C12.I3</w:t>
            </w:r>
          </w:p>
        </w:tc>
        <w:tc>
          <w:tcPr>
            <w:tcW w:w="742"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w:t>
            </w:r>
          </w:p>
        </w:tc>
        <w:tc>
          <w:tcPr>
            <w:tcW w:w="1431"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Приключване на проекти в подкрепа на прилагането на законодателството в областта на отпадъците и насърчаване на кръговата икономика в предприятието</w:t>
            </w:r>
          </w:p>
        </w:tc>
        <w:tc>
          <w:tcPr>
            <w:tcW w:w="1179"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w:t>
            </w:r>
          </w:p>
        </w:tc>
        <w:tc>
          <w:tcPr>
            <w:tcW w:w="810"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Номер</w:t>
            </w:r>
          </w:p>
        </w:tc>
        <w:tc>
          <w:tcPr>
            <w:tcW w:w="630"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0</w:t>
            </w:r>
          </w:p>
        </w:tc>
        <w:tc>
          <w:tcPr>
            <w:tcW w:w="360"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30</w:t>
            </w:r>
          </w:p>
        </w:tc>
        <w:tc>
          <w:tcPr>
            <w:tcW w:w="270"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673"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2023</w:t>
            </w:r>
          </w:p>
        </w:tc>
        <w:tc>
          <w:tcPr>
            <w:tcW w:w="7542"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Завършване на най-малко 30 проекта, одобрени от MITERD, за подпомагане на прилагането на законодателството в областта на отпадъците и насърчаване на кръговата икономика в предприятието в съответствие с техническите насоки „Ненанасяне на значителни вреди“ (2021/C58/01) чрез използване на списък за изключване и изискване за спазване на съответното законодателство на ЕС и националното законодателство в областта на околната среда. Действията по тази инвестиция, свързани със заводите за механично-биологично третиране, се осъществяват само в съществуващи заводи за механично-биологично третиране, когато действията по тази инвестиция имат за цел повишаване на ресурсната ефективност или модернизиране на дейностите по рециклиране на разделени отпадъци за компостиране на биоотпадъци и анаеробно разграждане на биоотпадъци, при условие че тези действия по тази инвестиция не водят до увеличаване на капацитета на предприятията за преработка на отпадъци или до удължаване на жизнения цикъл на инсталациите, проверени на равнище инсталации. </w:t>
            </w:r>
          </w:p>
        </w:tc>
      </w:tr>
      <w:tr>
        <w:trPr>
          <w:trHeight w:val="309"/>
        </w:trPr>
        <w:tc>
          <w:tcPr>
            <w:tcW w:w="709"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188</w:t>
            </w:r>
          </w:p>
        </w:tc>
        <w:tc>
          <w:tcPr>
            <w:tcW w:w="851"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C12.I3</w:t>
            </w:r>
          </w:p>
        </w:tc>
        <w:tc>
          <w:tcPr>
            <w:tcW w:w="742"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T</w:t>
            </w:r>
          </w:p>
        </w:tc>
        <w:tc>
          <w:tcPr>
            <w:tcW w:w="1431"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szCs w:val="18"/>
              </w:rPr>
              <w:t>Увеличаване на разделно събираните битови отпадъци</w:t>
            </w:r>
          </w:p>
        </w:tc>
        <w:tc>
          <w:tcPr>
            <w:tcW w:w="1179"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w:t>
            </w:r>
          </w:p>
        </w:tc>
        <w:tc>
          <w:tcPr>
            <w:tcW w:w="810"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pacing w:val="-6"/>
                <w:sz w:val="18"/>
                <w:szCs w:val="18"/>
              </w:rPr>
              <w:t xml:space="preserve">% разделно събирани </w:t>
            </w:r>
            <w:r>
              <w:rPr>
                <w:rFonts w:ascii="Times New Roman" w:hAnsi="Times New Roman"/>
                <w:noProof/>
                <w:color w:val="000000"/>
                <w:sz w:val="18"/>
                <w:szCs w:val="18"/>
              </w:rPr>
              <w:t>битови отпадъци</w:t>
            </w:r>
          </w:p>
        </w:tc>
        <w:tc>
          <w:tcPr>
            <w:tcW w:w="630"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21</w:t>
            </w:r>
          </w:p>
        </w:tc>
        <w:tc>
          <w:tcPr>
            <w:tcW w:w="360"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30</w:t>
            </w:r>
          </w:p>
        </w:tc>
        <w:tc>
          <w:tcPr>
            <w:tcW w:w="270"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T2</w:t>
            </w:r>
          </w:p>
        </w:tc>
        <w:tc>
          <w:tcPr>
            <w:tcW w:w="673"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2026</w:t>
            </w:r>
          </w:p>
        </w:tc>
        <w:tc>
          <w:tcPr>
            <w:tcW w:w="7542"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szCs w:val="18"/>
              </w:rPr>
              <w:t>Постигане на минимум 30 % разделно събирани битови отпадъци като дял от общите битови отпадъци, генерирани през 2024 г. (данните от 2024 г. ще бъдат налични през 2026 г.) в съответствие с Директива 2008/98/ЕО. „разделно събиране“ е събирането, при което поток от отпадъци се разделя по вид и естество на отпадъците с оглед улесняване на специфична обработка; Данните се събират в съответствие с разбивката по същество съгласно приложение V към Решение за изпълнение 019/1004/ЕО на Комисията. (Базово равнище: 31 декември 2018 г.</w:t>
            </w:r>
          </w:p>
        </w:tc>
      </w:tr>
    </w:tbl>
    <w:p>
      <w:pPr>
        <w:spacing w:before="120" w:after="120" w:line="240" w:lineRule="auto"/>
        <w:ind w:left="709"/>
        <w:jc w:val="both"/>
        <w:rPr>
          <w:rFonts w:ascii="Times New Roman" w:hAnsi="Times New Roman" w:cs="Times New Roman"/>
          <w:noProof/>
          <w:sz w:val="24"/>
          <w:lang w:val="en-IE"/>
        </w:rPr>
        <w:sectPr>
          <w:headerReference w:type="even" r:id="rId157"/>
          <w:headerReference w:type="default" r:id="rId158"/>
          <w:footerReference w:type="even" r:id="rId159"/>
          <w:footerReference w:type="default" r:id="rId160"/>
          <w:headerReference w:type="first" r:id="rId161"/>
          <w:footerReference w:type="first" r:id="rId162"/>
          <w:pgSz w:w="16839" w:h="11907" w:orient="landscape"/>
          <w:pgMar w:top="1417" w:right="1134" w:bottom="1417" w:left="1134" w:header="709" w:footer="709" w:gutter="0"/>
          <w:cols w:space="720"/>
          <w:docGrid w:linePitch="360"/>
        </w:sectPr>
      </w:pPr>
    </w:p>
    <w:p>
      <w:pPr>
        <w:pStyle w:val="Heading1"/>
        <w:rPr>
          <w:noProof/>
        </w:rPr>
      </w:pPr>
      <w:r>
        <w:rPr>
          <w:noProof/>
        </w:rPr>
        <w:t>М. КОМПОНЕНТ 13: Подкрепа за МСП</w:t>
      </w:r>
    </w:p>
    <w:p>
      <w:pPr>
        <w:pStyle w:val="Text1"/>
        <w:ind w:left="0"/>
        <w:rPr>
          <w:noProof/>
        </w:rPr>
      </w:pPr>
      <w:r>
        <w:rPr>
          <w:noProof/>
        </w:rPr>
        <w:t xml:space="preserve">Малките и средните предприятия (МСП) играят ключова роля в икономиката на ЕС и на Испания, по-специално когато МСП имат по-голям принос към националния БВП и където средният размер на предприятията е по-малък в сравнение със средния за ЕС. </w:t>
      </w:r>
    </w:p>
    <w:p>
      <w:pPr>
        <w:pStyle w:val="Text1"/>
        <w:ind w:left="0"/>
        <w:rPr>
          <w:noProof/>
        </w:rPr>
      </w:pPr>
      <w:r>
        <w:rPr>
          <w:noProof/>
        </w:rPr>
        <w:t xml:space="preserve">Този компонент на </w:t>
      </w:r>
      <w:r>
        <w:rPr>
          <w:rStyle w:val="IntenseEmphasis"/>
          <w:i w:val="0"/>
          <w:noProof/>
          <w:color w:val="000000" w:themeColor="text1"/>
        </w:rPr>
        <w:t>испанския план за възстановяване и устойчивост</w:t>
      </w:r>
      <w:r>
        <w:rPr>
          <w:noProof/>
        </w:rPr>
        <w:t xml:space="preserve"> е насочен към преодоляване на предизвикателствата, пред които са изправени малките и средните предприятия (МСП) (включително самостоятелно заетите лица) с цел повишаване на конкурентоспособността на испанската икономика и насърчаване на растежа и заетостта. Става въпрос за следните предизвикателства: трудният достъп до финансиране за предприемачеството, стопанския растеж и иновациите; липсата на цифрови умения и липсата на възприемане на цифрови технологии, които възпрепятстват производителността и конкурентоспособността на МСП; малкия размер на предприятията, което възпрепятства използването на икономии от мащаба и интернационализацията; както и голямата уязвимост към външни сътресения и ниските икономии от мащаба, които възпрепятстват инвестициите и иновациите.</w:t>
      </w:r>
    </w:p>
    <w:p>
      <w:pPr>
        <w:pStyle w:val="Text1"/>
        <w:ind w:left="0"/>
        <w:rPr>
          <w:noProof/>
        </w:rPr>
      </w:pPr>
      <w:r>
        <w:rPr>
          <w:noProof/>
        </w:rPr>
        <w:t>Целите на този компонент са да се въведат реформи и инвестиции, насочени към улесняване на създаването на предприятия, растежа и преструктурирането на предприятията, подобряване на бизнес климата (по-специално чрез укрепване на функционирането на испанския вътрешен пазар), както и допълнително стимулиране на важните процеси на повишаване на производителността чрез цифровизация, иновации и интернационализация. Този компонент е съсредоточен в значителна степен върху цифровизацията с хоризонтален подход за осигуряване на основен пакет за цифровизация на значителен процент от МСП и с вертикален подход за насърчаване на цифровизацията на процесите и технологичните иновации в някои МСП.</w:t>
      </w:r>
    </w:p>
    <w:p>
      <w:pPr>
        <w:pStyle w:val="Text1"/>
        <w:ind w:left="0"/>
        <w:rPr>
          <w:noProof/>
        </w:rPr>
      </w:pPr>
      <w:r>
        <w:rPr>
          <w:noProof/>
        </w:rPr>
        <w:t>Този компонент отчасти се отнася до специфичните за всяка държава препоръки относно напредъка в прилагането на Закона за единството на пазара (специфична препоръка за отделните държави 4 2019 г.) и относно гарантирането на ефективното прилагане на мерките, насочени към осигуряване на ликвидност за МСП и самостоятелно заетите лица, по-специално чрез избягване на просрочени плащания (специфичната за държавата препоръка 3 2020 г.). В него се разглеждат и специфичните за всяка държава препоръки за насочване на инвестициите към цифровия преход (специфичната за държавата препоръка 3 2020 г.) и за подобряване на достъпа до цифрово обучение (специфичната за държавата препоръка 2 2020 г.).</w:t>
      </w:r>
    </w:p>
    <w:p>
      <w:pPr>
        <w:pStyle w:val="Text1"/>
        <w:ind w:left="0"/>
        <w:rPr>
          <w:noProof/>
        </w:rPr>
      </w:pPr>
      <w:r>
        <w:rPr>
          <w:noProof/>
          <w:color w:val="000000" w:themeColor="text1"/>
        </w:rPr>
        <w:t>Очаква се, че нито една мярка в този компонент не вреди в значителна степен на екологичните цели по смисъла на член 17 от Регламент (ЕС) 2020/852, като се вземат предвид описанието на мерките и стъпките за смекчаване на последиците, определени в плана за възстановяване и устойчивост в съответствие с Техническите насоки за спазването на „принципа за ненанасяне на съществена вреда“ (2021/C58/01).</w:t>
      </w:r>
      <w:r>
        <w:rPr>
          <w:noProof/>
        </w:rPr>
        <w:t xml:space="preserve"> </w:t>
      </w:r>
    </w:p>
    <w:p>
      <w:pPr>
        <w:spacing w:before="120" w:after="120" w:line="240" w:lineRule="auto"/>
        <w:ind w:left="709"/>
        <w:jc w:val="both"/>
        <w:rPr>
          <w:rFonts w:ascii="Times New Roman" w:hAnsi="Times New Roman" w:cs="Times New Roman"/>
          <w:b/>
          <w:i/>
          <w:noProof/>
          <w:color w:val="4F81BD" w:themeColor="accent1"/>
          <w:sz w:val="24"/>
        </w:rPr>
      </w:pPr>
      <w:r>
        <w:rPr>
          <w:rFonts w:ascii="Times New Roman" w:hAnsi="Times New Roman"/>
          <w:b/>
          <w:bCs/>
          <w:noProof/>
          <w:sz w:val="24"/>
          <w:u w:val="single"/>
        </w:rPr>
        <w:t xml:space="preserve">M.1. </w:t>
      </w:r>
      <w:r>
        <w:rPr>
          <w:rFonts w:ascii="Times New Roman" w:hAnsi="Times New Roman"/>
          <w:b/>
          <w:noProof/>
          <w:sz w:val="24"/>
          <w:u w:val="single"/>
        </w:rPr>
        <w:tab/>
      </w:r>
      <w:r>
        <w:rPr>
          <w:rFonts w:ascii="Times New Roman" w:hAnsi="Times New Roman"/>
          <w:b/>
          <w:bCs/>
          <w:noProof/>
          <w:sz w:val="24"/>
          <w:u w:val="single"/>
        </w:rPr>
        <w:t>Описание на реформите и инвестициите за безвъзмездна финансова подкрепа</w:t>
      </w:r>
    </w:p>
    <w:p>
      <w:pPr>
        <w:pStyle w:val="Text1"/>
        <w:ind w:left="0"/>
        <w:rPr>
          <w:noProof/>
          <w:u w:val="single"/>
        </w:rPr>
      </w:pPr>
      <w:r>
        <w:rPr>
          <w:noProof/>
          <w:u w:val="single"/>
        </w:rPr>
        <w:t>Реформа 1 (C13.R1) – Подобряване на регулирането на бизнеса и климата</w:t>
      </w:r>
    </w:p>
    <w:p>
      <w:pPr>
        <w:pStyle w:val="Text1"/>
        <w:ind w:left="0"/>
        <w:rPr>
          <w:noProof/>
        </w:rPr>
      </w:pPr>
      <w:r>
        <w:rPr>
          <w:noProof/>
        </w:rPr>
        <w:t xml:space="preserve">Целта на реформата е да се подобри рамката, в която се осъществява икономическата дейност, като се гарантира по-добро регулиране и бизнес климат, който улеснява създаването и растежа на предприятия и тяхното преструктуриране, ако е необходимо, чрез приемането на редица мерки. </w:t>
      </w:r>
    </w:p>
    <w:p>
      <w:pPr>
        <w:pStyle w:val="Text1"/>
        <w:ind w:left="0"/>
        <w:rPr>
          <w:noProof/>
        </w:rPr>
      </w:pPr>
      <w:r>
        <w:rPr>
          <w:noProof/>
        </w:rPr>
        <w:t>Реформата се състои от:</w:t>
      </w:r>
    </w:p>
    <w:p>
      <w:pPr>
        <w:pStyle w:val="Text1"/>
        <w:numPr>
          <w:ilvl w:val="0"/>
          <w:numId w:val="67"/>
        </w:numPr>
        <w:rPr>
          <w:noProof/>
        </w:rPr>
      </w:pPr>
      <w:r>
        <w:rPr>
          <w:noProof/>
        </w:rPr>
        <w:t>Приемане на Закона за създаване и растеж на предприятия. Целта на това законодателство е:</w:t>
      </w:r>
    </w:p>
    <w:p>
      <w:pPr>
        <w:pStyle w:val="Text1"/>
        <w:numPr>
          <w:ilvl w:val="1"/>
          <w:numId w:val="67"/>
        </w:numPr>
        <w:rPr>
          <w:noProof/>
        </w:rPr>
      </w:pPr>
      <w:r>
        <w:rPr>
          <w:noProof/>
        </w:rPr>
        <w:t xml:space="preserve">Опростяване на процедурите за създаване на предприятие. Това се постига чрез намаляване на минималното капиталово изискване за създаване на дружество и чрез укрепване на платформите за колективно финансиране и други публични инструменти за финансиране; </w:t>
      </w:r>
    </w:p>
    <w:p>
      <w:pPr>
        <w:pStyle w:val="Text1"/>
        <w:numPr>
          <w:ilvl w:val="1"/>
          <w:numId w:val="67"/>
        </w:numPr>
        <w:rPr>
          <w:noProof/>
        </w:rPr>
      </w:pPr>
      <w:r>
        <w:rPr>
          <w:noProof/>
        </w:rPr>
        <w:t>Правни мерки за насърчаване на култура на ранно плащане. Този закон подобрява ефективността на прилагането на Директива 2011/7 относно борбата със забавяне на плащане по търговските сделки. Очаква се законът да намали средните срокове за плащане по търговските сделки. Това би спомогнало за справяне с предизвикателствата, свързани с ликвидността, пред които са изправени МСП кредитори, които не са платени своевременно, с положителни странични ефекти върху техните дейности и растеж. Примерите за мерки, които трябва да бъдат приложени за насърчаване на култура на ранно плащане, включват насоки за публичност и прозрачност на сроковете за плащане, най-добри бизнес практики и механизми за по-добро правоприлагане, като например система за извънсъдебно разрешаване на спорове;</w:t>
      </w:r>
    </w:p>
    <w:p>
      <w:pPr>
        <w:pStyle w:val="Text1"/>
        <w:numPr>
          <w:ilvl w:val="1"/>
          <w:numId w:val="67"/>
        </w:numPr>
        <w:rPr>
          <w:noProof/>
        </w:rPr>
      </w:pPr>
      <w:r>
        <w:rPr>
          <w:noProof/>
        </w:rPr>
        <w:t>Да се изменят някои разпоредби на Закона за единството на пазара, за да се внесе допълнителна яснота в областите, в които неяснотите са довели до проблеми с прилагането. Целта на Закона за единството на пазара е да се премахнат ненужните, непропорционални или дискриминационни пречки пред достъпа до и упражняването на икономически дейности, както и пред свободата на установяване на цялата територия. Целта на тази реформа е също така да се повиши ефикасността и прозрачността на механизмите, предвидени в Закона за единството на пазара, за да се защитят операторите, чиято дейност е засегната от пречки, наложени от публичната администрация. Освен това реформата ще засили сътрудничеството с цел насърчаване на по-доброто регулиране в цялата страна;</w:t>
      </w:r>
    </w:p>
    <w:p>
      <w:pPr>
        <w:pStyle w:val="Text1"/>
        <w:numPr>
          <w:ilvl w:val="0"/>
          <w:numId w:val="67"/>
        </w:numPr>
        <w:rPr>
          <w:noProof/>
        </w:rPr>
      </w:pPr>
      <w:r>
        <w:rPr>
          <w:noProof/>
        </w:rPr>
        <w:t>Създава се нова секторна конференция за подобряване на регулирането и бизнес климата. Нейната цел е да улесни правилното прилагане на принципите на доброто регулиране от всички публични администрации и да осигури оптимална координация между различните администрации, включително по отношение на мерките, съпътстващи възстановяването. Секторната конференция също така проследява работата в рамките на други секторни конференции, които дават възможност за засилена координация, наблюдение и насърчаване на по-доброто регулиране, с хоризонтален и секторен фокус;</w:t>
      </w:r>
    </w:p>
    <w:p>
      <w:pPr>
        <w:pStyle w:val="Text1"/>
        <w:numPr>
          <w:ilvl w:val="0"/>
          <w:numId w:val="67"/>
        </w:numPr>
        <w:rPr>
          <w:noProof/>
        </w:rPr>
      </w:pPr>
      <w:r>
        <w:rPr>
          <w:noProof/>
        </w:rPr>
        <w:t>Реформа на законодателството в областта на несъстоятелността във връзка с транспонирането на Директива (ЕС) 2019/1023 относно рамки за превантивно преструктуриране, опрощаване на задължения и забрана за осъществяване на дейност, както и относно мерки за повишаване на ефективността на производствата по несъстоятелност, и за изменение на Директива (ЕС) 2017/1132 (Директивата относно преструктурирането и несъстоятелността). Реформата включва създаването на по-ефикасна процедура за предоставяне на втори шанс за физически лица, позволяваща опрощаване на дългове без предварителна ликвидация на активите на неплатежоспособната страна. Освен това плановете за преструктуриране, изисквани съгласно Директивата за несъстоятелността (ЕС) 2019/1023, се въвеждат като нов инструмент, предхождащ производството по несъстоятелност, който подобрява ефективността на приложимите понастоящем инструменти, предхождащи несъстоятелността, с цел предотвратяване на несъстоятелност и последваща несъстоятелност. Въвежда се и специална процедура за микро- и малки и средни предприятия, която се обработва изцяло по електронен път, така че да се намалят продължителността и разходите за процеса.</w:t>
      </w:r>
    </w:p>
    <w:p>
      <w:pPr>
        <w:pStyle w:val="Text1"/>
        <w:numPr>
          <w:ilvl w:val="0"/>
          <w:numId w:val="67"/>
        </w:numPr>
        <w:rPr>
          <w:noProof/>
        </w:rPr>
      </w:pPr>
      <w:r>
        <w:rPr>
          <w:noProof/>
        </w:rPr>
        <w:t xml:space="preserve">Накрая, тази реформа се състои и в приемането на закон за изменение на три законодателни акта, по-специално Закон 34/2006, свързани с професионалната практика на адвокатите и на доверените адвокати . Новата система предоставя единен достъп до професиите „адвокат“ и „юрист“, тъй като една и съща квалификация дава достъп до упражняването и на двете професии. Мултидисциплинарните професионални сдружения имат право да предлагат съвместно услуги за правна защита и представителство в съда. Тарифната система, приложима за услугите на довереника , също се изменя: определят се максимални такси, но не и минимални, за да се гарантира, че получателите на услуги могат да имат достъп до услуги, предлагани на конкурентни цени. С тази реформа Испания гарантира, че законодателството в тази област е приведено в съответствие с членове 15, 16 и 25 от Директива 2006/123/ЕО на Европейския парламент и на Съвета относно услугите на вътрешния пазар и с членове 49 и 56 от Договора за функционирането на Европейския съюз. Що се отнася до тази реформа, през септември 2020 г. Министерският съвет одобри посочените по-горе проекти за законодателни предложения. </w:t>
      </w:r>
    </w:p>
    <w:p>
      <w:pPr>
        <w:pStyle w:val="Text1"/>
        <w:ind w:left="0"/>
        <w:rPr>
          <w:noProof/>
        </w:rPr>
      </w:pPr>
      <w:r>
        <w:rPr>
          <w:noProof/>
        </w:rPr>
        <w:t xml:space="preserve">Тази реформа ще бъде допълнена и от приемането на закон за транспониране на Директивата за цифровизацията (2019/1151), с който се насърчават иновациите и цифровизацията както в администрацията, така и в бизнес средата, и се предвижда цифровизация на целия процес на създаване на дружество. Този закон е един от регулаторните инструменти, необходими за прилагането на компонент 11 (Реформа C11.R2 за насърчаване на върховенството на закона и ефективността на публичната служба на правосъдието). </w:t>
      </w:r>
    </w:p>
    <w:p>
      <w:pPr>
        <w:autoSpaceDE w:val="0"/>
        <w:autoSpaceDN w:val="0"/>
        <w:spacing w:before="40" w:after="40" w:line="240" w:lineRule="auto"/>
        <w:jc w:val="both"/>
        <w:rPr>
          <w:rFonts w:ascii="Times New Roman" w:hAnsi="Times New Roman" w:cs="Times New Roman"/>
          <w:noProof/>
        </w:rPr>
      </w:pPr>
      <w:r>
        <w:rPr>
          <w:rFonts w:ascii="Times New Roman" w:hAnsi="Times New Roman"/>
          <w:noProof/>
          <w:sz w:val="24"/>
          <w:szCs w:val="24"/>
        </w:rPr>
        <w:t>Изпълнението на мярката приключва до 31 декември 2022 г.</w:t>
      </w:r>
    </w:p>
    <w:p>
      <w:pPr>
        <w:pStyle w:val="Text1"/>
        <w:keepNext/>
        <w:ind w:left="0"/>
        <w:rPr>
          <w:noProof/>
          <w:u w:val="single"/>
        </w:rPr>
      </w:pPr>
      <w:r>
        <w:rPr>
          <w:noProof/>
          <w:u w:val="single"/>
        </w:rPr>
        <w:t>Реформа 2 (C13.R2) – стратегия на Испания „Предприемчив нация“</w:t>
      </w:r>
    </w:p>
    <w:p>
      <w:pPr>
        <w:pStyle w:val="Text1"/>
        <w:keepNext/>
        <w:ind w:left="0"/>
        <w:rPr>
          <w:noProof/>
        </w:rPr>
      </w:pPr>
      <w:r>
        <w:rPr>
          <w:noProof/>
        </w:rPr>
        <w:t>Целта на мярката е да се популяризира испанската стратегия за предприемачество. Реформата се състои в приемането на закон за стартиращите предприятия, за да се създаде благоприятна рамка за създаването и растежа на силно иновативни стартиращи предприятия, и създаването на публично-частен фонд NEXT-TECH за разрастване на стартиращи предприятия в революционни технологии.</w:t>
      </w:r>
    </w:p>
    <w:p>
      <w:pPr>
        <w:pStyle w:val="Text1"/>
        <w:ind w:left="0"/>
        <w:rPr>
          <w:noProof/>
        </w:rPr>
      </w:pPr>
      <w:r>
        <w:rPr>
          <w:noProof/>
        </w:rPr>
        <w:t>Приемането на Закон за стартиращите предприятия до края на 2022 г.: предоставяне на правно определение за стартиращи предприятия; определяне на данъчни стимули за насърчаване на тяхното създаване и за привличане на таланти; определяне на мерки за улесняване на привличането на чуждестранни инвеститори и предприемачи; и да приемат механизми за улесняване на прилагането на закона и връзката му с мерките, свързани с екосистемата на цифровите предприемачи.</w:t>
      </w:r>
    </w:p>
    <w:p>
      <w:pPr>
        <w:pStyle w:val="Text1"/>
        <w:ind w:left="0"/>
        <w:rPr>
          <w:noProof/>
        </w:rPr>
      </w:pPr>
      <w:r>
        <w:rPr>
          <w:noProof/>
        </w:rPr>
        <w:t>Изпълнението на мярката приключва до 31 декември 2022 г.</w:t>
      </w:r>
    </w:p>
    <w:p>
      <w:pPr>
        <w:pStyle w:val="Text1"/>
        <w:ind w:left="0"/>
        <w:rPr>
          <w:noProof/>
          <w:u w:val="single"/>
        </w:rPr>
      </w:pPr>
      <w:r>
        <w:rPr>
          <w:noProof/>
          <w:u w:val="single"/>
        </w:rPr>
        <w:t xml:space="preserve">Инвестиция 1 (C13.I1) – предприемачество </w:t>
      </w:r>
    </w:p>
    <w:p>
      <w:pPr>
        <w:pStyle w:val="Text1"/>
        <w:ind w:left="0"/>
        <w:rPr>
          <w:noProof/>
        </w:rPr>
      </w:pPr>
      <w:r>
        <w:rPr>
          <w:noProof/>
        </w:rPr>
        <w:t>Целта на инвестициите е да се стимулира предприемаческата екосистема, за да стане тя по-устойчива и по-конкурентоспособна, като се преодолеят предизвикателствата на екологичния и цифровия преход.</w:t>
      </w:r>
    </w:p>
    <w:p>
      <w:pPr>
        <w:pStyle w:val="Text1"/>
        <w:ind w:left="0"/>
        <w:rPr>
          <w:noProof/>
        </w:rPr>
      </w:pPr>
      <w:r>
        <w:rPr>
          <w:noProof/>
        </w:rPr>
        <w:t>Инвестицията се състои от четири основни действия:</w:t>
      </w:r>
    </w:p>
    <w:p>
      <w:pPr>
        <w:pStyle w:val="Text1"/>
        <w:ind w:left="0"/>
        <w:rPr>
          <w:noProof/>
        </w:rPr>
      </w:pPr>
      <w:r>
        <w:rPr>
          <w:noProof/>
        </w:rPr>
        <w:t xml:space="preserve">1) укрепване на предприемаческите умения, включително квалификацията и преквалификацията, и подкрепа за предприемачите в съответствие с приоритетите на ЕС за екологичния и цифровия преход. Като част от това действие най-малко 6 900 предприемачи ще се възползват от програмата за предприемачески умения, а най-малко 800 предприемачи ще бъдат подкрепени от програмата „Жените таланти“; </w:t>
      </w:r>
    </w:p>
    <w:p>
      <w:pPr>
        <w:pStyle w:val="Text1"/>
        <w:ind w:left="0"/>
        <w:rPr>
          <w:noProof/>
        </w:rPr>
      </w:pPr>
      <w:r>
        <w:rPr>
          <w:noProof/>
        </w:rPr>
        <w:t>2) осигуряване на инструменти в подкрепа на създаването и управлението на предприятия и за укрепване на МСП, включително подкрепа за най-малко 12 000 активни ползватели във виртуалната платформа ONE-National Entrepreneurship Office („ONE“), в рамките на стратегическата рамка за политиката за МСП до 2030 г., испанската стратегия за предприемачество и Програмата в областта на цифровите технологии за Европа до 2025 г.;</w:t>
      </w:r>
    </w:p>
    <w:p>
      <w:pPr>
        <w:pStyle w:val="Text1"/>
        <w:ind w:left="0"/>
        <w:rPr>
          <w:noProof/>
        </w:rPr>
      </w:pPr>
      <w:r>
        <w:rPr>
          <w:noProof/>
        </w:rPr>
        <w:t>3) разпространяване и комуникационни кампании за създаване, развитие или привличане в Испания на международни събития, насочени към иновативни дружества, и програма за привличане на талантливи жени. Това включва най-малко 20 прояви в областта на предприемачеството, разработени в рамките на програмата „Флаг“; и най-малко 260 комуникационни действия (200 медийни изяви и 60 прояви) в рамките на „Brand Spain Entrepreneurship Nation“; и</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4) Финансиране на бюджетен ред за подкрепа на предприемачеството и МСП чрез програмата за подкрепа на предприемачеството сред жените. Това включва подкрепа за най-малко 200 жени предприемачи чрез заеми с участие, отпуснати от </w:t>
      </w:r>
      <w:r>
        <w:rPr>
          <w:rFonts w:ascii="Times New Roman" w:hAnsi="Times New Roman"/>
          <w:i/>
          <w:noProof/>
          <w:sz w:val="24"/>
          <w:szCs w:val="24"/>
        </w:rPr>
        <w:t>Empresa Nacional de Innovación, S.A.</w:t>
      </w:r>
      <w:r>
        <w:rPr>
          <w:rFonts w:ascii="Times New Roman" w:hAnsi="Times New Roman"/>
          <w:noProof/>
          <w:sz w:val="24"/>
          <w:szCs w:val="24"/>
        </w:rPr>
        <w:t xml:space="preserve"> </w:t>
      </w:r>
    </w:p>
    <w:p>
      <w:pPr>
        <w:pStyle w:val="Text1"/>
        <w:ind w:left="0"/>
        <w:rPr>
          <w:noProof/>
        </w:rPr>
      </w:pPr>
      <w:r>
        <w:rPr>
          <w:noProof/>
        </w:rPr>
        <w:t xml:space="preserve">По отношение на финансовите инструменти, за да се гарантира, че мярката е в съответствие с техническите насоки „Ненанасяне на значителни вреди“ (2021/C58/01), правното споразумение между испанските органи и упълномощения субект или финансовия посредник, отговарящ за финансовия инструмент, и последващата инвестиционна политика на финансовия инструмент: </w:t>
      </w:r>
    </w:p>
    <w:p>
      <w:pPr>
        <w:pStyle w:val="Text1"/>
        <w:numPr>
          <w:ilvl w:val="0"/>
          <w:numId w:val="153"/>
        </w:numPr>
        <w:rPr>
          <w:noProof/>
        </w:rPr>
      </w:pPr>
      <w:r>
        <w:rPr>
          <w:noProof/>
        </w:rPr>
        <w:t>изисква прилагането на техническите насоки на Комисията относно проверката на устойчивостта за фонда InvestEU;</w:t>
      </w:r>
    </w:p>
    <w:p>
      <w:pPr>
        <w:pStyle w:val="Text1"/>
        <w:numPr>
          <w:ilvl w:val="0"/>
          <w:numId w:val="153"/>
        </w:numPr>
        <w:rPr>
          <w:noProof/>
        </w:rPr>
      </w:pPr>
      <w:r>
        <w:rPr>
          <w:noProof/>
        </w:rPr>
        <w:t xml:space="preserve">изключване от допустимостта на следния списък с дейности и активи: </w:t>
      </w:r>
      <w:r>
        <w:rPr>
          <w:noProof/>
          <w:lang w:val="en-US"/>
        </w:rPr>
        <w:t>i</w:t>
      </w:r>
      <w:r>
        <w:rPr>
          <w:noProof/>
        </w:rPr>
        <w:t xml:space="preserve">) дейности и активи, свързани с изкопаеми горива, включително използване надолу по веригата </w:t>
      </w:r>
      <w:r>
        <w:rPr>
          <w:noProof/>
          <w:vertAlign w:val="superscript"/>
          <w:lang w:val="en-IE"/>
        </w:rPr>
        <w:footnoteReference w:id="29"/>
      </w:r>
      <w:r>
        <w:rPr>
          <w:noProof/>
        </w:rPr>
        <w:t>; ii) дейности и активи по схемата на ЕС за търговия с емисии (СТЕ), с които се постигат прогнозираните емисии на парникови газове, които не са по-ниски от съответните референтни стойности</w:t>
      </w:r>
      <w:r>
        <w:rPr>
          <w:noProof/>
          <w:vertAlign w:val="superscript"/>
          <w:lang w:val="en-IE"/>
        </w:rPr>
        <w:footnoteReference w:id="30"/>
      </w:r>
      <w:r>
        <w:rPr>
          <w:noProof/>
        </w:rPr>
        <w:t>; iii) дейности и активи, свързани с депата за отпадъци, инсталациите за изгаряне на отпадъци</w:t>
      </w:r>
      <w:r>
        <w:rPr>
          <w:noProof/>
          <w:vertAlign w:val="superscript"/>
          <w:lang w:val="en-IE"/>
        </w:rPr>
        <w:footnoteReference w:id="31"/>
      </w:r>
      <w:r>
        <w:rPr>
          <w:noProof/>
        </w:rPr>
        <w:t xml:space="preserve"> и заводите за механично-биологично третиране</w:t>
      </w:r>
      <w:r>
        <w:rPr>
          <w:noProof/>
          <w:vertAlign w:val="superscript"/>
          <w:lang w:val="en-IE"/>
        </w:rPr>
        <w:footnoteReference w:id="32"/>
      </w:r>
      <w:r>
        <w:rPr>
          <w:noProof/>
        </w:rPr>
        <w:t>; и iv) дейности и активи, при които дългосрочното обезвреждане на отпадъци може да причини вреда на околната среда; и</w:t>
      </w:r>
    </w:p>
    <w:p>
      <w:pPr>
        <w:pStyle w:val="Text1"/>
        <w:numPr>
          <w:ilvl w:val="0"/>
          <w:numId w:val="153"/>
        </w:numPr>
        <w:rPr>
          <w:noProof/>
        </w:rPr>
      </w:pPr>
      <w:r>
        <w:rPr>
          <w:noProof/>
        </w:rPr>
        <w:t>да изисква проверка на правното съответствие на проектите със съответното законодателство на ЕС и националното законодателство в областта на околната среда от упълномощения субект/финансов посредник за всички сделки, включително освободените от проверка на устойчивостта.</w:t>
      </w:r>
    </w:p>
    <w:p>
      <w:pPr>
        <w:pStyle w:val="Text1"/>
        <w:ind w:left="0"/>
        <w:rPr>
          <w:iCs/>
          <w:noProof/>
          <w:highlight w:val="green"/>
        </w:rPr>
      </w:pPr>
      <w:r>
        <w:rPr>
          <w:noProof/>
        </w:rPr>
        <w:t xml:space="preserve">Що се отнася до тръжните процедури, за да се гарантира, че мярката е в съответствие с техническите насоки „Ненанасяне на значителни вреди“ (2021/C58/01), критериите за допустимост, съдържащи се в техническото задание за предстоящи покани за представяне на проекти, изключват следния списък от дейности: </w:t>
      </w:r>
      <w:r>
        <w:rPr>
          <w:noProof/>
          <w:lang w:val="en-US"/>
        </w:rPr>
        <w:t>i</w:t>
      </w:r>
      <w:r>
        <w:rPr>
          <w:noProof/>
        </w:rPr>
        <w:t>) дейности , свързани с изкопаеми горива, включително използване надолу по веригата</w:t>
      </w:r>
      <w:r>
        <w:rPr>
          <w:rStyle w:val="FootnoteReference"/>
          <w:noProof/>
          <w:lang w:val="en-IE"/>
        </w:rPr>
        <w:footnoteReference w:id="33"/>
      </w:r>
      <w:r>
        <w:rPr>
          <w:noProof/>
        </w:rPr>
        <w:t>; ii)) дейности по схемата на ЕС за търговия с емисии (СТЕ), с които се постигат прогнозираните емисии на парникови газове, които не са по-ниски от съответните референтни стойности</w:t>
      </w:r>
      <w:r>
        <w:rPr>
          <w:rStyle w:val="FootnoteReference"/>
          <w:noProof/>
          <w:lang w:val="en-IE"/>
        </w:rPr>
        <w:footnoteReference w:id="34"/>
      </w:r>
      <w:r>
        <w:rPr>
          <w:noProof/>
        </w:rPr>
        <w:t>; iii) дейности, свързани с депата за отпадъци, инсталациите за изгаряне на отпадъци</w:t>
      </w:r>
      <w:r>
        <w:rPr>
          <w:rStyle w:val="FootnoteReference"/>
          <w:noProof/>
          <w:lang w:val="en-IE"/>
        </w:rPr>
        <w:footnoteReference w:id="35"/>
      </w:r>
      <w:r>
        <w:rPr>
          <w:noProof/>
        </w:rPr>
        <w:t xml:space="preserve"> и заводите за механично-биологично третиране</w:t>
      </w:r>
      <w:r>
        <w:rPr>
          <w:rStyle w:val="FootnoteReference"/>
          <w:noProof/>
          <w:lang w:val="en-IE"/>
        </w:rPr>
        <w:footnoteReference w:id="36"/>
      </w:r>
      <w:r>
        <w:rPr>
          <w:noProof/>
        </w:rPr>
        <w:t>; и iv) дейности, при които дългосрочното обезвреждане на отпадъци може да причини вреда на околната среда. В допълнение към това в заданието се изисква да могат да бъдат избирани само дейности, които отговарят на съответното законодателство на ЕС и национално законодателство в областта на околната среда.</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Изпълнението на инвестицията приключва до 31 декември 2023 г. </w:t>
      </w:r>
    </w:p>
    <w:p>
      <w:pPr>
        <w:pStyle w:val="Text1"/>
        <w:ind w:left="0"/>
        <w:rPr>
          <w:noProof/>
          <w:u w:val="single"/>
        </w:rPr>
      </w:pPr>
      <w:r>
        <w:rPr>
          <w:noProof/>
          <w:u w:val="single"/>
        </w:rPr>
        <w:t xml:space="preserve">Инвестиция2 (C13.I2) – растеж </w:t>
      </w:r>
    </w:p>
    <w:p>
      <w:pPr>
        <w:pStyle w:val="Text1"/>
        <w:ind w:left="0"/>
        <w:rPr>
          <w:noProof/>
        </w:rPr>
      </w:pPr>
      <w:r>
        <w:rPr>
          <w:noProof/>
        </w:rPr>
        <w:t xml:space="preserve">Целта на мярката е да се насърчи растежът на МСП. </w:t>
      </w:r>
    </w:p>
    <w:p>
      <w:pPr>
        <w:pStyle w:val="Text1"/>
        <w:ind w:left="0"/>
        <w:rPr>
          <w:noProof/>
        </w:rPr>
      </w:pPr>
      <w:r>
        <w:rPr>
          <w:noProof/>
        </w:rPr>
        <w:t>Инвестицията се състои от действия относно:</w:t>
      </w:r>
    </w:p>
    <w:p>
      <w:pPr>
        <w:pStyle w:val="Text1"/>
        <w:ind w:left="0"/>
        <w:rPr>
          <w:noProof/>
        </w:rPr>
      </w:pPr>
      <w:r>
        <w:rPr>
          <w:noProof/>
        </w:rPr>
        <w:t>1) подкрепа за (11 000) отделни МСП по програмата „Умения за растеж на МСП“. Целта на тази програма е да предостави на предприятията необходимите умения, за да се развиват и да станат по-конкурентоспособни, като променят своите бизнес модели и допринасят за двойния преход;</w:t>
      </w:r>
    </w:p>
    <w:p>
      <w:pPr>
        <w:pStyle w:val="Text1"/>
        <w:ind w:left="0"/>
        <w:rPr>
          <w:noProof/>
        </w:rPr>
      </w:pPr>
      <w:r>
        <w:rPr>
          <w:noProof/>
        </w:rPr>
        <w:t>2) Дългосрочна финансова подкрепа за промишлени проекти (1 500), разработени от МСП, за действия по тази инвестиция в нови промишлени съоръжения или за разширяване на съществуващи такива, като се отчита потенциалът за принос към смекчаването на последиците от изменението на климата.</w:t>
      </w:r>
    </w:p>
    <w:p>
      <w:pPr>
        <w:pStyle w:val="Text1"/>
        <w:ind w:left="0"/>
        <w:rPr>
          <w:noProof/>
        </w:rPr>
      </w:pPr>
      <w:r>
        <w:rPr>
          <w:noProof/>
        </w:rPr>
        <w:t xml:space="preserve">3) Подобряване на достъпа до финансиране за МСП чрез предоставяне на подкрепа под формата на финансови, търговски и технически гаранции чрез укрепване на </w:t>
      </w:r>
      <w:r>
        <w:rPr>
          <w:i/>
          <w:noProof/>
        </w:rPr>
        <w:t>Compañia Española de Reafianzamiento SMEs S.A.</w:t>
      </w:r>
      <w:r>
        <w:rPr>
          <w:noProof/>
        </w:rPr>
        <w:t xml:space="preserve"> (CERSA ), в съответствие с критериите за допустимост на Регламента за Механизма за възстановяване и устойчивост, както е предвидено в Насоките за държавите членки от 21 януари 2021 г. Като част от тази линия на действие CERSA предоставя дългосрочна подкрепа чрез своя контрагаранционен обхват на регионалните взаимоспомагателни гаранционни дружества, като подкрепя поетия от тях риск. CERSA насърчава конкурентоспособността и устойчивостта на МСП и чрез три нови специални линии, които позволяват достъп до дългосрочно финансиране и операции с оборотен капитал за действия по тази инвестиция в областта на: цифровизацията; устойчиво развитие; растеж и възстановяване (укрепване на устойчивостта, главно за МСП, засегнати от пандемията от COVID-19, които са готови да предприемат значителни планове за трансформация и растеж). </w:t>
      </w:r>
    </w:p>
    <w:p>
      <w:pPr>
        <w:pStyle w:val="Text1"/>
        <w:ind w:left="0"/>
        <w:rPr>
          <w:noProof/>
        </w:rPr>
      </w:pPr>
      <w:r>
        <w:rPr>
          <w:noProof/>
        </w:rPr>
        <w:t xml:space="preserve">Освен това, за да се приложи инструментът за финансова гаранция, трябва да се изготви споразумение между Министерството, отговарящо за инвестициите, и партньора по изпълнението или упълномощения субект. Споразумението се изразява в задължения за информацията, включена в плана за възстановяване и устойчивост. Освен това всички обратни постъпления (т.е. лихви по заема, възвръщаемост на собствения капитал или погасена главница, минус свързаните разходи), свързани с финансовия инструмент, ще трябва да бъдат реинвестирани за същите цели на политиката, включително и след 2026 г. За да се гарантира, че мярката е в съответствие с Техническите насоки „Ненанасяне на значителни вреди“ (2021/C58/01), правното споразумение между испанските органи и упълномощения субект или финансовия посредник, отговарящ за финансовия инструмент, и последващата инвестиционна политика на финансовия инструмент: </w:t>
      </w:r>
    </w:p>
    <w:p>
      <w:pPr>
        <w:pStyle w:val="Text1"/>
        <w:numPr>
          <w:ilvl w:val="0"/>
          <w:numId w:val="155"/>
        </w:numPr>
        <w:rPr>
          <w:noProof/>
        </w:rPr>
      </w:pPr>
      <w:r>
        <w:rPr>
          <w:noProof/>
        </w:rPr>
        <w:t>изисква прилагането на техническите насоки на Комисията относно проверката на устойчивостта за фонда InvestEU;</w:t>
      </w:r>
    </w:p>
    <w:p>
      <w:pPr>
        <w:pStyle w:val="Text1"/>
        <w:numPr>
          <w:ilvl w:val="0"/>
          <w:numId w:val="155"/>
        </w:numPr>
        <w:rPr>
          <w:noProof/>
        </w:rPr>
      </w:pPr>
      <w:r>
        <w:rPr>
          <w:noProof/>
        </w:rPr>
        <w:t xml:space="preserve">изключване от допустимостта на следния списък с дейности и активи: </w:t>
      </w:r>
      <w:r>
        <w:rPr>
          <w:noProof/>
          <w:lang w:val="en-US"/>
        </w:rPr>
        <w:t>i</w:t>
      </w:r>
      <w:r>
        <w:rPr>
          <w:noProof/>
        </w:rPr>
        <w:t xml:space="preserve">) дейности и активи, свързани с изкопаеми горива, включително използване надолу по веригата </w:t>
      </w:r>
      <w:r>
        <w:rPr>
          <w:noProof/>
          <w:vertAlign w:val="superscript"/>
          <w:lang w:val="en-IE"/>
        </w:rPr>
        <w:footnoteReference w:id="37"/>
      </w:r>
      <w:r>
        <w:rPr>
          <w:noProof/>
        </w:rPr>
        <w:t>; ii) дейности и активи по схемата на ЕС за търговия с емисии (СТЕ), с които се постигат прогнозираните емисии на парникови газове, които не са по-ниски от съответните референтни стойности</w:t>
      </w:r>
      <w:r>
        <w:rPr>
          <w:noProof/>
          <w:vertAlign w:val="superscript"/>
          <w:lang w:val="en-IE"/>
        </w:rPr>
        <w:footnoteReference w:id="38"/>
      </w:r>
      <w:r>
        <w:rPr>
          <w:noProof/>
        </w:rPr>
        <w:t>; iii) дейности и активи, свързани с депата за отпадъци, инсталациите за изгаряне на отпадъци</w:t>
      </w:r>
      <w:r>
        <w:rPr>
          <w:noProof/>
          <w:vertAlign w:val="superscript"/>
          <w:lang w:val="en-IE"/>
        </w:rPr>
        <w:footnoteReference w:id="39"/>
      </w:r>
      <w:r>
        <w:rPr>
          <w:noProof/>
        </w:rPr>
        <w:t xml:space="preserve"> и заводите за механично-биологично третиране</w:t>
      </w:r>
      <w:r>
        <w:rPr>
          <w:noProof/>
          <w:vertAlign w:val="superscript"/>
          <w:lang w:val="en-IE"/>
        </w:rPr>
        <w:footnoteReference w:id="40"/>
      </w:r>
      <w:r>
        <w:rPr>
          <w:noProof/>
        </w:rPr>
        <w:t>; и iv) дейности и активи, при които дългосрочното обезвреждане на отпадъци може да причини вреда на околната среда; и</w:t>
      </w:r>
    </w:p>
    <w:p>
      <w:pPr>
        <w:pStyle w:val="Text1"/>
        <w:numPr>
          <w:ilvl w:val="0"/>
          <w:numId w:val="155"/>
        </w:numPr>
        <w:rPr>
          <w:noProof/>
        </w:rPr>
      </w:pPr>
      <w:r>
        <w:rPr>
          <w:noProof/>
        </w:rPr>
        <w:t>да изисква проверка на правното съответствие на проектите със съответното законодателство на ЕС и националното законодателство в областта на околната среда от упълномощения субект/финансов посредник за всички сделки, включително освободените от проверка на устойчивостта.</w:t>
      </w:r>
    </w:p>
    <w:p>
      <w:pPr>
        <w:pStyle w:val="Text1"/>
        <w:ind w:left="0"/>
        <w:rPr>
          <w:iCs/>
          <w:noProof/>
          <w:highlight w:val="green"/>
        </w:rPr>
      </w:pPr>
      <w:r>
        <w:rPr>
          <w:noProof/>
        </w:rPr>
        <w:t xml:space="preserve">Що се отнася до тръжните процедури, за да се гарантира, че мярката е в съответствие с техническите насоки „Ненанасяне на значителни вреди“ (2021/C58/01), критериите за допустимост, съдържащи се в техническото задание за предстоящи покани за представяне на проекти, изключват следния списък от дейности: </w:t>
      </w:r>
      <w:r>
        <w:rPr>
          <w:noProof/>
          <w:lang w:val="en-US"/>
        </w:rPr>
        <w:t>i</w:t>
      </w:r>
      <w:r>
        <w:rPr>
          <w:noProof/>
        </w:rPr>
        <w:t>) дейности , свързани с изкопаеми горива, включително използване надолу по веригата</w:t>
      </w:r>
      <w:r>
        <w:rPr>
          <w:rStyle w:val="FootnoteReference"/>
          <w:noProof/>
          <w:lang w:val="en-IE"/>
        </w:rPr>
        <w:footnoteReference w:id="41"/>
      </w:r>
      <w:r>
        <w:rPr>
          <w:noProof/>
        </w:rPr>
        <w:t>; ii)) дейности по схемата на ЕС за търговия с емисии (СТЕ), с които се постигат прогнозираните емисии на парникови газове, които не са по-ниски от съответните референтни стойности</w:t>
      </w:r>
      <w:r>
        <w:rPr>
          <w:rStyle w:val="FootnoteReference"/>
          <w:noProof/>
          <w:lang w:val="en-IE"/>
        </w:rPr>
        <w:footnoteReference w:id="42"/>
      </w:r>
      <w:r>
        <w:rPr>
          <w:noProof/>
        </w:rPr>
        <w:t>; iii) дейности, свързани с депата за отпадъци, инсталациите за изгаряне на отпадъци</w:t>
      </w:r>
      <w:r>
        <w:rPr>
          <w:rStyle w:val="FootnoteReference"/>
          <w:noProof/>
          <w:lang w:val="en-IE"/>
        </w:rPr>
        <w:footnoteReference w:id="43"/>
      </w:r>
      <w:r>
        <w:rPr>
          <w:noProof/>
        </w:rPr>
        <w:t xml:space="preserve"> и заводите за механично-биологично третиране</w:t>
      </w:r>
      <w:r>
        <w:rPr>
          <w:rStyle w:val="FootnoteReference"/>
          <w:noProof/>
          <w:lang w:val="en-IE"/>
        </w:rPr>
        <w:footnoteReference w:id="44"/>
      </w:r>
      <w:r>
        <w:rPr>
          <w:noProof/>
        </w:rPr>
        <w:t>; и iv) дейности, при които дългосрочното обезвреждане на отпадъци може да причини вреда на околната среда. В допълнение към това в заданието се изисква да могат да бъдат избирани само дейности, които отговарят на съответното законодателство на ЕС и национално законодателство в областта на околната среда.</w:t>
      </w:r>
    </w:p>
    <w:p>
      <w:pPr>
        <w:spacing w:line="240" w:lineRule="auto"/>
        <w:jc w:val="both"/>
        <w:rPr>
          <w:noProof/>
        </w:rPr>
      </w:pPr>
      <w:r>
        <w:rPr>
          <w:rFonts w:ascii="Times New Roman" w:hAnsi="Times New Roman"/>
          <w:noProof/>
          <w:sz w:val="24"/>
          <w:szCs w:val="24"/>
        </w:rPr>
        <w:t>Изпълнението на инвестицията приключва до 31 декември 2023 г.</w:t>
      </w:r>
    </w:p>
    <w:p>
      <w:pPr>
        <w:pStyle w:val="Text1"/>
        <w:ind w:left="0"/>
        <w:rPr>
          <w:noProof/>
          <w:u w:val="single"/>
        </w:rPr>
      </w:pPr>
      <w:r>
        <w:rPr>
          <w:noProof/>
          <w:u w:val="single"/>
        </w:rPr>
        <w:t xml:space="preserve">Инвестиция 3 (C13.I3) Цифровизация и иновации </w:t>
      </w:r>
    </w:p>
    <w:p>
      <w:pPr>
        <w:pStyle w:val="Text1"/>
        <w:ind w:left="0"/>
        <w:rPr>
          <w:noProof/>
        </w:rPr>
      </w:pPr>
      <w:r>
        <w:rPr>
          <w:noProof/>
        </w:rPr>
        <w:t>Целта на тази инвестиция е да се предоставят на МСП уменията и инструментите, които да допринесат за цифровия преход и да се справят с произтичащите от него предизвикателства. Тя е приведена в съответствие с Програмата в областта на цифровите технологии за Европа до 2025 г. и се допълва от действия по компонент 15 относно свързаността и по компонент 19 относно цифровите умения.</w:t>
      </w:r>
    </w:p>
    <w:p>
      <w:pPr>
        <w:pStyle w:val="Text1"/>
        <w:ind w:left="0"/>
        <w:rPr>
          <w:noProof/>
        </w:rPr>
      </w:pPr>
      <w:r>
        <w:rPr>
          <w:noProof/>
        </w:rPr>
        <w:t>Инвестицията е насочена към следните различни действия:</w:t>
      </w:r>
    </w:p>
    <w:p>
      <w:pPr>
        <w:pStyle w:val="Text1"/>
        <w:ind w:left="0"/>
        <w:rPr>
          <w:noProof/>
        </w:rPr>
      </w:pPr>
      <w:r>
        <w:rPr>
          <w:noProof/>
        </w:rPr>
        <w:t xml:space="preserve">1) </w:t>
      </w:r>
      <w:r>
        <w:rPr>
          <w:noProof/>
          <w:u w:val="single"/>
        </w:rPr>
        <w:t>Цифров набор от инструменти:</w:t>
      </w:r>
      <w:r>
        <w:rPr>
          <w:noProof/>
        </w:rPr>
        <w:t xml:space="preserve"> Това е основното действие по тази мярка, с което ще се стимулира цифровизацията на малките предприятия (десет до 49 служители), микропредприятията (един до девет служители) и самостоятелно заетите лица във всеки сектор на икономическа дейност, като се повиши тяхната степен на цифрова зрялост. Програмата се основава на предоставянето на безвъзмездни средства в подкрепа на интегрирането на цифровите технологии с цел ефективно възприемане на електронната търговия, цифровизация на отношенията с публичната администрация и с клиентите, разработване на вътрешни цифрови процеси и въвеждане на електронно фактуриране и цифров маркетинг; насърчаване на решения, насочени по-специално към услугите. Програмата частично субсидира разходите за приемане на пакети от основни цифрови решения, като например присъствие в интернет, електронни продажби, компютърни услуги в облак, работа в областта на цифровите технологии, основни процеси на цифровизация, управление на клиентите, цифров маркетинг, киберсигурност, наред с другото. На всеки пакет за цифровизация на DTK се отпуска фиксирана сума безвъзмездни средства, която се определя във всяка покана в зависимост от големината на дружеството и сектора на дейност. Очаква се подкрепата да достигне до 1 000 000 МСП.</w:t>
      </w:r>
    </w:p>
    <w:p>
      <w:pPr>
        <w:pStyle w:val="Text1"/>
        <w:ind w:left="0"/>
        <w:rPr>
          <w:noProof/>
        </w:rPr>
      </w:pPr>
      <w:r>
        <w:rPr>
          <w:noProof/>
        </w:rPr>
        <w:t xml:space="preserve">2) </w:t>
      </w:r>
      <w:r>
        <w:rPr>
          <w:noProof/>
          <w:u w:val="single"/>
        </w:rPr>
        <w:t>Програма " Актьори на промяната"</w:t>
      </w:r>
      <w:r>
        <w:rPr>
          <w:noProof/>
        </w:rPr>
        <w:t>: Това е програма, която подкрепя най-малко 15 000 малки и средни предприятия (TEN-249 служители) в техните процеси на цифрова трансформация.</w:t>
      </w:r>
    </w:p>
    <w:p>
      <w:pPr>
        <w:pStyle w:val="Text1"/>
        <w:ind w:left="0"/>
        <w:rPr>
          <w:noProof/>
        </w:rPr>
      </w:pPr>
      <w:r>
        <w:rPr>
          <w:noProof/>
        </w:rPr>
        <w:t xml:space="preserve">3) </w:t>
      </w:r>
      <w:r>
        <w:rPr>
          <w:noProof/>
          <w:u w:val="single"/>
        </w:rPr>
        <w:t>Програма „Ускорители за МСП 2.0“</w:t>
      </w:r>
      <w:r>
        <w:rPr>
          <w:noProof/>
        </w:rPr>
        <w:t>: това е действие по тази инвестиция, което ще разшири инфраструктурата в подкрепа на цифровизацията на МСП с консултантски услуги и услуги за обучение.</w:t>
      </w:r>
    </w:p>
    <w:p>
      <w:pPr>
        <w:pStyle w:val="Text1"/>
        <w:ind w:left="0"/>
        <w:rPr>
          <w:noProof/>
        </w:rPr>
      </w:pPr>
      <w:r>
        <w:rPr>
          <w:noProof/>
        </w:rPr>
        <w:t xml:space="preserve">5) </w:t>
      </w:r>
      <w:r>
        <w:rPr>
          <w:noProof/>
          <w:u w:val="single"/>
        </w:rPr>
        <w:t>Програма „Подкрепа за иновативни бизнес клъстери“</w:t>
      </w:r>
      <w:r>
        <w:rPr>
          <w:noProof/>
        </w:rPr>
        <w:t>: тази мярка подкрепя проекти за цифровизация на веригата за създаване на стойност в различните промишлени сектори с цел тяхното модернизиране и включване на МСП във веригата за създаване на стойност.</w:t>
      </w:r>
    </w:p>
    <w:p>
      <w:pPr>
        <w:pStyle w:val="Text1"/>
        <w:ind w:left="0"/>
        <w:rPr>
          <w:noProof/>
        </w:rPr>
      </w:pPr>
      <w:r>
        <w:rPr>
          <w:noProof/>
        </w:rPr>
        <w:t xml:space="preserve">6) </w:t>
      </w:r>
      <w:r>
        <w:rPr>
          <w:noProof/>
          <w:u w:val="single"/>
        </w:rPr>
        <w:t>Програма „Цифрови иновационни центрове“ (DIH)</w:t>
      </w:r>
      <w:r>
        <w:rPr>
          <w:noProof/>
        </w:rPr>
        <w:t>: това е програма за подкрепа на развитието на цифрови иновационни центрове в Испания. ЦЦИ са структури, които помагат на дружествата да отговорят на цифровите предизвикателства и да станат по-конкурентоспособни, като подобряват своите стопански и производствени процеси чрез интензивно използване на цифрови технологии. Като част от тази подмярка се подпомагат 25 цифрови иновационни центъра.</w:t>
      </w:r>
    </w:p>
    <w:p>
      <w:pPr>
        <w:pStyle w:val="Text1"/>
        <w:ind w:left="0"/>
        <w:rPr>
          <w:iCs/>
          <w:noProof/>
          <w:highlight w:val="green"/>
        </w:rPr>
      </w:pPr>
      <w:r>
        <w:rPr>
          <w:noProof/>
        </w:rPr>
        <w:t xml:space="preserve">За да се гарантира, че мярката е в съответствие с техническите насоки „Ненанасяне на значителни вреди“ (2021/C58/01), критериите за допустимост, съдържащи се в техническото задание за предстоящи покани за представяне на проекти, изключват следния списък от дейности: </w:t>
      </w:r>
      <w:r>
        <w:rPr>
          <w:noProof/>
          <w:lang w:val="en-US"/>
        </w:rPr>
        <w:t>i</w:t>
      </w:r>
      <w:r>
        <w:rPr>
          <w:noProof/>
        </w:rPr>
        <w:t>) дейности , свързани с изкопаеми горива, включително използване надолу по веригата</w:t>
      </w:r>
      <w:r>
        <w:rPr>
          <w:rStyle w:val="FootnoteReference"/>
          <w:noProof/>
          <w:lang w:val="en-IE"/>
        </w:rPr>
        <w:footnoteReference w:id="45"/>
      </w:r>
      <w:r>
        <w:rPr>
          <w:noProof/>
        </w:rPr>
        <w:t>; ii) дейности по схемата на ЕС за търговия с емисии (СТЕ), с които се постигат прогнозираните емисии на парникови газове, които не са по-ниски от съответните референтни стойности</w:t>
      </w:r>
      <w:r>
        <w:rPr>
          <w:rStyle w:val="FootnoteReference"/>
          <w:noProof/>
          <w:lang w:val="en-IE"/>
        </w:rPr>
        <w:footnoteReference w:id="46"/>
      </w:r>
      <w:r>
        <w:rPr>
          <w:noProof/>
        </w:rPr>
        <w:t>; iii) дейности, свързани с депата за отпадъци, инсталациите за изгаряне на отпадъци</w:t>
      </w:r>
      <w:r>
        <w:rPr>
          <w:rStyle w:val="FootnoteReference"/>
          <w:noProof/>
          <w:lang w:val="en-IE"/>
        </w:rPr>
        <w:footnoteReference w:id="47"/>
      </w:r>
      <w:r>
        <w:rPr>
          <w:noProof/>
        </w:rPr>
        <w:t xml:space="preserve"> и заводите за механично-биологично третиране</w:t>
      </w:r>
      <w:r>
        <w:rPr>
          <w:rStyle w:val="FootnoteReference"/>
          <w:noProof/>
          <w:lang w:val="en-IE"/>
        </w:rPr>
        <w:footnoteReference w:id="48"/>
      </w:r>
      <w:r>
        <w:rPr>
          <w:noProof/>
        </w:rPr>
        <w:t>; и iv) дейности, при които дългосрочното обезвреждане на отпадъци може да причини вреда на околната среда. В допълнение към това в заданието се изисква да могат да бъдат избирани само дейности, които отговарят на съответното законодателство на ЕС и национално законодателство в областта на околната среда.</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Изпълнението на инвестицията приключва до 31 декември 2025 г.</w:t>
      </w:r>
    </w:p>
    <w:p>
      <w:pPr>
        <w:pStyle w:val="Text1"/>
        <w:ind w:left="0"/>
        <w:rPr>
          <w:noProof/>
          <w:u w:val="single"/>
        </w:rPr>
      </w:pPr>
      <w:r>
        <w:rPr>
          <w:noProof/>
          <w:u w:val="single"/>
        </w:rPr>
        <w:t xml:space="preserve">Инвестиции 4 (C13.I4) Подкрепа за търговията </w:t>
      </w:r>
    </w:p>
    <w:p>
      <w:pPr>
        <w:pStyle w:val="Text1"/>
        <w:ind w:left="0"/>
        <w:rPr>
          <w:noProof/>
        </w:rPr>
      </w:pPr>
      <w:r>
        <w:rPr>
          <w:noProof/>
        </w:rPr>
        <w:t xml:space="preserve">Целта на мярката е да се помогне на малките предприятия да се адаптират към цифровизацията на търговския сектор и към промененото поведение на потребителите. </w:t>
      </w:r>
    </w:p>
    <w:p>
      <w:pPr>
        <w:pStyle w:val="Text1"/>
        <w:ind w:left="0"/>
        <w:rPr>
          <w:noProof/>
        </w:rPr>
      </w:pPr>
      <w:r>
        <w:rPr>
          <w:noProof/>
        </w:rPr>
        <w:t>Инвестицията има две основни насоки на действие.</w:t>
      </w:r>
    </w:p>
    <w:p>
      <w:pPr>
        <w:pStyle w:val="Text1"/>
        <w:numPr>
          <w:ilvl w:val="0"/>
          <w:numId w:val="135"/>
        </w:numPr>
        <w:rPr>
          <w:noProof/>
        </w:rPr>
      </w:pPr>
      <w:r>
        <w:rPr>
          <w:noProof/>
        </w:rPr>
        <w:t>Проекти в сектора на дребния търговски сектор, насочени към включване на нови технологии, които дават възможност на местната търговия да отговори на новите потребителски навици, в рамките на „Технологичния фонд“ (200 проекта). Сред допустимите проекти по този фонд са:</w:t>
      </w:r>
    </w:p>
    <w:p>
      <w:pPr>
        <w:pStyle w:val="Text1"/>
        <w:numPr>
          <w:ilvl w:val="1"/>
          <w:numId w:val="135"/>
        </w:numPr>
        <w:rPr>
          <w:noProof/>
        </w:rPr>
      </w:pPr>
      <w:r>
        <w:rPr>
          <w:noProof/>
        </w:rPr>
        <w:t>Проекти в областта на новите технологии, насочени към подобряване на търговската и комуникационната стратегия онлайн, бизнес моделите или опита при пазаруването;</w:t>
      </w:r>
    </w:p>
    <w:p>
      <w:pPr>
        <w:pStyle w:val="Text1"/>
        <w:numPr>
          <w:ilvl w:val="1"/>
          <w:numId w:val="135"/>
        </w:numPr>
        <w:rPr>
          <w:noProof/>
        </w:rPr>
      </w:pPr>
      <w:r>
        <w:rPr>
          <w:noProof/>
        </w:rPr>
        <w:t>Проекти в областта на новите технологии за адаптиране на физическото пазаруване към новите потребности и навици на потребителите, както и към новите модели на управление;</w:t>
      </w:r>
    </w:p>
    <w:p>
      <w:pPr>
        <w:pStyle w:val="Text1"/>
        <w:numPr>
          <w:ilvl w:val="1"/>
          <w:numId w:val="135"/>
        </w:numPr>
        <w:rPr>
          <w:noProof/>
        </w:rPr>
      </w:pPr>
      <w:r>
        <w:rPr>
          <w:noProof/>
        </w:rPr>
        <w:t>Проекти за технологични решения за подобряване на ефективността и устойчивостта на логистиката в „последната миля“;</w:t>
      </w:r>
    </w:p>
    <w:p>
      <w:pPr>
        <w:pStyle w:val="Text1"/>
        <w:numPr>
          <w:ilvl w:val="1"/>
          <w:numId w:val="135"/>
        </w:numPr>
        <w:rPr>
          <w:noProof/>
        </w:rPr>
      </w:pPr>
      <w:r>
        <w:rPr>
          <w:noProof/>
        </w:rPr>
        <w:t xml:space="preserve">Проекти за прилагане на технологични решения за подобряване на енергийната и ресурсната ефективност. </w:t>
      </w:r>
    </w:p>
    <w:p>
      <w:pPr>
        <w:pStyle w:val="Text1"/>
        <w:ind w:left="0"/>
        <w:rPr>
          <w:noProof/>
        </w:rPr>
      </w:pPr>
      <w:r>
        <w:rPr>
          <w:noProof/>
        </w:rPr>
        <w:t>Инвестицията ще бъде допълнена със създаването на цифрова платформа (</w:t>
      </w:r>
      <w:r>
        <w:rPr>
          <w:i/>
          <w:noProof/>
        </w:rPr>
        <w:t>Plataforma Comercio Conectado</w:t>
      </w:r>
      <w:r>
        <w:rPr>
          <w:noProof/>
        </w:rPr>
        <w:t xml:space="preserve">) за насърчаване на цифровизацията на сектора. </w:t>
      </w:r>
    </w:p>
    <w:p>
      <w:pPr>
        <w:pStyle w:val="Text1"/>
        <w:numPr>
          <w:ilvl w:val="0"/>
          <w:numId w:val="135"/>
        </w:numPr>
        <w:rPr>
          <w:noProof/>
        </w:rPr>
      </w:pPr>
      <w:r>
        <w:rPr>
          <w:noProof/>
        </w:rPr>
        <w:t xml:space="preserve">Проекти, представени от местните органи за подобряване на модернизацията на общинските пазари, търговските зони, непостоянните пазари и късите канали за предлагане на пазара в рамките на програмата „Устойчиви пазари“ (130 проекта). Допустимите проекти по тази програма включват: </w:t>
      </w:r>
    </w:p>
    <w:p>
      <w:pPr>
        <w:pStyle w:val="Text1"/>
        <w:numPr>
          <w:ilvl w:val="1"/>
          <w:numId w:val="135"/>
        </w:numPr>
        <w:rPr>
          <w:noProof/>
        </w:rPr>
      </w:pPr>
      <w:r>
        <w:rPr>
          <w:noProof/>
        </w:rPr>
        <w:t>Проекти за приемане на инструменти за анализ на клиентите въз основа на големи информационни масиви или други технологии;</w:t>
      </w:r>
    </w:p>
    <w:p>
      <w:pPr>
        <w:pStyle w:val="Text1"/>
        <w:numPr>
          <w:ilvl w:val="1"/>
          <w:numId w:val="135"/>
        </w:numPr>
        <w:rPr>
          <w:noProof/>
        </w:rPr>
      </w:pPr>
      <w:r>
        <w:rPr>
          <w:noProof/>
        </w:rPr>
        <w:t>Проекти в областта на цифровата трансформация на пазарите, които подобряват универсалния пазар и пазаруването;</w:t>
      </w:r>
    </w:p>
    <w:p>
      <w:pPr>
        <w:pStyle w:val="Text1"/>
        <w:numPr>
          <w:ilvl w:val="1"/>
          <w:numId w:val="135"/>
        </w:numPr>
        <w:rPr>
          <w:noProof/>
        </w:rPr>
      </w:pPr>
      <w:r>
        <w:rPr>
          <w:noProof/>
        </w:rPr>
        <w:t>Проекти, насочени към цифровата трансформация на уличната търговия и късите канали за маркетинг;</w:t>
      </w:r>
    </w:p>
    <w:p>
      <w:pPr>
        <w:pStyle w:val="Text1"/>
        <w:numPr>
          <w:ilvl w:val="1"/>
          <w:numId w:val="135"/>
        </w:numPr>
        <w:rPr>
          <w:noProof/>
        </w:rPr>
      </w:pPr>
      <w:r>
        <w:rPr>
          <w:noProof/>
        </w:rPr>
        <w:t>Проекти за строителство и обновяване с цел подобряване на инфраструктурата, тяхната достъпност, оборудване и адекватност на площите, заемани от общинските пазари, търговските зони и пазарите, които не водят уседнал начин на живот, и прилежащите им площи;</w:t>
      </w:r>
    </w:p>
    <w:p>
      <w:pPr>
        <w:pStyle w:val="Text1"/>
        <w:numPr>
          <w:ilvl w:val="1"/>
          <w:numId w:val="135"/>
        </w:numPr>
        <w:rPr>
          <w:noProof/>
        </w:rPr>
      </w:pPr>
      <w:r>
        <w:rPr>
          <w:noProof/>
        </w:rPr>
        <w:t>Проекти за намаляване на потреблението на суровини от търговията и заместването им с екологосъобразни алтернативи;</w:t>
      </w:r>
    </w:p>
    <w:p>
      <w:pPr>
        <w:pStyle w:val="Text1"/>
        <w:numPr>
          <w:ilvl w:val="1"/>
          <w:numId w:val="135"/>
        </w:numPr>
        <w:rPr>
          <w:noProof/>
        </w:rPr>
      </w:pPr>
      <w:r>
        <w:rPr>
          <w:noProof/>
        </w:rPr>
        <w:t>Инсталиране на интелигентни точки за доставка;</w:t>
      </w:r>
    </w:p>
    <w:p>
      <w:pPr>
        <w:pStyle w:val="Text1"/>
        <w:numPr>
          <w:ilvl w:val="1"/>
          <w:numId w:val="135"/>
        </w:numPr>
        <w:rPr>
          <w:noProof/>
        </w:rPr>
      </w:pPr>
      <w:r>
        <w:rPr>
          <w:noProof/>
        </w:rPr>
        <w:t>Проекти за подобряване на енергийната ефективност;</w:t>
      </w:r>
    </w:p>
    <w:p>
      <w:pPr>
        <w:pStyle w:val="Text1"/>
        <w:numPr>
          <w:ilvl w:val="1"/>
          <w:numId w:val="135"/>
        </w:numPr>
        <w:rPr>
          <w:noProof/>
        </w:rPr>
      </w:pPr>
      <w:r>
        <w:rPr>
          <w:noProof/>
        </w:rPr>
        <w:t>Действия, които насърчават рециклирането или повторната употреба на отпадъци;</w:t>
      </w:r>
    </w:p>
    <w:p>
      <w:pPr>
        <w:pStyle w:val="Text1"/>
        <w:numPr>
          <w:ilvl w:val="1"/>
          <w:numId w:val="135"/>
        </w:numPr>
        <w:rPr>
          <w:noProof/>
        </w:rPr>
      </w:pPr>
      <w:r>
        <w:rPr>
          <w:noProof/>
        </w:rPr>
        <w:t>Повишаване на осведомеността и обучение в областта на технологичните умения.</w:t>
      </w:r>
    </w:p>
    <w:p>
      <w:pPr>
        <w:pStyle w:val="Text1"/>
        <w:ind w:left="0"/>
        <w:rPr>
          <w:iCs/>
          <w:noProof/>
          <w:highlight w:val="green"/>
        </w:rPr>
      </w:pPr>
      <w:r>
        <w:rPr>
          <w:noProof/>
        </w:rPr>
        <w:t xml:space="preserve">За да се гарантира, че мярката е в съответствие с техническите насоки „Ненанасяне на значителни вреди“ (2021/C58/01), критериите за допустимост, съдържащи се в техническото задание за предстоящи покани за представяне на проекти, изключват следния списък от дейности: </w:t>
      </w:r>
      <w:r>
        <w:rPr>
          <w:noProof/>
          <w:lang w:val="en-US"/>
        </w:rPr>
        <w:t>i</w:t>
      </w:r>
      <w:r>
        <w:rPr>
          <w:noProof/>
        </w:rPr>
        <w:t>) дейности , свързани с изкопаеми горива, включително използване надолу по веригата</w:t>
      </w:r>
      <w:r>
        <w:rPr>
          <w:rStyle w:val="FootnoteReference"/>
          <w:noProof/>
          <w:lang w:val="en-IE"/>
        </w:rPr>
        <w:footnoteReference w:id="49"/>
      </w:r>
      <w:r>
        <w:rPr>
          <w:noProof/>
        </w:rPr>
        <w:t>; ii) дейности по схемата на ЕС за търговия с емисии (СТЕ), с които се постигат прогнозираните емисии на парникови газове, които не са по-ниски от съответните референтни стойности</w:t>
      </w:r>
      <w:r>
        <w:rPr>
          <w:rStyle w:val="FootnoteReference"/>
          <w:noProof/>
          <w:lang w:val="en-IE"/>
        </w:rPr>
        <w:footnoteReference w:id="50"/>
      </w:r>
      <w:r>
        <w:rPr>
          <w:noProof/>
        </w:rPr>
        <w:t>; iii) дейности, свързани с депата за отпадъци, инсталациите за изгаряне на отпадъци</w:t>
      </w:r>
      <w:r>
        <w:rPr>
          <w:rStyle w:val="FootnoteReference"/>
          <w:noProof/>
          <w:lang w:val="en-IE"/>
        </w:rPr>
        <w:footnoteReference w:id="51"/>
      </w:r>
      <w:r>
        <w:rPr>
          <w:noProof/>
        </w:rPr>
        <w:t xml:space="preserve"> и заводите за механично-биологично третиране</w:t>
      </w:r>
      <w:r>
        <w:rPr>
          <w:rStyle w:val="FootnoteReference"/>
          <w:noProof/>
          <w:lang w:val="en-IE"/>
        </w:rPr>
        <w:footnoteReference w:id="52"/>
      </w:r>
      <w:r>
        <w:rPr>
          <w:noProof/>
        </w:rPr>
        <w:t>; и iv) дейности, при които дългосрочното обезвреждане на отпадъци може да причини вреда на околната среда. В допълнение към това в заданието се изисква да могат да бъдат избирани само дейности, които отговарят на съответното законодателство на ЕС и национално законодателство в областта на околната среда.</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Изпълнението на инвестицията приключва до 31 декември 2024 г.</w:t>
      </w:r>
    </w:p>
    <w:p>
      <w:pPr>
        <w:pStyle w:val="Text1"/>
        <w:ind w:left="0"/>
        <w:rPr>
          <w:noProof/>
          <w:u w:val="single"/>
        </w:rPr>
      </w:pPr>
      <w:r>
        <w:rPr>
          <w:noProof/>
          <w:u w:val="single"/>
        </w:rPr>
        <w:t xml:space="preserve">Инвестиция 5 (C13.I5) Интернационализация </w:t>
      </w:r>
    </w:p>
    <w:p>
      <w:pPr>
        <w:pStyle w:val="Text1"/>
        <w:ind w:left="0"/>
        <w:rPr>
          <w:noProof/>
        </w:rPr>
      </w:pPr>
      <w:r>
        <w:rPr>
          <w:noProof/>
        </w:rPr>
        <w:t>Целта на мярката е да се укрепят капацитетът и инструментите на испанската система за подпомагане на износа, интернационализация и чуждестранни инвестиции.</w:t>
      </w:r>
    </w:p>
    <w:p>
      <w:pPr>
        <w:pStyle w:val="Text1"/>
        <w:ind w:left="0"/>
        <w:rPr>
          <w:noProof/>
        </w:rPr>
      </w:pPr>
      <w:r>
        <w:rPr>
          <w:noProof/>
        </w:rPr>
        <w:t>Инвестицията се състои от набор от 11 действия, както следва:</w:t>
      </w:r>
    </w:p>
    <w:p>
      <w:pPr>
        <w:pStyle w:val="Text1"/>
        <w:numPr>
          <w:ilvl w:val="0"/>
          <w:numId w:val="136"/>
        </w:numPr>
        <w:rPr>
          <w:noProof/>
        </w:rPr>
      </w:pPr>
      <w:r>
        <w:rPr>
          <w:noProof/>
        </w:rPr>
        <w:t>Линия за финансиране на проучвания за осъществимост, осъществимост, предварителна осъществимост и отраслова и институционална модернизация;</w:t>
      </w:r>
    </w:p>
    <w:p>
      <w:pPr>
        <w:pStyle w:val="Text1"/>
        <w:numPr>
          <w:ilvl w:val="0"/>
          <w:numId w:val="136"/>
        </w:numPr>
        <w:rPr>
          <w:noProof/>
        </w:rPr>
      </w:pPr>
      <w:r>
        <w:rPr>
          <w:noProof/>
        </w:rPr>
        <w:t>Програмата INNOVA Invest за подпомагане на чуждестранните инвестиции в НИРД;</w:t>
      </w:r>
    </w:p>
    <w:p>
      <w:pPr>
        <w:pStyle w:val="Text1"/>
        <w:numPr>
          <w:ilvl w:val="0"/>
          <w:numId w:val="136"/>
        </w:numPr>
        <w:rPr>
          <w:noProof/>
        </w:rPr>
      </w:pPr>
      <w:r>
        <w:rPr>
          <w:noProof/>
        </w:rPr>
        <w:t>Програмата VIVES за предоставяне на финансова подкрепа за наемане на стажанти в дружества, участващи в дейности по износ;</w:t>
      </w:r>
    </w:p>
    <w:p>
      <w:pPr>
        <w:pStyle w:val="Text1"/>
        <w:numPr>
          <w:ilvl w:val="0"/>
          <w:numId w:val="136"/>
        </w:numPr>
        <w:rPr>
          <w:noProof/>
        </w:rPr>
      </w:pPr>
      <w:r>
        <w:rPr>
          <w:noProof/>
        </w:rPr>
        <w:t>Международната програма за обучение по наставничество;</w:t>
      </w:r>
    </w:p>
    <w:p>
      <w:pPr>
        <w:pStyle w:val="Text1"/>
        <w:numPr>
          <w:ilvl w:val="0"/>
          <w:numId w:val="136"/>
        </w:numPr>
        <w:rPr>
          <w:noProof/>
        </w:rPr>
      </w:pPr>
      <w:r>
        <w:rPr>
          <w:noProof/>
        </w:rPr>
        <w:t>Програма за укрепване на комуникационните системи, телематичните услуги и цифровизацията на експортните асоциации, федерациите за износ, испанските търговски камари и техните федерации;</w:t>
      </w:r>
    </w:p>
    <w:p>
      <w:pPr>
        <w:pStyle w:val="Text1"/>
        <w:numPr>
          <w:ilvl w:val="0"/>
          <w:numId w:val="136"/>
        </w:numPr>
        <w:rPr>
          <w:noProof/>
        </w:rPr>
      </w:pPr>
      <w:r>
        <w:rPr>
          <w:noProof/>
        </w:rPr>
        <w:t>Програмата за разширяване на базата на износа – програма за предоставяне на персонализирано наставничество за интернационализацията на предприятията и по-специално на МСП;</w:t>
      </w:r>
    </w:p>
    <w:p>
      <w:pPr>
        <w:pStyle w:val="Text1"/>
        <w:numPr>
          <w:ilvl w:val="0"/>
          <w:numId w:val="136"/>
        </w:numPr>
        <w:rPr>
          <w:noProof/>
        </w:rPr>
      </w:pPr>
      <w:r>
        <w:rPr>
          <w:noProof/>
        </w:rPr>
        <w:t>Програма за укрепване на испанската екосистема за предприятия с висок растеж;</w:t>
      </w:r>
    </w:p>
    <w:p>
      <w:pPr>
        <w:pStyle w:val="Text1"/>
        <w:numPr>
          <w:ilvl w:val="0"/>
          <w:numId w:val="136"/>
        </w:numPr>
        <w:rPr>
          <w:noProof/>
        </w:rPr>
      </w:pPr>
      <w:r>
        <w:rPr>
          <w:noProof/>
        </w:rPr>
        <w:t>Помощ за отваряне и консолидиране на пазарите чрез субсидии за разходи, свързани с инспекции и одити на органите на трети държави, и за правни и консултантски разходи за търговска защита;</w:t>
      </w:r>
    </w:p>
    <w:p>
      <w:pPr>
        <w:pStyle w:val="ListParagraph"/>
        <w:numPr>
          <w:ilvl w:val="0"/>
          <w:numId w:val="136"/>
        </w:numPr>
        <w:jc w:val="both"/>
        <w:rPr>
          <w:rFonts w:ascii="Times New Roman" w:hAnsi="Times New Roman" w:cs="Times New Roman"/>
          <w:noProof/>
          <w:sz w:val="24"/>
          <w:szCs w:val="24"/>
        </w:rPr>
      </w:pPr>
      <w:r>
        <w:rPr>
          <w:rFonts w:ascii="Times New Roman" w:hAnsi="Times New Roman"/>
          <w:noProof/>
          <w:sz w:val="24"/>
          <w:szCs w:val="24"/>
        </w:rPr>
        <w:t>Програма за финансови стимули от страна на COFIDES (държавна финансова институция, която предоставя средносрочно и дългосрочно финансиране в подкрепа на инвестиционни проекти за интернационализация на предприятията) за насърчаване на инвестициите с въздействие. Основната му цел е да се постигне измеримо, социално и/или екологично въздействие наред с финансова възвръщаемост;</w:t>
      </w:r>
    </w:p>
    <w:p>
      <w:pPr>
        <w:pStyle w:val="Text1"/>
        <w:numPr>
          <w:ilvl w:val="0"/>
          <w:numId w:val="136"/>
        </w:numPr>
        <w:rPr>
          <w:noProof/>
        </w:rPr>
      </w:pPr>
      <w:r>
        <w:rPr>
          <w:noProof/>
        </w:rPr>
        <w:t>Засилване на цифровизацията на държавните услуги в подкрепа на интернационализацията;</w:t>
      </w:r>
    </w:p>
    <w:p>
      <w:pPr>
        <w:pStyle w:val="Text1"/>
        <w:numPr>
          <w:ilvl w:val="0"/>
          <w:numId w:val="136"/>
        </w:numPr>
        <w:rPr>
          <w:noProof/>
        </w:rPr>
      </w:pPr>
      <w:r>
        <w:rPr>
          <w:noProof/>
        </w:rPr>
        <w:t>Цифровизация на ICEX (национален публичен стопански субект, който насърчава интернационализацията на испанските предприятия).</w:t>
      </w:r>
    </w:p>
    <w:p>
      <w:pPr>
        <w:pStyle w:val="Text1"/>
        <w:ind w:left="0"/>
        <w:rPr>
          <w:iCs/>
          <w:noProof/>
          <w:highlight w:val="green"/>
        </w:rPr>
      </w:pPr>
      <w:r>
        <w:rPr>
          <w:noProof/>
        </w:rPr>
        <w:t xml:space="preserve">За да се гарантира, че мярката е в съответствие с техническите насоки „Ненанасяне на значителни вреди“ (2021/C58/01), критериите за допустимост, съдържащи се в техническото задание за предстоящи покани за представяне на проекти, изключват следния списък от дейности: </w:t>
      </w:r>
      <w:r>
        <w:rPr>
          <w:noProof/>
          <w:lang w:val="en-US"/>
        </w:rPr>
        <w:t>i</w:t>
      </w:r>
      <w:r>
        <w:rPr>
          <w:noProof/>
        </w:rPr>
        <w:t>) дейности , свързани с изкопаеми горива, включително използване надолу по веригата</w:t>
      </w:r>
      <w:r>
        <w:rPr>
          <w:rStyle w:val="FootnoteReference"/>
          <w:noProof/>
          <w:lang w:val="en-IE"/>
        </w:rPr>
        <w:footnoteReference w:id="53"/>
      </w:r>
      <w:r>
        <w:rPr>
          <w:noProof/>
        </w:rPr>
        <w:t>; ii) дейности по схемата на ЕС за търговия с емисии (СТЕ), с които се постигат прогнозираните емисии на парникови газове, които не са по-ниски от съответните референтни стойности</w:t>
      </w:r>
      <w:r>
        <w:rPr>
          <w:rStyle w:val="FootnoteReference"/>
          <w:noProof/>
          <w:lang w:val="en-IE"/>
        </w:rPr>
        <w:footnoteReference w:id="54"/>
      </w:r>
      <w:r>
        <w:rPr>
          <w:noProof/>
        </w:rPr>
        <w:t>; iii) дейности, свързани с депата за отпадъци, инсталациите за изгаряне на отпадъци</w:t>
      </w:r>
      <w:r>
        <w:rPr>
          <w:rStyle w:val="FootnoteReference"/>
          <w:noProof/>
          <w:lang w:val="en-IE"/>
        </w:rPr>
        <w:footnoteReference w:id="55"/>
      </w:r>
      <w:r>
        <w:rPr>
          <w:noProof/>
        </w:rPr>
        <w:t xml:space="preserve"> и заводите за механично-биологично третиране</w:t>
      </w:r>
      <w:r>
        <w:rPr>
          <w:rStyle w:val="FootnoteReference"/>
          <w:noProof/>
          <w:lang w:val="en-IE"/>
        </w:rPr>
        <w:footnoteReference w:id="56"/>
      </w:r>
      <w:r>
        <w:rPr>
          <w:noProof/>
        </w:rPr>
        <w:t>; и iv) дейности, при които дългосрочното обезвреждане на отпадъци може да причини вреда на околната среда. В допълнение към това в заданието се изисква да могат да бъдат избирани само дейности, които отговарят на съответното законодателство на ЕС и национално законодателство в областта на околната среда.</w:t>
      </w:r>
    </w:p>
    <w:p>
      <w:pPr>
        <w:pStyle w:val="Text1"/>
        <w:ind w:left="0"/>
        <w:rPr>
          <w:noProof/>
        </w:rPr>
      </w:pPr>
      <w:r>
        <w:rPr>
          <w:noProof/>
        </w:rPr>
        <w:t xml:space="preserve">Що се отнася до финансовите инструменти, за да се гарантира, че мярката е в съответствие с Техническите насоки „Ненанасяне на значителни вреди“ (2021/C58/01), правното споразумение между испанските органи и упълномощения субект или финансовия посредник, отговарящ за финансовия инструмент, и последващата инвестиционна политика на финансовия инструмент: </w:t>
      </w:r>
    </w:p>
    <w:p>
      <w:pPr>
        <w:pStyle w:val="Text1"/>
        <w:numPr>
          <w:ilvl w:val="0"/>
          <w:numId w:val="177"/>
        </w:numPr>
        <w:rPr>
          <w:noProof/>
        </w:rPr>
      </w:pPr>
      <w:r>
        <w:rPr>
          <w:noProof/>
        </w:rPr>
        <w:t>изисква прилагането на техническите насоки на Комисията относно проверката на устойчивостта за фонда InvestEU; и</w:t>
      </w:r>
    </w:p>
    <w:p>
      <w:pPr>
        <w:pStyle w:val="Text1"/>
        <w:numPr>
          <w:ilvl w:val="0"/>
          <w:numId w:val="177"/>
        </w:numPr>
        <w:rPr>
          <w:noProof/>
        </w:rPr>
      </w:pPr>
      <w:r>
        <w:rPr>
          <w:noProof/>
        </w:rPr>
        <w:t xml:space="preserve">изключване от допустимостта на следния списък с дейности и активи: </w:t>
      </w:r>
      <w:r>
        <w:rPr>
          <w:noProof/>
          <w:lang w:val="en-US"/>
        </w:rPr>
        <w:t>i</w:t>
      </w:r>
      <w:r>
        <w:rPr>
          <w:noProof/>
        </w:rPr>
        <w:t xml:space="preserve">) дейности и активи, свързани с изкопаеми горива, включително използване надолу по веригата </w:t>
      </w:r>
      <w:r>
        <w:rPr>
          <w:noProof/>
          <w:vertAlign w:val="superscript"/>
          <w:lang w:val="en-IE"/>
        </w:rPr>
        <w:footnoteReference w:id="57"/>
      </w:r>
      <w:r>
        <w:rPr>
          <w:noProof/>
        </w:rPr>
        <w:t>; ii) дейности и активи по схемата на ЕС за търговия с емисии (СТЕ), с които се постигат прогнозираните емисии на парникови газове, които не са по-ниски от съответните референтни стойности</w:t>
      </w:r>
      <w:r>
        <w:rPr>
          <w:noProof/>
          <w:vertAlign w:val="superscript"/>
          <w:lang w:val="en-IE"/>
        </w:rPr>
        <w:footnoteReference w:id="58"/>
      </w:r>
      <w:r>
        <w:rPr>
          <w:noProof/>
        </w:rPr>
        <w:t>; iii) дейности и активи, свързани с депата за отпадъци, инсталациите за изгаряне на отпадъци</w:t>
      </w:r>
      <w:r>
        <w:rPr>
          <w:noProof/>
          <w:vertAlign w:val="superscript"/>
          <w:lang w:val="en-IE"/>
        </w:rPr>
        <w:footnoteReference w:id="59"/>
      </w:r>
      <w:r>
        <w:rPr>
          <w:noProof/>
        </w:rPr>
        <w:t xml:space="preserve"> и заводите за механично-биологично третиране</w:t>
      </w:r>
      <w:r>
        <w:rPr>
          <w:noProof/>
          <w:vertAlign w:val="superscript"/>
          <w:lang w:val="en-IE"/>
        </w:rPr>
        <w:footnoteReference w:id="60"/>
      </w:r>
      <w:r>
        <w:rPr>
          <w:noProof/>
        </w:rPr>
        <w:t>; и iv) дейности и активи, при които дългосрочното обезвреждане на отпадъци може да причини вреда на околната среда; и</w:t>
      </w:r>
    </w:p>
    <w:p>
      <w:pPr>
        <w:pStyle w:val="Text1"/>
        <w:numPr>
          <w:ilvl w:val="0"/>
          <w:numId w:val="177"/>
        </w:numPr>
        <w:rPr>
          <w:noProof/>
        </w:rPr>
      </w:pPr>
      <w:r>
        <w:rPr>
          <w:noProof/>
        </w:rPr>
        <w:t>да изисква проверка на правното съответствие на проектите със съответното законодателство на ЕС и националното законодателство в областта на околната среда от упълномощения субект/финансов посредник за всички сделки, включително освободените от проверка на устойчивостта.</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Изпълнението на инвестицията приключва до 31 декември 2024 г.</w:t>
      </w:r>
    </w:p>
    <w:p>
      <w:pPr>
        <w:spacing w:before="120" w:after="120" w:line="240" w:lineRule="auto"/>
        <w:ind w:left="709"/>
        <w:jc w:val="both"/>
        <w:rPr>
          <w:rFonts w:ascii="Times New Roman" w:hAnsi="Times New Roman" w:cs="Times New Roman"/>
          <w:b/>
          <w:noProof/>
          <w:sz w:val="24"/>
          <w:szCs w:val="24"/>
          <w:u w:val="single"/>
        </w:rPr>
      </w:pPr>
      <w:r>
        <w:rPr>
          <w:rFonts w:ascii="Times New Roman" w:hAnsi="Times New Roman"/>
          <w:b/>
          <w:noProof/>
          <w:sz w:val="24"/>
          <w:szCs w:val="24"/>
          <w:u w:val="single"/>
        </w:rPr>
        <w:t xml:space="preserve">M.2. </w:t>
      </w:r>
      <w:r>
        <w:rPr>
          <w:rFonts w:ascii="Times New Roman" w:hAnsi="Times New Roman"/>
          <w:b/>
          <w:noProof/>
          <w:sz w:val="24"/>
          <w:u w:val="single"/>
        </w:rPr>
        <w:tab/>
      </w:r>
      <w:r>
        <w:rPr>
          <w:rFonts w:ascii="Times New Roman" w:hAnsi="Times New Roman"/>
          <w:b/>
          <w:noProof/>
          <w:sz w:val="24"/>
          <w:szCs w:val="24"/>
          <w:u w:val="single"/>
        </w:rPr>
        <w:t>Ключови етапи, цели, показатели и график за мониторинг и изпълнение на безвъзмездната финансова подкрепа</w:t>
      </w:r>
    </w:p>
    <w:p>
      <w:pPr>
        <w:spacing w:before="120" w:after="120" w:line="240" w:lineRule="auto"/>
        <w:jc w:val="both"/>
        <w:rPr>
          <w:rFonts w:ascii="Times New Roman" w:hAnsi="Times New Roman" w:cs="Times New Roman"/>
          <w:b/>
          <w:noProof/>
          <w:sz w:val="24"/>
          <w:szCs w:val="24"/>
          <w:u w:val="single"/>
        </w:rPr>
      </w:pPr>
      <w:r>
        <w:rPr>
          <w:rFonts w:ascii="Times New Roman" w:hAnsi="Times New Roman"/>
          <w:i/>
          <w:noProof/>
          <w:color w:val="000000"/>
          <w:sz w:val="24"/>
          <w:szCs w:val="24"/>
        </w:rPr>
        <w:t>Вж. таблицата по-долу.</w:t>
      </w:r>
      <w:r>
        <w:rPr>
          <w:rFonts w:ascii="Times New Roman" w:hAnsi="Times New Roman"/>
          <w:noProof/>
          <w:color w:val="1F497D"/>
          <w:sz w:val="24"/>
          <w:szCs w:val="24"/>
        </w:rPr>
        <w:t xml:space="preserve"> </w:t>
      </w:r>
      <w:r>
        <w:rPr>
          <w:rFonts w:ascii="Times New Roman" w:hAnsi="Times New Roman"/>
          <w:i/>
          <w:noProof/>
          <w:color w:val="000000"/>
          <w:sz w:val="24"/>
          <w:szCs w:val="24"/>
        </w:rPr>
        <w:t>Датата на базовата линия за всички показатели е 1 февруари 2020 г., освен ако не е посочено друго в описанието на действието. Сумите в таблицата не включват ДДС.</w:t>
      </w:r>
    </w:p>
    <w:p>
      <w:pPr>
        <w:spacing w:before="120" w:after="120" w:line="240" w:lineRule="auto"/>
        <w:ind w:left="709"/>
        <w:jc w:val="both"/>
        <w:rPr>
          <w:rFonts w:ascii="Times New Roman" w:hAnsi="Times New Roman" w:cs="Times New Roman"/>
          <w:noProof/>
          <w:sz w:val="24"/>
          <w:lang w:val="en-IE"/>
        </w:rPr>
      </w:pPr>
    </w:p>
    <w:p>
      <w:pPr>
        <w:spacing w:before="120" w:after="120" w:line="240" w:lineRule="auto"/>
        <w:ind w:left="709"/>
        <w:jc w:val="both"/>
        <w:rPr>
          <w:rFonts w:ascii="Times New Roman" w:hAnsi="Times New Roman" w:cs="Times New Roman"/>
          <w:noProof/>
          <w:sz w:val="24"/>
          <w:lang w:val="en-IE"/>
        </w:rPr>
        <w:sectPr>
          <w:headerReference w:type="even" r:id="rId163"/>
          <w:headerReference w:type="default" r:id="rId164"/>
          <w:footerReference w:type="even" r:id="rId165"/>
          <w:footerReference w:type="default" r:id="rId166"/>
          <w:headerReference w:type="first" r:id="rId167"/>
          <w:footerReference w:type="first" r:id="rId168"/>
          <w:pgSz w:w="11907" w:h="16839"/>
          <w:pgMar w:top="1134" w:right="1417" w:bottom="1134" w:left="1417" w:header="709" w:footer="709" w:gutter="0"/>
          <w:cols w:space="720"/>
          <w:docGrid w:linePitch="360"/>
        </w:sectPr>
      </w:pPr>
    </w:p>
    <w:tbl>
      <w:tblPr>
        <w:tblW w:w="15310"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09"/>
        <w:gridCol w:w="851"/>
        <w:gridCol w:w="850"/>
        <w:gridCol w:w="2127"/>
        <w:gridCol w:w="1134"/>
        <w:gridCol w:w="850"/>
        <w:gridCol w:w="821"/>
        <w:gridCol w:w="880"/>
        <w:gridCol w:w="290"/>
        <w:gridCol w:w="702"/>
        <w:gridCol w:w="6096"/>
      </w:tblGrid>
      <w:tr>
        <w:trPr>
          <w:trHeight w:val="309"/>
          <w:tblHeader/>
        </w:trPr>
        <w:tc>
          <w:tcPr>
            <w:tcW w:w="709"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szCs w:val="18"/>
              </w:rPr>
              <w:t>Номер</w:t>
            </w:r>
          </w:p>
        </w:tc>
        <w:tc>
          <w:tcPr>
            <w:tcW w:w="851"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szCs w:val="18"/>
              </w:rPr>
              <w:t>Мярка</w:t>
            </w:r>
          </w:p>
        </w:tc>
        <w:tc>
          <w:tcPr>
            <w:tcW w:w="850"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szCs w:val="18"/>
              </w:rPr>
              <w:t>Ключов етап / Цел</w:t>
            </w:r>
          </w:p>
        </w:tc>
        <w:tc>
          <w:tcPr>
            <w:tcW w:w="2127"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szCs w:val="18"/>
              </w:rPr>
              <w:t>Наименование</w:t>
            </w:r>
          </w:p>
        </w:tc>
        <w:tc>
          <w:tcPr>
            <w:tcW w:w="1134"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szCs w:val="18"/>
              </w:rPr>
              <w:t>Качествени показатели за ключовите етапи</w:t>
            </w:r>
          </w:p>
        </w:tc>
        <w:tc>
          <w:tcPr>
            <w:tcW w:w="2551" w:type="dxa"/>
            <w:gridSpan w:val="3"/>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szCs w:val="18"/>
              </w:rPr>
              <w:t>Количествени показатели за целите</w:t>
            </w:r>
          </w:p>
        </w:tc>
        <w:tc>
          <w:tcPr>
            <w:tcW w:w="992" w:type="dxa"/>
            <w:gridSpan w:val="2"/>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szCs w:val="18"/>
              </w:rPr>
              <w:t>Време</w:t>
            </w:r>
          </w:p>
        </w:tc>
        <w:tc>
          <w:tcPr>
            <w:tcW w:w="6096"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sz w:val="18"/>
                <w:szCs w:val="18"/>
              </w:rPr>
              <w:t>Описание на всеки ключов етап и всяка цел</w:t>
            </w:r>
          </w:p>
        </w:tc>
      </w:tr>
      <w:tr>
        <w:trPr>
          <w:trHeight w:val="309"/>
          <w:tblHeader/>
        </w:trPr>
        <w:tc>
          <w:tcPr>
            <w:tcW w:w="709"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851"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850"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2127" w:type="dxa"/>
            <w:tcBorders>
              <w:top w:val="nil"/>
            </w:tcBorders>
            <w:shd w:val="clear" w:color="auto" w:fill="C6D9F1" w:themeFill="text2" w:themeFillTint="33"/>
            <w:noWrap/>
          </w:tcPr>
          <w:p>
            <w:pPr>
              <w:spacing w:after="0" w:line="240" w:lineRule="auto"/>
              <w:rPr>
                <w:rFonts w:ascii="Times New Roman" w:hAnsi="Times New Roman" w:cs="Times New Roman"/>
                <w:b/>
                <w:noProof/>
                <w:color w:val="000000"/>
                <w:sz w:val="18"/>
                <w:szCs w:val="18"/>
              </w:rPr>
            </w:pPr>
          </w:p>
        </w:tc>
        <w:tc>
          <w:tcPr>
            <w:tcW w:w="1134"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850" w:type="dxa"/>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szCs w:val="18"/>
              </w:rPr>
              <w:t>Мерна единица</w:t>
            </w:r>
          </w:p>
        </w:tc>
        <w:tc>
          <w:tcPr>
            <w:tcW w:w="821" w:type="dxa"/>
            <w:shd w:val="clear" w:color="auto" w:fill="C6D9F1" w:themeFill="text2" w:themeFillTint="33"/>
            <w:noWrap/>
          </w:tcPr>
          <w:p>
            <w:pPr>
              <w:spacing w:after="0" w:line="240" w:lineRule="auto"/>
              <w:jc w:val="center"/>
              <w:rPr>
                <w:rFonts w:ascii="Times New Roman" w:hAnsi="Times New Roman" w:cs="Times New Roman"/>
                <w:b/>
                <w:noProof/>
                <w:color w:val="000000"/>
                <w:spacing w:val="-6"/>
                <w:sz w:val="18"/>
                <w:szCs w:val="18"/>
              </w:rPr>
            </w:pPr>
            <w:r>
              <w:rPr>
                <w:rFonts w:ascii="Times New Roman" w:hAnsi="Times New Roman"/>
                <w:b/>
                <w:noProof/>
                <w:color w:val="000000"/>
                <w:spacing w:val="-6"/>
                <w:sz w:val="18"/>
                <w:szCs w:val="18"/>
              </w:rPr>
              <w:t>Базова стойност</w:t>
            </w:r>
          </w:p>
        </w:tc>
        <w:tc>
          <w:tcPr>
            <w:tcW w:w="880" w:type="dxa"/>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szCs w:val="18"/>
              </w:rPr>
              <w:t>Цел</w:t>
            </w:r>
          </w:p>
        </w:tc>
        <w:tc>
          <w:tcPr>
            <w:tcW w:w="290" w:type="dxa"/>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szCs w:val="18"/>
              </w:rPr>
              <w:t>T</w:t>
            </w:r>
          </w:p>
        </w:tc>
        <w:tc>
          <w:tcPr>
            <w:tcW w:w="702" w:type="dxa"/>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szCs w:val="18"/>
              </w:rPr>
              <w:t>Година</w:t>
            </w:r>
          </w:p>
        </w:tc>
        <w:tc>
          <w:tcPr>
            <w:tcW w:w="6096" w:type="dxa"/>
            <w:tcBorders>
              <w:top w:val="nil"/>
            </w:tcBorders>
            <w:shd w:val="clear" w:color="auto" w:fill="C6D9F1" w:themeFill="text2" w:themeFillTint="33"/>
            <w:noWrap/>
          </w:tcPr>
          <w:p>
            <w:pPr>
              <w:spacing w:after="0" w:line="240" w:lineRule="auto"/>
              <w:rPr>
                <w:rFonts w:ascii="Times New Roman" w:hAnsi="Times New Roman" w:cs="Times New Roman"/>
                <w:b/>
                <w:noProof/>
                <w:color w:val="000000"/>
                <w:sz w:val="18"/>
                <w:szCs w:val="18"/>
                <w:lang w:val="en-IE"/>
              </w:rPr>
            </w:pP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189</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C13.R1</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212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Влизане в сила на Закона за изменение на Закон 34/2006 относно достъпа до професиите „адвокат“ и „юрист“ </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Разпоредба от закона, указваща влизането в сила на закона </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 </w:t>
            </w:r>
          </w:p>
        </w:tc>
        <w:tc>
          <w:tcPr>
            <w:tcW w:w="821"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88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29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702"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2021</w:t>
            </w:r>
          </w:p>
        </w:tc>
        <w:tc>
          <w:tcPr>
            <w:tcW w:w="6096" w:type="dxa"/>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С влизането в сила на Закона за изменение на Закон 34/2006 относно достъпа до професиите „адвокат“ и „юрист“: </w:t>
            </w:r>
            <w:r>
              <w:rPr>
                <w:rFonts w:ascii="Times New Roman" w:hAnsi="Times New Roman"/>
                <w:noProof/>
                <w:color w:val="000000"/>
                <w:sz w:val="18"/>
                <w:szCs w:val="18"/>
              </w:rPr>
              <w:br/>
              <w:t>— Реформа на настоящата система на минимални такси в система от максимални такси и ново задължение за представяне на оценка на разходите на клиента в консултация.</w:t>
            </w:r>
            <w:r>
              <w:rPr>
                <w:rFonts w:ascii="Times New Roman" w:hAnsi="Times New Roman"/>
                <w:noProof/>
                <w:color w:val="000000"/>
                <w:sz w:val="18"/>
                <w:szCs w:val="18"/>
              </w:rPr>
              <w:br/>
              <w:t>— Да се даде възможност за мултидисциплинарни дейности за професиите „адвокат“ и „юрист“ в рамките на едно и също юридическо лице</w:t>
            </w:r>
            <w:r>
              <w:rPr>
                <w:rFonts w:ascii="Times New Roman" w:hAnsi="Times New Roman"/>
                <w:noProof/>
                <w:color w:val="000000"/>
                <w:sz w:val="18"/>
                <w:szCs w:val="18"/>
              </w:rPr>
              <w:br/>
              <w:t>— Eдинен достъп до професиите „адвокат“ и „юрист“.</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190</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C13.R1</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212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Влизане в сила на Закона за реформа на Закона за несъстоятелността</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Разпоредба от закона, указваща влизането в сила на закона </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 </w:t>
            </w:r>
          </w:p>
        </w:tc>
        <w:tc>
          <w:tcPr>
            <w:tcW w:w="821"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88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29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T2</w:t>
            </w:r>
          </w:p>
        </w:tc>
        <w:tc>
          <w:tcPr>
            <w:tcW w:w="702"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2022</w:t>
            </w:r>
          </w:p>
        </w:tc>
        <w:tc>
          <w:tcPr>
            <w:tcW w:w="6096"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Влизане в сила на реформата на Закона за несъстоятелността.</w:t>
            </w:r>
            <w:r>
              <w:rPr>
                <w:rFonts w:ascii="Times New Roman" w:hAnsi="Times New Roman"/>
                <w:noProof/>
                <w:color w:val="000000"/>
                <w:sz w:val="18"/>
                <w:szCs w:val="18"/>
              </w:rPr>
              <w:br/>
              <w:t>С реформата на Закона за несъстоятелността, която надхвърля изискванията на директивата, се</w:t>
            </w:r>
            <w:r>
              <w:rPr>
                <w:rFonts w:ascii="Times New Roman" w:hAnsi="Times New Roman"/>
                <w:noProof/>
                <w:color w:val="000000"/>
                <w:sz w:val="18"/>
                <w:szCs w:val="18"/>
              </w:rPr>
              <w:br/>
              <w:t>— Създава по-ефикасна процедура за предоставяне на втори шанс за физически лица, която позволява опрощаване на дългове без предварителна ликвидация на активите на неплатежоспособната страна ,</w:t>
            </w:r>
            <w:r>
              <w:rPr>
                <w:rFonts w:ascii="Times New Roman" w:hAnsi="Times New Roman"/>
                <w:noProof/>
                <w:color w:val="000000"/>
                <w:sz w:val="18"/>
                <w:szCs w:val="18"/>
              </w:rPr>
              <w:br/>
              <w:t>— Създава специална процедура за микро-МСП, която намалява продължителността и разходите и ще бъде изцяло обработена по електронен път.</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191</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C13.R1</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212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Влизане в сила на Закона за създаване и растеж на предприятия</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Разпоредба от закона, указваща влизането в сила на закона </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 </w:t>
            </w:r>
          </w:p>
        </w:tc>
        <w:tc>
          <w:tcPr>
            <w:tcW w:w="821"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88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29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702"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2022</w:t>
            </w:r>
          </w:p>
        </w:tc>
        <w:tc>
          <w:tcPr>
            <w:tcW w:w="6096"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Влизане в сила на новия „Закон за създаване и растеж на предприятия“ с цел опростяване на процедурите за създаване на предприятие и насърчаване на диверсифицирани източници на финансиране за растеж на бизнеса. Законът за създаване на предприятия и растеж включва също така мерки за насърчаване на култура на ранно плащане, по-специално за осигуряване на ликвидност на МСП и самостоятелно заетите лица чрез избягване на просрочени плащания. Мерките, които трябва да бъдат приложени за насърчаване на култура на ранно плащане, включват насоки за публичност и прозрачност на сроковете за плащане, най-добри бизнес практики и механизми за по-добро правоприлагане, като например система за извънсъдебно разрешаване на спорове. Законът за създаването и растежа на предприятията включва също така изменения в „Закона за единството на пазара“, за да се улесни прилагането му и да се укрепят механизмите, които са на разположение на операторите на пазара, засегнати от пазарни бариери. </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192</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C13.R2</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212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Влизане в сила на Закона за стартиращите предприятия</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Разпоредба от закона, указваща влизането в сила на закона </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 </w:t>
            </w:r>
          </w:p>
        </w:tc>
        <w:tc>
          <w:tcPr>
            <w:tcW w:w="821"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88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29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702"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2022</w:t>
            </w:r>
          </w:p>
        </w:tc>
        <w:tc>
          <w:tcPr>
            <w:tcW w:w="6096"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Влизане в сила на „Закон за стартиращите предприятия“, който създава благоприятна рамка за създаването и растежа на силно иновативни стартиращи предприятия. Със Закона за стартиращите предприятия се въвеждат реформи на данъчните вноски под формата на стимули за насърчаване и улесняване на развитието на стартиращи предприятия, както и привличането на чуждестранни предприемачи и инвеститори, в съответствие с целите на фискалната консолидация. </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193</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C13.I1</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w:t>
            </w:r>
          </w:p>
        </w:tc>
        <w:tc>
          <w:tcPr>
            <w:tcW w:w="212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Предприемачи или МСП, които се възползват от мерки за насърчаване на предприемаческата екосистема</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Номер</w:t>
            </w:r>
          </w:p>
        </w:tc>
        <w:tc>
          <w:tcPr>
            <w:tcW w:w="821"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0</w:t>
            </w:r>
          </w:p>
        </w:tc>
        <w:tc>
          <w:tcPr>
            <w:tcW w:w="88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6 900</w:t>
            </w:r>
          </w:p>
        </w:tc>
        <w:tc>
          <w:tcPr>
            <w:tcW w:w="29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702"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2023</w:t>
            </w:r>
          </w:p>
        </w:tc>
        <w:tc>
          <w:tcPr>
            <w:tcW w:w="6096"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Най-малко 6 900 предприемачи или МСП, завършили програма, насочена към насърчаване на предприемаческата екосистема, в рамките на стратегическата рамка за политиката за МСП до 2030 г., испанската стратегия за предприемачеството и Програмата в областта на цифровите технологии за Европа на Испания до 2025 г., включително най-малко 2 000 жени предприемачи/МСП, ръководени или участвали от жени, и в съответствие с техническите насоки „Ненанасяне на значителни вреди“ (2021/C58/01) на подпомаганите сделки по тази мярка чрез използване на проверка на устойчивостта, използване на списък за изключване и изискване за спазване на съответното законодателство на ЕС и национално законодателство в областта на околната среда.</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194</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C13.I1</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w:t>
            </w:r>
          </w:p>
        </w:tc>
        <w:tc>
          <w:tcPr>
            <w:tcW w:w="212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Ползватели, възползващи се от мерки за насърчаване на предприемаческата екосистема</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Номер</w:t>
            </w:r>
          </w:p>
        </w:tc>
        <w:tc>
          <w:tcPr>
            <w:tcW w:w="821"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0</w:t>
            </w:r>
          </w:p>
        </w:tc>
        <w:tc>
          <w:tcPr>
            <w:tcW w:w="88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ex 2207 12 000</w:t>
            </w:r>
          </w:p>
        </w:tc>
        <w:tc>
          <w:tcPr>
            <w:tcW w:w="29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702"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2023</w:t>
            </w:r>
          </w:p>
        </w:tc>
        <w:tc>
          <w:tcPr>
            <w:tcW w:w="6096"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Най-малко 12 000 ползватели, които се възползват от мерки, насочени към насърчаване на предприемаческата екосистема, в рамките на стратегическата рамка за политиката за МСП до 2030 г., испанската стратегия за предприемачество и Програмата в областта на цифровите технологии за Европа до 2025 г.; и в съответствие с техническите насоки „Ненанасяне на значителни вреди“ (2021/C58/01) на подкрепените сделки по тази мярка чрез използване на проверка на устойчивостта, използване на списък за изключване и изискване за спазване на съответното законодателство на ЕС и националното законодателство в областта на околната среда.</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195</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C13.I1</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w:t>
            </w:r>
          </w:p>
        </w:tc>
        <w:tc>
          <w:tcPr>
            <w:tcW w:w="212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Други действия за разпространение на информация, комуникация и финансиране</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Номер</w:t>
            </w:r>
          </w:p>
        </w:tc>
        <w:tc>
          <w:tcPr>
            <w:tcW w:w="821"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0</w:t>
            </w:r>
          </w:p>
        </w:tc>
        <w:tc>
          <w:tcPr>
            <w:tcW w:w="88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480</w:t>
            </w:r>
          </w:p>
        </w:tc>
        <w:tc>
          <w:tcPr>
            <w:tcW w:w="29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702"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2023</w:t>
            </w:r>
          </w:p>
        </w:tc>
        <w:tc>
          <w:tcPr>
            <w:tcW w:w="6096"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Бяха завършени най-малко 480 действия за разпространение и комуникационни кампании за създаването, развитието или привличането в Испания на международни прояви, насочени към иновативни дружества и програма за привличане на талантливи жени. Това включва най-малко 20 прояви в областта на предприемачеството, разработени в рамките на програмата „Флаг“; и най-малко 260 комуникационни дейности (200 медийни изяви и 60 прояви) в рамките на „Brand Spain Entrepreneurship Nation“. Финансиране на линия за подкрепа на предприемачеството и МСП чрез програмата за подкрепа на предприемачеството сред жените. Това включва подкрепа за най-малко 200 жени предприемачи чрез заеми с участие, отпуснати от Empresa Nacional de Innovación, S.A., в съответствие с техническите насоки „Ненанасяне на значителни вреди“ (2021/C58/01) на подкрепените сделки по тази мярка чрез използване на проверка на устойчивостта, използване на списък за изключване и изискване за спазване на съответното законодателство на ЕС и националното законодателство в областта на околната среда.</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196</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C13.I2</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w:t>
            </w:r>
          </w:p>
        </w:tc>
        <w:tc>
          <w:tcPr>
            <w:tcW w:w="212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Гаранция на CERSA</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в милиони евро </w:t>
            </w:r>
          </w:p>
        </w:tc>
        <w:tc>
          <w:tcPr>
            <w:tcW w:w="821"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0</w:t>
            </w:r>
          </w:p>
        </w:tc>
        <w:tc>
          <w:tcPr>
            <w:tcW w:w="88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1 000</w:t>
            </w:r>
          </w:p>
        </w:tc>
        <w:tc>
          <w:tcPr>
            <w:tcW w:w="29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702"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2023</w:t>
            </w:r>
          </w:p>
        </w:tc>
        <w:tc>
          <w:tcPr>
            <w:tcW w:w="6096"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Гаранция на CERSA: Най-малко 1 000 000 000 EUR гаранции, предоставени от CERSA, позволяващи на МСП да получат гаранции за дългосрочни инвестиции и оборотен капитал. Критериите за подбор гарантират съответствие с техническите насоки „Ненанасяне на значителни вреди“ (2021/C58/01) на подкрепените сделки по тази мярка чрез използване на проверка на устойчивостта, използване на списък за изключване и изискване за спазване на съответното законодателство на ЕС и националното законодателство в областта на околната среда. </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197</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C13.I2</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w:t>
            </w:r>
          </w:p>
        </w:tc>
        <w:tc>
          <w:tcPr>
            <w:tcW w:w="212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МСП, подпомагани от програмата „Умения за растеж на МСП“</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Номер</w:t>
            </w:r>
          </w:p>
        </w:tc>
        <w:tc>
          <w:tcPr>
            <w:tcW w:w="821"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0</w:t>
            </w:r>
          </w:p>
        </w:tc>
        <w:tc>
          <w:tcPr>
            <w:tcW w:w="88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ex 2207 11 000</w:t>
            </w:r>
          </w:p>
        </w:tc>
        <w:tc>
          <w:tcPr>
            <w:tcW w:w="29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702"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2023</w:t>
            </w:r>
          </w:p>
        </w:tc>
        <w:tc>
          <w:tcPr>
            <w:tcW w:w="6096"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Най-малко 11 000 МСП, завършили програмата „Умения за растеж на МСП“. Критериите за подбор гарантират съответствие с техническите насоки „Ненанасяне на значителни вреди“ (2021/C58/01) на подкрепените сделки по тази мярка чрез използване на проверка на устойчивостта, използване на списък за изключване и изискване за спазване на съответното законодателство на ЕС и националното законодателство в областта на околната среда.</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198</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C13.I2</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w:t>
            </w:r>
          </w:p>
        </w:tc>
        <w:tc>
          <w:tcPr>
            <w:tcW w:w="212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Предприемачи и МСП, подпомагани от Програмата за подкрепа на предприемачеството в промишлеността</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Номер</w:t>
            </w:r>
          </w:p>
        </w:tc>
        <w:tc>
          <w:tcPr>
            <w:tcW w:w="821"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0</w:t>
            </w:r>
          </w:p>
        </w:tc>
        <w:tc>
          <w:tcPr>
            <w:tcW w:w="88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1 500</w:t>
            </w:r>
          </w:p>
        </w:tc>
        <w:tc>
          <w:tcPr>
            <w:tcW w:w="29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702"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2023</w:t>
            </w:r>
          </w:p>
        </w:tc>
        <w:tc>
          <w:tcPr>
            <w:tcW w:w="6096"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szCs w:val="18"/>
              </w:rPr>
              <w:t>На предприемачите и МСП се предоставя дългосрочно финансиране за проекти за промишлени инвестиции в рамките на Програмата за подкрепа на предприемачеството в промишлеността. Финансиране се предоставя за създаването на промишлени предприятия или за разширяване на съществуващи съоръжения. Критериите за подбор гарантират съответствие с техническите насоки „Ненанасяне на значителни вреди“ (2021/C58/01) на подкрепените сделки по тази мярка чрез използване на проверка на устойчивостта, използване на списък за изключване и изискване за спазване на съответното законодателство на ЕС и националното законодателство в областта на околната среда. Критериите за подбор гарантират съответствие с техническите насоки „Ненанасяне на значителни вреди“ (2021/C58/01) на подкрепените сделки по тази мярка чрез използване на проверка на устойчивостта, използване на списък за изключване и изискване за спазване на съответното законодателство на ЕС и националното законодателство в областта на околната среда.</w:t>
            </w:r>
          </w:p>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(Базова линия: 01 януари 2021 г.)</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199</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C13.I3</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212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План за цифровизация на МСП за периода 2021—2025 г.</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Публикуване</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 </w:t>
            </w:r>
          </w:p>
        </w:tc>
        <w:tc>
          <w:tcPr>
            <w:tcW w:w="821"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88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29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T1</w:t>
            </w:r>
          </w:p>
        </w:tc>
        <w:tc>
          <w:tcPr>
            <w:tcW w:w="702"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2021</w:t>
            </w:r>
          </w:p>
        </w:tc>
        <w:tc>
          <w:tcPr>
            <w:tcW w:w="6096"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Одобряване от Съвета на министрите на Плана за цифровизиране на МСП за периода 2021—2025 г., в който се предвижда набор от инструменти за включване в микро- и автономните предприятия на вече наличните цифрови инструменти, насърчаване на цифровизацията на малките предприятия и насърчаване на технологичните иновации</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200</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C13.I3</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w:t>
            </w:r>
          </w:p>
        </w:tc>
        <w:tc>
          <w:tcPr>
            <w:tcW w:w="212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Бюджет, заделен за програмата „Цифрови инструменти“</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821"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0</w:t>
            </w:r>
          </w:p>
        </w:tc>
        <w:tc>
          <w:tcPr>
            <w:tcW w:w="88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30</w:t>
            </w:r>
          </w:p>
        </w:tc>
        <w:tc>
          <w:tcPr>
            <w:tcW w:w="29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702"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2022</w:t>
            </w:r>
          </w:p>
        </w:tc>
        <w:tc>
          <w:tcPr>
            <w:tcW w:w="6096"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За поне 30 % от бюджета са поети задължения в размер на 3 067 000 000 EUR, предназначени за действия за цифровизиране на МСП чрез Програмата за цифрови инструменти, в съответствие с техническите насоки „Ненанасяне на значителни вреди“ (2021/C58/01) чрез използването на списък за изключване и изискването за спазване на съответното законодателство на ЕС и националното законодателство в областта на околната среда.</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201</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C13.I3</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w:t>
            </w:r>
          </w:p>
        </w:tc>
        <w:tc>
          <w:tcPr>
            <w:tcW w:w="212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Бюджет, предназначен за служители по програмата за промяна</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821"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0</w:t>
            </w:r>
          </w:p>
        </w:tc>
        <w:tc>
          <w:tcPr>
            <w:tcW w:w="88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30</w:t>
            </w:r>
          </w:p>
        </w:tc>
        <w:tc>
          <w:tcPr>
            <w:tcW w:w="29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702"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2022</w:t>
            </w:r>
          </w:p>
        </w:tc>
        <w:tc>
          <w:tcPr>
            <w:tcW w:w="6096"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Най-малко 30 % от бюджета за поети задължения в размер на 300 000 000 EUR, предназначени за МСП в рамките на програмата „Агенти за промяна“. Поканите за представяне на предложения с мандат включват критерии за допустимост, които гарантират, че избраните проекти отговарят на техническите насоки „Ненанасяне на значителни вреди“ (2021/C58/01) чрез използването на списък за изключване и изискването за спазване на съответното законодателство на ЕС и националното законодателство в областта на околната среда.</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C13.I3</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w:t>
            </w:r>
          </w:p>
        </w:tc>
        <w:tc>
          <w:tcPr>
            <w:tcW w:w="212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Бюджет, отпуснат за програмата за подкрепа на иновативни бизнес клъстери</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821"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0</w:t>
            </w:r>
          </w:p>
        </w:tc>
        <w:tc>
          <w:tcPr>
            <w:tcW w:w="88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30</w:t>
            </w:r>
          </w:p>
        </w:tc>
        <w:tc>
          <w:tcPr>
            <w:tcW w:w="29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702"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2022</w:t>
            </w:r>
          </w:p>
        </w:tc>
        <w:tc>
          <w:tcPr>
            <w:tcW w:w="6096"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Най-малко 30 % от бюджета са поети като задължения в размер на 115 000 000 EUR, предназначени за МСП в рамките на програмата за подкрепа на иновативни бизнес клъстери. Поканите за представяне на предложения с мандат включват критерии за допустимост, които гарантират, че избраните проекти отговарят на техническите насоки „Ненанасяне на значителни вреди“ (2021/C58/01) чрез използването на списък за изключване и изискването за спазване на съответното законодателство на ЕС и националното законодателство в областта на околната среда.</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203</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C13.I3</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w:t>
            </w:r>
          </w:p>
        </w:tc>
        <w:tc>
          <w:tcPr>
            <w:tcW w:w="212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Бюджет, заделен за програмата за ЦЦИ</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821"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0</w:t>
            </w:r>
          </w:p>
        </w:tc>
        <w:tc>
          <w:tcPr>
            <w:tcW w:w="88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30</w:t>
            </w:r>
          </w:p>
        </w:tc>
        <w:tc>
          <w:tcPr>
            <w:tcW w:w="29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702"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2022</w:t>
            </w:r>
          </w:p>
        </w:tc>
        <w:tc>
          <w:tcPr>
            <w:tcW w:w="6096"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Поне 30 % от бюджета са поети като задължения в размер на 37 590 000 EUR, предназначени за МСП в рамките на програмата „Цифрови иновационни центрове“. Поканите за представяне на предложения с мандат включват критерии за допустимост, които гарантират, че избраните проекти отговарят на техническите насоки „Ненанасяне на значителни вреди“ (2021/C58/01) чрез използването на списък за изключване и изискването за спазване на съответното законодателство на ЕС и националното законодателство в областта на околната среда.</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204</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C13.I3</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w:t>
            </w:r>
          </w:p>
        </w:tc>
        <w:tc>
          <w:tcPr>
            <w:tcW w:w="212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МСП, подпомагани от програмата „Цифров инструментариум“</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Номер</w:t>
            </w:r>
          </w:p>
        </w:tc>
        <w:tc>
          <w:tcPr>
            <w:tcW w:w="821"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0</w:t>
            </w:r>
          </w:p>
        </w:tc>
        <w:tc>
          <w:tcPr>
            <w:tcW w:w="88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800 000</w:t>
            </w:r>
          </w:p>
        </w:tc>
        <w:tc>
          <w:tcPr>
            <w:tcW w:w="29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702"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2023</w:t>
            </w:r>
          </w:p>
        </w:tc>
        <w:tc>
          <w:tcPr>
            <w:tcW w:w="6096"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Най-малко 800 000 МСП са получили подкрепа по програмата „Цифрови инструменти„в съответствие с техническите насоки „Ненанасяне на значителни вреди“ (2021/C58/01) чрез използването на списък за изключване и изискването за спазване на съответното законодателство на ЕС и националното законодателство в областта на околната среда.</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205</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C13.I3</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w:t>
            </w:r>
          </w:p>
        </w:tc>
        <w:tc>
          <w:tcPr>
            <w:tcW w:w="212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Бюджетно изпълнение на служители по програмата за промяна</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821"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30</w:t>
            </w:r>
          </w:p>
        </w:tc>
        <w:tc>
          <w:tcPr>
            <w:tcW w:w="88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100</w:t>
            </w:r>
          </w:p>
        </w:tc>
        <w:tc>
          <w:tcPr>
            <w:tcW w:w="29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702"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2023</w:t>
            </w:r>
          </w:p>
        </w:tc>
        <w:tc>
          <w:tcPr>
            <w:tcW w:w="6096"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100 % от бюджета за поети задължения в размер на 300 000 000 EUR, отпуснати на МСП в рамките на програмата „Агенти за промяна“. Това е програма, която има за цел да подкрепи най-малко 15 000 малки и средни предприятия (10—249 служители) в техните процеси на цифрова трансформация. Критериите за подбор гарантират съответствие с техническите насоки „Ненанасяне на значителни вреди“ (2021/C58/01) чрез използването на списък за изключване и изискването за съответствие със съответното законодателство на ЕС и национално законодателство в областта на околната среда. (Базова линия: 31 декември 2022 г.)</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206</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C13.I3</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w:t>
            </w:r>
          </w:p>
        </w:tc>
        <w:tc>
          <w:tcPr>
            <w:tcW w:w="212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Изпълнение на бюджета на програмата за подкрепа на иновативни бизнес клъстери </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821"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30</w:t>
            </w:r>
          </w:p>
        </w:tc>
        <w:tc>
          <w:tcPr>
            <w:tcW w:w="88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100</w:t>
            </w:r>
          </w:p>
        </w:tc>
        <w:tc>
          <w:tcPr>
            <w:tcW w:w="29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702"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2023</w:t>
            </w:r>
          </w:p>
        </w:tc>
        <w:tc>
          <w:tcPr>
            <w:tcW w:w="6096"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100 % от бюджета за поети задължения в размер на 115 000 000 EUR, предназначени за МСП в рамките на програмата за подкрепа на иновативни бизнес клъстери. Целта на тази мярка е да се подкрепят проекти за цифровизация на веригата за създаване на стойност в различните промишлени сектори, с цел те да бъдат модернизирани и МСП да бъдат включени във веригата за създаване на стойност. Поканите за представяне на предложения с мандат включват критерии за допустимост, които гарантират, че избраните проекти отговарят на техническите насоки „Ненанасяне на значителни вреди“ (2021/C58/01) чрез използването на списък за изключване и изискването за спазване на съответното законодателство на ЕС и националното законодателство в областта на околната среда. (изходно положение: 31 декември 2022 г.)</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207</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C13.I3</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w:t>
            </w:r>
          </w:p>
        </w:tc>
        <w:tc>
          <w:tcPr>
            <w:tcW w:w="212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Изпълнение на бюджета на програмата DIH</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w:t>
            </w:r>
          </w:p>
        </w:tc>
        <w:tc>
          <w:tcPr>
            <w:tcW w:w="821"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30</w:t>
            </w:r>
          </w:p>
        </w:tc>
        <w:tc>
          <w:tcPr>
            <w:tcW w:w="88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100</w:t>
            </w:r>
          </w:p>
        </w:tc>
        <w:tc>
          <w:tcPr>
            <w:tcW w:w="29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702"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2023</w:t>
            </w:r>
          </w:p>
        </w:tc>
        <w:tc>
          <w:tcPr>
            <w:tcW w:w="6096"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100 % от бюджета са поети като задължения в размер на 37 590 000 EUR, предназначени за МСП в рамките на програмата „Цифрови иновационни центрове“. Това е програма, която помага на дружествата да станат по-конкурентоспособни чрез подобряване на своите стопански и производствени процеси чрез интензивно използване на цифрови технологии. Като част от тази подмярка 25 ЦЦИ ще бъдат подпомогнати. Поканите за представяне на предложения с мандат включват критерии за допустимост, които гарантират, че избраните проекти отговарят на техническите насоки „Ненанасяне на значителни вреди“ (2021/C58/01) чрез използването на списък за изключване и изискването за спазване на съответното законодателство на ЕС и националното законодателство в областта на околната среда. (изходно положение: 31 декември 2022 г.)</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208</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C13.I3</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w:t>
            </w:r>
          </w:p>
        </w:tc>
        <w:tc>
          <w:tcPr>
            <w:tcW w:w="212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Приключване на програмата „Цифров инструментариум“</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Номер</w:t>
            </w:r>
          </w:p>
        </w:tc>
        <w:tc>
          <w:tcPr>
            <w:tcW w:w="821"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800 000</w:t>
            </w:r>
          </w:p>
        </w:tc>
        <w:tc>
          <w:tcPr>
            <w:tcW w:w="88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1 000 000</w:t>
            </w:r>
          </w:p>
        </w:tc>
        <w:tc>
          <w:tcPr>
            <w:tcW w:w="29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702"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2024</w:t>
            </w:r>
          </w:p>
        </w:tc>
        <w:tc>
          <w:tcPr>
            <w:tcW w:w="6096" w:type="dxa"/>
            <w:shd w:val="clear" w:color="auto" w:fill="C6EFCE"/>
            <w:noWrap/>
          </w:tcPr>
          <w:p>
            <w:pPr>
              <w:spacing w:after="120" w:line="240" w:lineRule="auto"/>
              <w:rPr>
                <w:rFonts w:ascii="Times New Roman" w:hAnsi="Times New Roman" w:cs="Times New Roman"/>
                <w:noProof/>
                <w:color w:val="000000"/>
                <w:sz w:val="18"/>
                <w:szCs w:val="18"/>
              </w:rPr>
            </w:pPr>
            <w:r>
              <w:rPr>
                <w:rFonts w:ascii="Times New Roman" w:hAnsi="Times New Roman"/>
                <w:noProof/>
                <w:color w:val="000000"/>
                <w:sz w:val="18"/>
                <w:szCs w:val="18"/>
              </w:rPr>
              <w:t>Най-малко 1 000 000 МСП са получили подкрепа по програмата „Цифрови инструменти„в съответствие с техническите насоки „Ненанасяне на значителни вреди“ (2021/C58/01) чрез използването на списък за изключване и изискването за спазване на съответното законодателство на ЕС и националното законодателство в областта на околната среда. Програмата се основава на предоставянето на безвъзмездни средства в подкрепа на интегрирането на цифровите технологии с цел ефективно възприемане на електронната търговия, цифровизация на отношенията с администрацията и с клиентите, разработване на вътрешни цифрови процеси и въвеждане на електронно фактуриране и цифров маркетинг; насърчаване на решения, насочени по-специално към услугите. Програмата ще субсидира частично разходите за приемане на пакети от основни цифрови решения, като например присъствие в интернет, електронни продажби, компютърни услуги в облак, работа в областта на цифровите технологии, основни процеси на цифровизация, управление на клиентите, цифров маркетинг и киберсигурност. (изходно положение: 31 декември 2023 г.)</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209</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C13.I3</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w:t>
            </w:r>
          </w:p>
        </w:tc>
        <w:tc>
          <w:tcPr>
            <w:tcW w:w="212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МСП, които са приключили действия, насочени към увеличаване на използването на цифрови технологии от тях (с изключение на набор от цифрови инструменти)</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Номер</w:t>
            </w:r>
          </w:p>
        </w:tc>
        <w:tc>
          <w:tcPr>
            <w:tcW w:w="821"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0</w:t>
            </w:r>
          </w:p>
        </w:tc>
        <w:tc>
          <w:tcPr>
            <w:tcW w:w="88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171 000</w:t>
            </w:r>
          </w:p>
        </w:tc>
        <w:tc>
          <w:tcPr>
            <w:tcW w:w="29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702"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2025</w:t>
            </w:r>
          </w:p>
        </w:tc>
        <w:tc>
          <w:tcPr>
            <w:tcW w:w="6096" w:type="dxa"/>
            <w:shd w:val="clear" w:color="auto" w:fill="C6EFCE"/>
            <w:noWrap/>
          </w:tcPr>
          <w:p>
            <w:pPr>
              <w:pStyle w:val="Text1"/>
              <w:spacing w:before="0"/>
              <w:ind w:left="0"/>
              <w:jc w:val="left"/>
              <w:rPr>
                <w:noProof/>
                <w:sz w:val="18"/>
                <w:szCs w:val="18"/>
              </w:rPr>
            </w:pPr>
            <w:r>
              <w:rPr>
                <w:noProof/>
                <w:color w:val="000000"/>
                <w:sz w:val="18"/>
                <w:szCs w:val="18"/>
              </w:rPr>
              <w:t>Най-малко 171 000 МСП, които са приключили действия, насочени към увеличаване на използването на цифрови технологии от тях, като получават подкрепа от следните програми: „Участници на промяната в програмата„, „Ускорители на МСП 2.0“; „Програма за подкрепа на иновативни бизнес клъстери“ и „Програма за цифрови иновационни центрове“. Поканите за представяне на предложения с мандат включват критерии за допустимост, които гарантират, че избраните проекти отговарят на техническите насоки „Ненанасяне на значителни вреди“ (2021/C58/01) чрез използването на списък за изключване и изискването за спазване на съответното законодателство на ЕС и националното законодателство в областта на околната среда.</w:t>
            </w:r>
            <w:r>
              <w:rPr>
                <w:noProof/>
                <w:color w:val="000000"/>
                <w:sz w:val="18"/>
                <w:szCs w:val="18"/>
              </w:rPr>
              <w:br/>
              <w:t>1) Програма „Актьори на промяната“: това е програма, която подкрепя най-малко 15 000 малки и средни предприятия (TEN-249 служители) в техните процеси на цифрова трансформация.</w:t>
            </w:r>
            <w:r>
              <w:rPr>
                <w:noProof/>
                <w:color w:val="000000"/>
                <w:sz w:val="18"/>
                <w:szCs w:val="18"/>
              </w:rPr>
              <w:br/>
              <w:t>2) Програма „Ускорители SME 2.0“: Това е действие в рамките на инвестицията, което ще разшири инфраструктурата в подкрепа на цифровизацията на МСП с консултантски услуги и услуги за обучение.</w:t>
            </w:r>
            <w:r>
              <w:rPr>
                <w:noProof/>
                <w:color w:val="000000"/>
                <w:sz w:val="18"/>
                <w:szCs w:val="18"/>
              </w:rPr>
              <w:br/>
              <w:t>3) Програма „Подкрепа за иновативни бизнес клъстери“: тази мярка подкрепя проекти за цифровизация на веригата за създаване на стойност в различните промишлени сектори с цел тяхното модернизиране и включване на МСП във веригата за създаване на стойност.</w:t>
            </w:r>
            <w:r>
              <w:rPr>
                <w:noProof/>
                <w:color w:val="000000"/>
                <w:sz w:val="18"/>
                <w:szCs w:val="18"/>
              </w:rPr>
              <w:br/>
              <w:t>4) Програма „Цифрови иновационни центрове“ (DIH): Това е програма, която помага на дружествата да станат по-конкурентоспособни чрез подобряване на своите стопански и производствени процеси чрез интензивно използване на цифрови технологии.</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210</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C13.I4</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w:t>
            </w:r>
          </w:p>
        </w:tc>
        <w:tc>
          <w:tcPr>
            <w:tcW w:w="212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МСП и бизнес асоциации, получили подкрепа от Технологичния фонд</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Номер</w:t>
            </w:r>
          </w:p>
        </w:tc>
        <w:tc>
          <w:tcPr>
            <w:tcW w:w="821"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0</w:t>
            </w:r>
          </w:p>
        </w:tc>
        <w:tc>
          <w:tcPr>
            <w:tcW w:w="88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200</w:t>
            </w:r>
          </w:p>
        </w:tc>
        <w:tc>
          <w:tcPr>
            <w:tcW w:w="29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702"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2023</w:t>
            </w:r>
          </w:p>
        </w:tc>
        <w:tc>
          <w:tcPr>
            <w:tcW w:w="6096" w:type="dxa"/>
            <w:shd w:val="clear" w:color="auto" w:fill="C6EFCE"/>
            <w:noWrap/>
          </w:tcPr>
          <w:p>
            <w:pPr>
              <w:spacing w:after="0" w:line="240" w:lineRule="auto"/>
              <w:rPr>
                <w:rFonts w:ascii="Times New Roman" w:hAnsi="Times New Roman"/>
                <w:noProof/>
                <w:color w:val="000000"/>
                <w:sz w:val="18"/>
                <w:szCs w:val="18"/>
              </w:rPr>
            </w:pPr>
            <w:r>
              <w:rPr>
                <w:rFonts w:ascii="Times New Roman" w:hAnsi="Times New Roman"/>
                <w:noProof/>
                <w:color w:val="000000"/>
                <w:sz w:val="18"/>
                <w:szCs w:val="18"/>
              </w:rPr>
              <w:t>Най-малко 200 МСП или стопански асоциации в търговския сектор са получили безвъзмездни средства от Технологичния фонд в съответствие с техническите насоки „Ненанасяне на значителни вреди“ (2021/C58/01) чрез използването на списък за изключване и изискването за спазване на съответното законодателство на ЕС и националното законодателство в областта на околната среда.</w:t>
            </w:r>
            <w:r>
              <w:rPr>
                <w:rFonts w:ascii="Times New Roman" w:hAnsi="Times New Roman"/>
                <w:noProof/>
                <w:color w:val="000000"/>
                <w:sz w:val="18"/>
                <w:szCs w:val="18"/>
              </w:rPr>
              <w:br/>
              <w:t>Проекти в сектора на дребния търговски сектор, насочени към включване на нови технологии, които дават възможност на местната търговия да отговори на новите потребителски навици, в рамките на „Технологичния фонд“ (200 проекта). Сред допустимите проекти по този фонд са:</w:t>
            </w:r>
            <w:r>
              <w:rPr>
                <w:rFonts w:ascii="Times New Roman" w:hAnsi="Times New Roman"/>
                <w:noProof/>
                <w:color w:val="000000"/>
                <w:sz w:val="18"/>
                <w:szCs w:val="18"/>
              </w:rPr>
              <w:br/>
              <w:t>а) Проекти в областта на новите технологии, насочени към подобряване на търговската и комуникационната стратегия онлайн, бизнес моделите или опита при пазаруването;</w:t>
            </w:r>
            <w:r>
              <w:rPr>
                <w:rFonts w:ascii="Times New Roman" w:hAnsi="Times New Roman"/>
                <w:noProof/>
                <w:color w:val="000000"/>
                <w:sz w:val="18"/>
                <w:szCs w:val="18"/>
              </w:rPr>
              <w:br/>
              <w:t>б) Проекти в областта на новите технологии за адаптиране на физическото пазаруване към новите потребности и навици на потребителите, както и към новите модели на управление;</w:t>
            </w:r>
            <w:r>
              <w:rPr>
                <w:rFonts w:ascii="Times New Roman" w:hAnsi="Times New Roman"/>
                <w:noProof/>
                <w:color w:val="000000"/>
                <w:sz w:val="18"/>
                <w:szCs w:val="18"/>
              </w:rPr>
              <w:br/>
              <w:t>в) Проекти за технологични решения за подобряване на ефективността и устойчивостта на логистиката в „последната миля“;</w:t>
            </w:r>
          </w:p>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szCs w:val="18"/>
              </w:rPr>
              <w:t>г) Проекти за прилагане на технологични решения за подобряване на енергийната и ресурсната ефективност.</w:t>
            </w:r>
            <w:r>
              <w:rPr>
                <w:rFonts w:ascii="Times New Roman" w:hAnsi="Times New Roman"/>
                <w:noProof/>
                <w:color w:val="000000"/>
                <w:sz w:val="18"/>
                <w:szCs w:val="18"/>
              </w:rPr>
              <w:br/>
              <w:t xml:space="preserve">Инвестицията ще бъде допълнена със създаването на цифрова платформа </w:t>
            </w:r>
            <w:r>
              <w:rPr>
                <w:rFonts w:ascii="Times New Roman" w:hAnsi="Times New Roman"/>
                <w:i/>
                <w:noProof/>
                <w:color w:val="000000"/>
                <w:sz w:val="18"/>
                <w:szCs w:val="18"/>
              </w:rPr>
              <w:t>(Plataforma Comercio Conectado)</w:t>
            </w:r>
            <w:r>
              <w:rPr>
                <w:rFonts w:ascii="Times New Roman" w:hAnsi="Times New Roman"/>
                <w:noProof/>
                <w:color w:val="000000"/>
                <w:sz w:val="18"/>
                <w:szCs w:val="18"/>
              </w:rPr>
              <w:t xml:space="preserve"> за насърчаване на цифровизацията на сектора. </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211</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C13.I4</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w:t>
            </w:r>
          </w:p>
        </w:tc>
        <w:tc>
          <w:tcPr>
            <w:tcW w:w="212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Действия за модернизация на общинските пазари или търговските зони</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Номер</w:t>
            </w:r>
          </w:p>
        </w:tc>
        <w:tc>
          <w:tcPr>
            <w:tcW w:w="821"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0</w:t>
            </w:r>
          </w:p>
        </w:tc>
        <w:tc>
          <w:tcPr>
            <w:tcW w:w="88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30</w:t>
            </w:r>
          </w:p>
        </w:tc>
        <w:tc>
          <w:tcPr>
            <w:tcW w:w="29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702"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2024</w:t>
            </w:r>
          </w:p>
        </w:tc>
        <w:tc>
          <w:tcPr>
            <w:tcW w:w="6096"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szCs w:val="18"/>
              </w:rPr>
              <w:t>Най-малко 30 действия за модернизация, извършени на общински пазари или търговски зони, в съответствие с Техническите насоки „Ненанасяне на значителни вреди“ (2021/C58/01) чрез използването на списък за изключване и изискването за спазване на съответното законодателство на ЕС и националното законодателство в областта на околната среда.</w:t>
            </w:r>
            <w:r>
              <w:rPr>
                <w:rFonts w:ascii="Times New Roman" w:hAnsi="Times New Roman"/>
                <w:noProof/>
                <w:color w:val="000000"/>
                <w:sz w:val="18"/>
                <w:szCs w:val="18"/>
              </w:rPr>
              <w:br/>
              <w:t>Проекти, представени от местните органи за подобряване на модернизацията на общинските пазари, търговските зони, непостоянните пазари и късите канали за предлагане на пазара в рамките на програмата „Устойчиви пазари“ (30 проекта). Сред допустимите проекти по тази програма са:</w:t>
            </w:r>
            <w:r>
              <w:rPr>
                <w:rFonts w:ascii="Times New Roman" w:hAnsi="Times New Roman"/>
                <w:noProof/>
                <w:color w:val="000000"/>
                <w:sz w:val="18"/>
                <w:szCs w:val="18"/>
              </w:rPr>
              <w:br/>
              <w:t>а) Проекти за приемане на инструменти за анализ на клиентите въз основа на големи информационни масиви или други технологии.</w:t>
            </w:r>
            <w:r>
              <w:rPr>
                <w:rFonts w:ascii="Times New Roman" w:hAnsi="Times New Roman"/>
                <w:noProof/>
                <w:color w:val="000000"/>
                <w:sz w:val="18"/>
                <w:szCs w:val="18"/>
              </w:rPr>
              <w:br/>
              <w:t>б) Проекти в областта на цифровата трансформация на пазарите, които подобряват универсалния пазар и пазаруването.</w:t>
            </w:r>
            <w:r>
              <w:rPr>
                <w:rFonts w:ascii="Times New Roman" w:hAnsi="Times New Roman"/>
                <w:noProof/>
                <w:color w:val="000000"/>
                <w:sz w:val="18"/>
                <w:szCs w:val="18"/>
              </w:rPr>
              <w:br/>
              <w:t>в) Проекти, насочени към цифровата трансформация на уличната търговия и късите канали за търговия.</w:t>
            </w:r>
            <w:r>
              <w:rPr>
                <w:rFonts w:ascii="Times New Roman" w:hAnsi="Times New Roman"/>
                <w:noProof/>
                <w:color w:val="000000"/>
                <w:sz w:val="18"/>
                <w:szCs w:val="18"/>
              </w:rPr>
              <w:br/>
              <w:t>г) Проекти за строителство и обновяване с цел подобряване на инфраструктурата, тяхната достъпност, оборудване и адекватност на площите, заемани от общинските пазари, търговските зони и непостоянните пазари и прилежащите им площи.</w:t>
            </w:r>
            <w:r>
              <w:rPr>
                <w:rFonts w:ascii="Times New Roman" w:hAnsi="Times New Roman"/>
                <w:noProof/>
                <w:color w:val="000000"/>
                <w:sz w:val="18"/>
                <w:szCs w:val="18"/>
              </w:rPr>
              <w:br/>
              <w:t>д) Проекти за намаляване на потреблението на суровини от търговията и заместването им с екологосъобразни алтернативи.</w:t>
            </w:r>
            <w:r>
              <w:rPr>
                <w:rFonts w:ascii="Times New Roman" w:hAnsi="Times New Roman"/>
                <w:noProof/>
                <w:color w:val="000000"/>
                <w:sz w:val="18"/>
                <w:szCs w:val="18"/>
              </w:rPr>
              <w:br/>
              <w:t>е) Инсталиране на интелигентни пунктове за доставка.</w:t>
            </w:r>
            <w:r>
              <w:rPr>
                <w:rFonts w:ascii="Times New Roman" w:hAnsi="Times New Roman"/>
                <w:noProof/>
                <w:color w:val="000000"/>
                <w:sz w:val="18"/>
                <w:szCs w:val="18"/>
              </w:rPr>
              <w:br/>
              <w:t>ж) Проекти за подобряване на енергийната ефективност на общинските пазари, търговски зони, непостоянните пазари.</w:t>
            </w:r>
            <w:r>
              <w:rPr>
                <w:rFonts w:ascii="Times New Roman" w:hAnsi="Times New Roman"/>
                <w:noProof/>
                <w:color w:val="000000"/>
                <w:sz w:val="18"/>
                <w:szCs w:val="18"/>
              </w:rPr>
              <w:br/>
              <w:t>з) Действия, които насърчават рециклирането или повторната употреба на отпадъци.</w:t>
            </w:r>
            <w:r>
              <w:rPr>
                <w:rFonts w:ascii="Times New Roman" w:hAnsi="Times New Roman"/>
                <w:noProof/>
                <w:color w:val="000000"/>
                <w:sz w:val="18"/>
                <w:szCs w:val="18"/>
              </w:rPr>
              <w:br/>
              <w:t>и) Повишаване на осведомеността и обучение в областта на технологичните умения на общинските пазари, търговските зони, пазарите за продажба без уседналост.</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212</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C13.I4</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w:t>
            </w:r>
          </w:p>
        </w:tc>
        <w:tc>
          <w:tcPr>
            <w:tcW w:w="212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Модернизиране на пазарната инфраструктура в малките общини</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Номер</w:t>
            </w:r>
          </w:p>
        </w:tc>
        <w:tc>
          <w:tcPr>
            <w:tcW w:w="821"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0</w:t>
            </w:r>
          </w:p>
        </w:tc>
        <w:tc>
          <w:tcPr>
            <w:tcW w:w="88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100</w:t>
            </w:r>
          </w:p>
        </w:tc>
        <w:tc>
          <w:tcPr>
            <w:tcW w:w="29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702"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2024</w:t>
            </w:r>
          </w:p>
        </w:tc>
        <w:tc>
          <w:tcPr>
            <w:tcW w:w="6096"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Най-малко 100 завършени действия за модернизиране на пазарната инфраструктура в малките общини са одобрени и стартирани в съответствие с Техническите насоки „Ненанасяне на значителни вреди“ (2021/C58/01) чрез използване на списък за изключване и изискване за спазване на съответното законодателство на ЕС и националното законодателство в областта на околната среда.</w:t>
            </w:r>
            <w:r>
              <w:rPr>
                <w:rFonts w:ascii="Times New Roman" w:hAnsi="Times New Roman"/>
                <w:noProof/>
                <w:color w:val="000000"/>
                <w:sz w:val="18"/>
                <w:szCs w:val="18"/>
              </w:rPr>
              <w:br/>
              <w:t>Проекти, представени от малки общини, за подобрения в модернизацията на общинските пазари, търговските зони, непостоянните пазари и късите канали за предлагане на пазара по програмата „Устойчиви пазари“ (30 проекта): Сред допустимите проекти по тази програма са:</w:t>
            </w:r>
            <w:r>
              <w:rPr>
                <w:rFonts w:ascii="Times New Roman" w:hAnsi="Times New Roman"/>
                <w:noProof/>
                <w:color w:val="000000"/>
                <w:sz w:val="18"/>
                <w:szCs w:val="18"/>
              </w:rPr>
              <w:br/>
              <w:t>а) Проекти за приемане на инструменти за анализ на клиентите въз основа на големи информационни масиви или други технологии.</w:t>
            </w:r>
            <w:r>
              <w:rPr>
                <w:rFonts w:ascii="Times New Roman" w:hAnsi="Times New Roman"/>
                <w:noProof/>
                <w:color w:val="000000"/>
                <w:sz w:val="18"/>
                <w:szCs w:val="18"/>
              </w:rPr>
              <w:br/>
              <w:t>б) Проекти в областта на цифровата трансформация на пазарите, които подобряват универсалния пазар и пазаруването.</w:t>
            </w:r>
            <w:r>
              <w:rPr>
                <w:rFonts w:ascii="Times New Roman" w:hAnsi="Times New Roman"/>
                <w:noProof/>
                <w:color w:val="000000"/>
                <w:sz w:val="18"/>
                <w:szCs w:val="18"/>
              </w:rPr>
              <w:br/>
              <w:t>в) Проекти, насочени към цифровата трансформация на уличната търговия и късите канали за маркетинг.</w:t>
            </w:r>
            <w:r>
              <w:rPr>
                <w:rFonts w:ascii="Times New Roman" w:hAnsi="Times New Roman"/>
                <w:noProof/>
                <w:color w:val="000000"/>
                <w:sz w:val="18"/>
                <w:szCs w:val="18"/>
              </w:rPr>
              <w:br/>
              <w:t>г) Проекти за строителство и обновяване с цел подобряване на инфраструктурата, тяхната достъпност, оборудване и адекватност на площите, заемани от общинските пазари, търговските зони и непостоянните пазари и прилежащите им площи.</w:t>
            </w:r>
            <w:r>
              <w:rPr>
                <w:rFonts w:ascii="Times New Roman" w:hAnsi="Times New Roman"/>
                <w:noProof/>
                <w:color w:val="000000"/>
                <w:sz w:val="18"/>
                <w:szCs w:val="18"/>
              </w:rPr>
              <w:br/>
              <w:t>д) Проекти за намаляване на потреблението на суровини от търговията и заместването им с екологосъобразни алтернативи.</w:t>
            </w:r>
            <w:r>
              <w:rPr>
                <w:rFonts w:ascii="Times New Roman" w:hAnsi="Times New Roman"/>
                <w:noProof/>
                <w:color w:val="000000"/>
                <w:sz w:val="18"/>
                <w:szCs w:val="18"/>
              </w:rPr>
              <w:br/>
              <w:t>е) Инсталиране на интелигентни пунктове за доставка.</w:t>
            </w:r>
            <w:r>
              <w:rPr>
                <w:rFonts w:ascii="Times New Roman" w:hAnsi="Times New Roman"/>
                <w:noProof/>
                <w:color w:val="000000"/>
                <w:sz w:val="18"/>
                <w:szCs w:val="18"/>
              </w:rPr>
              <w:br/>
              <w:t>ж) Проекти за подобряване на енергийната ефективност на общинските пазари, търговски зони, непостоянните пазари.</w:t>
            </w:r>
            <w:r>
              <w:rPr>
                <w:rFonts w:ascii="Times New Roman" w:hAnsi="Times New Roman"/>
                <w:noProof/>
                <w:color w:val="000000"/>
                <w:sz w:val="18"/>
                <w:szCs w:val="18"/>
              </w:rPr>
              <w:br/>
              <w:t>з) Действия, които насърчават рециклирането или повторната употреба на отпадъци.</w:t>
            </w:r>
            <w:r>
              <w:rPr>
                <w:rFonts w:ascii="Times New Roman" w:hAnsi="Times New Roman"/>
                <w:noProof/>
                <w:color w:val="000000"/>
                <w:sz w:val="18"/>
                <w:szCs w:val="18"/>
              </w:rPr>
              <w:br/>
              <w:t>и) Повишаване на осведомеността и обучение в областта на технологичните умения на общинските пазари, търговските зони, пазарите за продажба без уседналост.</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213</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C13.I5</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w:t>
            </w:r>
          </w:p>
        </w:tc>
        <w:tc>
          <w:tcPr>
            <w:tcW w:w="212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Дружества, участващи в проекти в подкрепа на тяхната интернационализация</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Номер</w:t>
            </w:r>
          </w:p>
        </w:tc>
        <w:tc>
          <w:tcPr>
            <w:tcW w:w="821"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0</w:t>
            </w:r>
          </w:p>
        </w:tc>
        <w:tc>
          <w:tcPr>
            <w:tcW w:w="88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3 000</w:t>
            </w:r>
          </w:p>
        </w:tc>
        <w:tc>
          <w:tcPr>
            <w:tcW w:w="29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702"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2024</w:t>
            </w:r>
          </w:p>
        </w:tc>
        <w:tc>
          <w:tcPr>
            <w:tcW w:w="6096"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Най-малко 3 000 дружества, от които най-малко 2 500 МСП, които са участвали и завършили проекти в подкрепа на тяхната интернационализация в рамките на плановете за действие за интернационализация 2021—2022 г. и 2023—2024 г. Хоризонталните действия за подкрепа на цифровизацията на сдруженията за износ, търговските камари и административните услуги са от полза за всички износители и насърчават интернационализацията на нови дружества в съответствие с техническите насоки „Ненанасяне на значителни вреди“ (2021/C58/01) чрез използването на списък за изключване и изискването за спазване на съответното законодателство на ЕС и националното законодателство в областта на околната среда.</w:t>
            </w:r>
            <w:r>
              <w:rPr>
                <w:rFonts w:ascii="Times New Roman" w:hAnsi="Times New Roman"/>
                <w:noProof/>
                <w:color w:val="000000"/>
                <w:sz w:val="18"/>
                <w:szCs w:val="18"/>
              </w:rPr>
              <w:br/>
              <w:t xml:space="preserve">Действията по инвестицията се избират от следния списък на проекти/ области: </w:t>
            </w:r>
            <w:r>
              <w:rPr>
                <w:rFonts w:ascii="Times New Roman" w:hAnsi="Times New Roman"/>
                <w:noProof/>
                <w:color w:val="000000"/>
                <w:sz w:val="18"/>
                <w:szCs w:val="18"/>
              </w:rPr>
              <w:br/>
              <w:t>1. Линия за финансиране на проучвания за осъществимост, осъществимост, предварителна осъществимост и отраслова и институционална модернизация</w:t>
            </w:r>
            <w:r>
              <w:rPr>
                <w:rFonts w:ascii="Times New Roman" w:hAnsi="Times New Roman"/>
                <w:noProof/>
                <w:color w:val="000000"/>
                <w:sz w:val="18"/>
                <w:szCs w:val="18"/>
              </w:rPr>
              <w:br/>
              <w:t>2. Програмата INNOVA Invest за подпомагане на чуждестранните инвестиции в НИРД.</w:t>
            </w:r>
            <w:r>
              <w:rPr>
                <w:rFonts w:ascii="Times New Roman" w:hAnsi="Times New Roman"/>
                <w:noProof/>
                <w:color w:val="000000"/>
                <w:sz w:val="18"/>
                <w:szCs w:val="18"/>
              </w:rPr>
              <w:br/>
              <w:t>3. Програма VIVES за предоставяне на финансова подкрепа за наемане на стажанти в дружества, участващи в дейности по износ.</w:t>
            </w:r>
            <w:r>
              <w:rPr>
                <w:rFonts w:ascii="Times New Roman" w:hAnsi="Times New Roman"/>
                <w:noProof/>
                <w:color w:val="000000"/>
                <w:sz w:val="18"/>
                <w:szCs w:val="18"/>
              </w:rPr>
              <w:br/>
              <w:t>4. Програма за наставничество и обучение за интернационализация.</w:t>
            </w:r>
            <w:r>
              <w:rPr>
                <w:rFonts w:ascii="Times New Roman" w:hAnsi="Times New Roman"/>
                <w:noProof/>
                <w:color w:val="000000"/>
                <w:sz w:val="18"/>
                <w:szCs w:val="18"/>
              </w:rPr>
              <w:br/>
              <w:t>5. Програма за укрепване на комуникационните системи, телематичните услуги и цифровизацията на експортно федерациите, испанските търговски камари и техните федерации.</w:t>
            </w:r>
            <w:r>
              <w:rPr>
                <w:rFonts w:ascii="Times New Roman" w:hAnsi="Times New Roman"/>
                <w:noProof/>
                <w:color w:val="000000"/>
                <w:sz w:val="18"/>
                <w:szCs w:val="18"/>
              </w:rPr>
              <w:br/>
              <w:t>6. Програмата за разширяване на базата на износа – програма за предоставяне на персонализирано наставничество за интернационализацията на предприятията и по-специално на МСП.</w:t>
            </w:r>
            <w:r>
              <w:rPr>
                <w:rFonts w:ascii="Times New Roman" w:hAnsi="Times New Roman"/>
                <w:noProof/>
                <w:color w:val="000000"/>
                <w:sz w:val="18"/>
                <w:szCs w:val="18"/>
              </w:rPr>
              <w:br/>
              <w:t>7. Програма за укрепване на испанската екосистема за предприятия с висок растеж.</w:t>
            </w:r>
            <w:r>
              <w:rPr>
                <w:rFonts w:ascii="Times New Roman" w:hAnsi="Times New Roman"/>
                <w:noProof/>
                <w:color w:val="000000"/>
                <w:sz w:val="18"/>
                <w:szCs w:val="18"/>
              </w:rPr>
              <w:br/>
              <w:t>8. Помощ за отваряне и консолидиране на пазарите чрез субсидии за разходи, свързани с инспекции и одити на органите на трети държави, и за правни и консултантски разходи за търговска защита.</w:t>
            </w:r>
            <w:r>
              <w:rPr>
                <w:rFonts w:ascii="Times New Roman" w:hAnsi="Times New Roman"/>
                <w:noProof/>
                <w:color w:val="000000"/>
                <w:sz w:val="18"/>
                <w:szCs w:val="18"/>
              </w:rPr>
              <w:br/>
              <w:t>9. Програма за финансови стимули от страна на COFIDES (държавна финансова институция, която предоставя средносрочно и дългосрочно финансиране в подкрепа на инвестиционни проекти за интернационализация на предприятията) за насърчаване на инвестициите с въздействие.</w:t>
            </w:r>
            <w:r>
              <w:rPr>
                <w:rFonts w:ascii="Times New Roman" w:hAnsi="Times New Roman"/>
                <w:noProof/>
                <w:color w:val="000000"/>
                <w:sz w:val="18"/>
                <w:szCs w:val="18"/>
              </w:rPr>
              <w:br/>
              <w:t xml:space="preserve">10. Засилване на цифровизацията на държавните услуги в подкрепа на интернационализацията. </w:t>
            </w:r>
            <w:r>
              <w:rPr>
                <w:rFonts w:ascii="Times New Roman" w:hAnsi="Times New Roman"/>
                <w:noProof/>
                <w:color w:val="000000"/>
                <w:sz w:val="18"/>
                <w:szCs w:val="18"/>
              </w:rPr>
              <w:br/>
              <w:t>11. Цифровизация на ICEX (национален публичен бизнес субект, който насърчава интернационализацията на испанските предприятия) и създаване на виртуален университет.</w:t>
            </w:r>
            <w:r>
              <w:rPr>
                <w:rFonts w:ascii="Times New Roman" w:hAnsi="Times New Roman"/>
                <w:noProof/>
                <w:color w:val="000000"/>
                <w:sz w:val="18"/>
                <w:szCs w:val="18"/>
              </w:rPr>
              <w:br/>
              <w:t xml:space="preserve">Критериите за подбор гарантират съответствие с техническите насоки „Ненанасяне на значителни вреди“ (2021/C58/01) на подкрепените сделки по тази мярка чрез използване на проверка на устойчивостта, използване на списък за изключване и изискване за спазване на съответното законодателство на ЕС и националното законодателство в областта на околната среда. </w:t>
            </w:r>
          </w:p>
        </w:tc>
      </w:tr>
    </w:tbl>
    <w:p>
      <w:pPr>
        <w:spacing w:before="120" w:after="120" w:line="240" w:lineRule="auto"/>
        <w:ind w:left="709"/>
        <w:jc w:val="both"/>
        <w:rPr>
          <w:rFonts w:ascii="Times New Roman" w:hAnsi="Times New Roman" w:cs="Times New Roman"/>
          <w:noProof/>
          <w:sz w:val="24"/>
        </w:rPr>
        <w:sectPr>
          <w:headerReference w:type="even" r:id="rId169"/>
          <w:headerReference w:type="default" r:id="rId170"/>
          <w:footerReference w:type="even" r:id="rId171"/>
          <w:footerReference w:type="default" r:id="rId172"/>
          <w:headerReference w:type="first" r:id="rId173"/>
          <w:footerReference w:type="first" r:id="rId174"/>
          <w:pgSz w:w="16839" w:h="11907" w:orient="landscape"/>
          <w:pgMar w:top="1417" w:right="1134" w:bottom="1417" w:left="1134" w:header="709" w:footer="709" w:gutter="0"/>
          <w:cols w:space="720"/>
          <w:docGrid w:linePitch="360"/>
        </w:sectPr>
      </w:pPr>
    </w:p>
    <w:p>
      <w:pPr>
        <w:pStyle w:val="Heading1"/>
        <w:rPr>
          <w:noProof/>
        </w:rPr>
      </w:pPr>
      <w:r>
        <w:rPr>
          <w:noProof/>
        </w:rPr>
        <w:t>Н. КОМПОНЕНТ 14: Туризъм</w:t>
      </w:r>
    </w:p>
    <w:p>
      <w:pPr>
        <w:keepNext/>
        <w:spacing w:before="120" w:after="120" w:line="240" w:lineRule="auto"/>
        <w:jc w:val="both"/>
        <w:rPr>
          <w:rFonts w:ascii="Times New Roman" w:hAnsi="Times New Roman" w:cs="Times New Roman"/>
          <w:b/>
          <w:smallCaps/>
          <w:noProof/>
          <w:sz w:val="28"/>
        </w:rPr>
      </w:pPr>
      <w:r>
        <w:rPr>
          <w:rFonts w:ascii="Times New Roman" w:hAnsi="Times New Roman"/>
          <w:noProof/>
          <w:sz w:val="24"/>
        </w:rPr>
        <w:t>Компонентът на испанския план за възстановяване и устойчивост е насочен към следните предизвикателства:</w:t>
      </w:r>
    </w:p>
    <w:p>
      <w:pPr>
        <w:numPr>
          <w:ilvl w:val="0"/>
          <w:numId w:val="71"/>
        </w:numPr>
        <w:spacing w:before="120" w:after="160" w:line="240" w:lineRule="auto"/>
        <w:contextualSpacing/>
        <w:jc w:val="both"/>
        <w:rPr>
          <w:rFonts w:ascii="Times New Roman" w:hAnsi="Times New Roman" w:cs="Times New Roman"/>
          <w:noProof/>
          <w:sz w:val="24"/>
        </w:rPr>
      </w:pPr>
      <w:r>
        <w:rPr>
          <w:rFonts w:ascii="Times New Roman" w:hAnsi="Times New Roman"/>
          <w:noProof/>
          <w:sz w:val="24"/>
        </w:rPr>
        <w:t xml:space="preserve">В резултат на кризата, предизвикана от пандемията от Covid-19, испанският туристически сектор е изправен пред много деликатна ситуация и са необходими спешни действия за повишаване на неговата устойчивост и конкурентоспособност. </w:t>
      </w:r>
    </w:p>
    <w:p>
      <w:pPr>
        <w:numPr>
          <w:ilvl w:val="0"/>
          <w:numId w:val="71"/>
        </w:numPr>
        <w:spacing w:before="120" w:after="120" w:line="240" w:lineRule="auto"/>
        <w:jc w:val="both"/>
        <w:rPr>
          <w:rFonts w:ascii="Times New Roman" w:hAnsi="Times New Roman" w:cs="Times New Roman"/>
          <w:noProof/>
          <w:sz w:val="24"/>
        </w:rPr>
      </w:pPr>
      <w:r>
        <w:rPr>
          <w:rFonts w:ascii="Times New Roman" w:hAnsi="Times New Roman"/>
          <w:noProof/>
          <w:sz w:val="24"/>
        </w:rPr>
        <w:t>Канарските острови и Балеарските острови, които са движещи сили на испанската туристическа индустрия, се нуждаят от специални действия за смекчаване на външните фактори и силната им зависимост от ваканционната дейност.</w:t>
      </w:r>
    </w:p>
    <w:p>
      <w:pPr>
        <w:numPr>
          <w:ilvl w:val="0"/>
          <w:numId w:val="71"/>
        </w:numPr>
        <w:spacing w:before="120" w:after="120" w:line="240" w:lineRule="auto"/>
        <w:jc w:val="both"/>
        <w:rPr>
          <w:rFonts w:ascii="Times New Roman" w:hAnsi="Times New Roman" w:cs="Times New Roman"/>
          <w:noProof/>
          <w:sz w:val="24"/>
        </w:rPr>
      </w:pPr>
      <w:r>
        <w:rPr>
          <w:rFonts w:ascii="Times New Roman" w:hAnsi="Times New Roman"/>
          <w:noProof/>
          <w:sz w:val="24"/>
        </w:rPr>
        <w:t>Според Доклада за конкурентоспособността на туризма на Световния икономически форум Испания заема 27-то място в областта на информационните и комуникационните технологии. Освен това публичните и частните инвестиции в НИРД са относително ниски. Освен това в много от докладите се посочва, че туристическият сектор е секторът с най-голям потенциал да се възползва от изкуствения интелект (128 % увеличение на добавената стойност на дейността чрез прилагане на ИИ).</w:t>
      </w:r>
    </w:p>
    <w:p>
      <w:pPr>
        <w:spacing w:before="120" w:after="120" w:line="240" w:lineRule="auto"/>
        <w:jc w:val="both"/>
        <w:rPr>
          <w:rFonts w:ascii="Times New Roman" w:hAnsi="Times New Roman" w:cs="Times New Roman"/>
          <w:noProof/>
          <w:sz w:val="24"/>
        </w:rPr>
      </w:pPr>
      <w:r>
        <w:rPr>
          <w:rFonts w:ascii="Times New Roman" w:hAnsi="Times New Roman"/>
          <w:noProof/>
          <w:sz w:val="24"/>
        </w:rPr>
        <w:t>Целта на този компонент е да се трансформира и модернизира туристическият сектор в Испания чрез повишаване на неговата конкурентоспособност и устойчивост.</w:t>
      </w:r>
    </w:p>
    <w:p>
      <w:pPr>
        <w:spacing w:before="120" w:after="120" w:line="240" w:lineRule="auto"/>
        <w:jc w:val="both"/>
        <w:rPr>
          <w:rFonts w:ascii="Times New Roman" w:hAnsi="Times New Roman" w:cs="Times New Roman"/>
          <w:noProof/>
          <w:color w:val="000000" w:themeColor="text1"/>
          <w:sz w:val="24"/>
        </w:rPr>
      </w:pPr>
      <w:r>
        <w:rPr>
          <w:rFonts w:ascii="Times New Roman" w:hAnsi="Times New Roman"/>
          <w:noProof/>
          <w:sz w:val="24"/>
        </w:rPr>
        <w:t>Компонентът е насочен към специфичните за всяка държава препоръки за насърчаване на инвестициите в иновации и енергийна ефективност и повишаване на ефективността на политиките в подкрепа на научните изследвания и иновациите (специфична препоръка за отделните държави от 3 2019 г.), за подкрепа на икономиката (специфична препоръка 1 2020 за отделните държави), за подкрепа на заетостта чрез мерки за запазване на работните места и за развитие на уменията и за подобряване на достъпа до цифрово обучение (специфична препоръка за отделните държави 2 2020 г.), за насърчаване на публичните и частните инвестиции и за насърчаване на екологичния и цифровия преход (специфична препоръка за държава 3 2020) и за подобряване на координацията между отделните равнища на администрацията (Препоръка 4 за отделните държави до 2020 г.).</w:t>
      </w:r>
    </w:p>
    <w:p>
      <w:pPr>
        <w:spacing w:before="120" w:after="120" w:line="240" w:lineRule="auto"/>
        <w:ind w:left="11"/>
        <w:jc w:val="both"/>
        <w:rPr>
          <w:rFonts w:ascii="Times New Roman" w:hAnsi="Times New Roman" w:cs="Times New Roman"/>
          <w:noProof/>
          <w:color w:val="000000" w:themeColor="text1"/>
          <w:sz w:val="24"/>
        </w:rPr>
      </w:pPr>
      <w:r>
        <w:rPr>
          <w:rFonts w:ascii="Times New Roman" w:hAnsi="Times New Roman"/>
          <w:noProof/>
          <w:color w:val="000000" w:themeColor="text1"/>
          <w:sz w:val="24"/>
          <w:szCs w:val="24"/>
        </w:rPr>
        <w:t>Очаква се, че нито една мярка в този компонент не вреди в значителна степен на екологичните цели по смисъла на член 17 от Регламент (ЕС) 2020/852, като се вземат предвид описанието на мерките и стъпките за смекчаване на последиците, определени в плана за възстановяване и устойчивост в съответствие с Техническите насоки за спазването на „принципа за ненанасяне на съществена вреда“ (2021/C58/01).</w:t>
      </w:r>
      <w:r>
        <w:rPr>
          <w:rFonts w:ascii="Times New Roman" w:hAnsi="Times New Roman"/>
          <w:noProof/>
          <w:color w:val="000000" w:themeColor="text1"/>
          <w:sz w:val="24"/>
        </w:rPr>
        <w:t xml:space="preserve"> </w:t>
      </w:r>
    </w:p>
    <w:p>
      <w:pPr>
        <w:spacing w:before="120" w:after="120" w:line="240" w:lineRule="auto"/>
        <w:ind w:left="720"/>
        <w:jc w:val="both"/>
        <w:rPr>
          <w:rFonts w:ascii="Times New Roman" w:hAnsi="Times New Roman" w:cs="Times New Roman"/>
          <w:i/>
          <w:iCs/>
          <w:noProof/>
          <w:color w:val="4F81BD" w:themeColor="accent1"/>
          <w:sz w:val="24"/>
        </w:rPr>
      </w:pPr>
      <w:r>
        <w:rPr>
          <w:rFonts w:ascii="Times New Roman" w:hAnsi="Times New Roman"/>
          <w:b/>
          <w:bCs/>
          <w:noProof/>
          <w:sz w:val="24"/>
          <w:u w:val="single"/>
        </w:rPr>
        <w:t xml:space="preserve">Н.1. </w:t>
      </w:r>
      <w:r>
        <w:rPr>
          <w:rFonts w:ascii="Times New Roman" w:hAnsi="Times New Roman"/>
          <w:b/>
          <w:noProof/>
          <w:sz w:val="24"/>
          <w:u w:val="single"/>
        </w:rPr>
        <w:tab/>
      </w:r>
      <w:r>
        <w:rPr>
          <w:rFonts w:ascii="Times New Roman" w:hAnsi="Times New Roman"/>
          <w:b/>
          <w:bCs/>
          <w:noProof/>
          <w:sz w:val="24"/>
          <w:u w:val="single"/>
        </w:rPr>
        <w:t>Описание на реформите и инвестициите за безвъзмездна финансова подкрепа</w:t>
      </w:r>
    </w:p>
    <w:p>
      <w:pPr>
        <w:spacing w:before="120" w:after="120" w:line="240" w:lineRule="auto"/>
        <w:jc w:val="both"/>
        <w:rPr>
          <w:rFonts w:ascii="Times New Roman" w:hAnsi="Times New Roman" w:cs="Times New Roman"/>
          <w:noProof/>
          <w:sz w:val="24"/>
          <w:u w:val="single"/>
        </w:rPr>
      </w:pPr>
      <w:r>
        <w:rPr>
          <w:rFonts w:ascii="Times New Roman" w:hAnsi="Times New Roman"/>
          <w:noProof/>
          <w:sz w:val="24"/>
          <w:u w:val="single"/>
        </w:rPr>
        <w:t>Реформа 1 (C14.R1) – Кралски указ за прилагане на Държавния финансов фонд за конкурентоспособност на туризма (FOCIT)</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Целта на реформата е да се подобри конкурентоспособността на туристическия сектор чрез насърчаване на иновациите и подпомагане на енергийната ефективност и кръговата икономика. </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Реформата изменя съществуващите правни актове, уреждащи целите, естеството, операциите и допустимите проекти на Държавния финансов фонд за конкурентоспособност на туризма.  </w:t>
      </w:r>
    </w:p>
    <w:p>
      <w:pPr>
        <w:spacing w:before="120" w:after="120" w:line="240" w:lineRule="auto"/>
        <w:jc w:val="both"/>
        <w:rPr>
          <w:rFonts w:ascii="Times New Roman" w:hAnsi="Times New Roman" w:cs="Times New Roman"/>
          <w:noProof/>
          <w:sz w:val="24"/>
        </w:rPr>
      </w:pPr>
      <w:r>
        <w:rPr>
          <w:rFonts w:ascii="Times New Roman" w:hAnsi="Times New Roman"/>
          <w:noProof/>
          <w:sz w:val="24"/>
        </w:rPr>
        <w:t>Измененият правен акт дава възможност на Държавния финансов фонд за конкурентоспособност на туризма да финансира туристическите предприятия с цел подобряване на енергийната ефективност, намаляване на потреблението на ресурси и генерирането на отпадъци и увеличаване на повторната употреба и рециклирането на отпадъци. В областта на енергийната ефективност и кръговата икономика Фондът финансира иновационни проекти.</w:t>
      </w:r>
    </w:p>
    <w:p>
      <w:pPr>
        <w:spacing w:before="120" w:after="120" w:line="240" w:lineRule="auto"/>
        <w:jc w:val="both"/>
        <w:rPr>
          <w:rFonts w:ascii="Times New Roman" w:hAnsi="Times New Roman" w:cs="Times New Roman"/>
          <w:noProof/>
          <w:sz w:val="24"/>
        </w:rPr>
      </w:pPr>
      <w:r>
        <w:rPr>
          <w:rFonts w:ascii="Times New Roman" w:hAnsi="Times New Roman"/>
          <w:noProof/>
          <w:sz w:val="24"/>
        </w:rPr>
        <w:t>Инструментът за финансиране може да използва схеми за смесено финансиране, съчетаващи заеми с други видове подпомагане. Инструментът се финансира от националния бюджет.</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Реформата включва също така следните специфични мерки: </w:t>
      </w:r>
    </w:p>
    <w:p>
      <w:pPr>
        <w:pStyle w:val="ListParagraph"/>
        <w:numPr>
          <w:ilvl w:val="0"/>
          <w:numId w:val="20"/>
        </w:numPr>
        <w:spacing w:before="120" w:after="120" w:line="240" w:lineRule="auto"/>
        <w:jc w:val="both"/>
        <w:rPr>
          <w:rFonts w:ascii="Times New Roman" w:hAnsi="Times New Roman" w:cs="Times New Roman"/>
          <w:noProof/>
          <w:sz w:val="24"/>
        </w:rPr>
      </w:pPr>
      <w:r>
        <w:rPr>
          <w:rFonts w:ascii="Times New Roman" w:hAnsi="Times New Roman"/>
          <w:noProof/>
        </w:rPr>
        <w:t>определен е план за насърчаване на туристическия сектор, в който са описани мерките за насърчаване на туристическия сектор и рамката за прилагане на мерките, свързани с туризма.</w:t>
      </w:r>
      <w:r>
        <w:rPr>
          <w:rFonts w:ascii="Times New Roman" w:hAnsi="Times New Roman"/>
          <w:noProof/>
          <w:sz w:val="24"/>
        </w:rPr>
        <w:t xml:space="preserve"> </w:t>
      </w:r>
    </w:p>
    <w:p>
      <w:pPr>
        <w:pStyle w:val="ListParagraph"/>
        <w:numPr>
          <w:ilvl w:val="0"/>
          <w:numId w:val="20"/>
        </w:numPr>
        <w:spacing w:line="240" w:lineRule="auto"/>
        <w:rPr>
          <w:rFonts w:ascii="Times New Roman" w:hAnsi="Times New Roman" w:cs="Times New Roman"/>
          <w:noProof/>
          <w:sz w:val="24"/>
        </w:rPr>
      </w:pPr>
      <w:r>
        <w:rPr>
          <w:rFonts w:ascii="Times New Roman" w:hAnsi="Times New Roman"/>
          <w:noProof/>
          <w:sz w:val="24"/>
        </w:rPr>
        <w:t xml:space="preserve">стартирането на уебсайт за събиране на данни от различни източници на статистически данни за туризма, включително публични и частни организации като INE, </w:t>
      </w:r>
      <w:r>
        <w:rPr>
          <w:rFonts w:ascii="Times New Roman" w:hAnsi="Times New Roman"/>
          <w:i/>
          <w:noProof/>
          <w:sz w:val="24"/>
        </w:rPr>
        <w:t>Turespaña</w:t>
      </w:r>
      <w:r>
        <w:rPr>
          <w:rFonts w:ascii="Times New Roman" w:hAnsi="Times New Roman"/>
          <w:noProof/>
          <w:sz w:val="24"/>
        </w:rPr>
        <w:t xml:space="preserve"> , централната банка на Испания, AENA и RENFE. </w:t>
      </w:r>
    </w:p>
    <w:p>
      <w:pPr>
        <w:spacing w:before="120" w:after="120" w:line="240" w:lineRule="auto"/>
        <w:jc w:val="both"/>
        <w:rPr>
          <w:rFonts w:ascii="Times New Roman" w:hAnsi="Times New Roman" w:cs="Times New Roman"/>
          <w:noProof/>
          <w:sz w:val="24"/>
        </w:rPr>
      </w:pPr>
      <w:r>
        <w:rPr>
          <w:rFonts w:ascii="Times New Roman" w:hAnsi="Times New Roman"/>
          <w:noProof/>
          <w:sz w:val="24"/>
        </w:rPr>
        <w:t>Изпълнението на реформата приключва до 31 декември 2021 г.</w:t>
      </w:r>
    </w:p>
    <w:p>
      <w:pPr>
        <w:keepNext/>
        <w:spacing w:before="120" w:after="120" w:line="240" w:lineRule="auto"/>
        <w:jc w:val="both"/>
        <w:rPr>
          <w:rFonts w:ascii="Times New Roman" w:hAnsi="Times New Roman" w:cs="Times New Roman"/>
          <w:noProof/>
          <w:sz w:val="24"/>
          <w:u w:val="single"/>
        </w:rPr>
      </w:pPr>
      <w:r>
        <w:rPr>
          <w:rFonts w:ascii="Times New Roman" w:hAnsi="Times New Roman"/>
          <w:noProof/>
          <w:sz w:val="24"/>
          <w:u w:val="single"/>
        </w:rPr>
        <w:t>Инвестиции 1 (C14.I1) – Преобразуване на туристическия модел към устойчивост</w:t>
      </w:r>
    </w:p>
    <w:p>
      <w:pPr>
        <w:keepNext/>
        <w:spacing w:before="120" w:after="120" w:line="240" w:lineRule="auto"/>
        <w:jc w:val="both"/>
        <w:rPr>
          <w:rFonts w:ascii="Times New Roman" w:hAnsi="Times New Roman" w:cs="Times New Roman"/>
          <w:noProof/>
          <w:sz w:val="24"/>
        </w:rPr>
      </w:pPr>
      <w:r>
        <w:rPr>
          <w:rFonts w:ascii="Times New Roman" w:hAnsi="Times New Roman"/>
          <w:noProof/>
          <w:sz w:val="24"/>
        </w:rPr>
        <w:t xml:space="preserve">Инвестицията има за цел да укрепи екологичната, социално-икономическата и териториалната устойчивост на туризма и е насочена към туристически дестинации, социални партньори и частни оператори в сектора.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Инвестицията се състои от четири подмерки: </w:t>
      </w:r>
    </w:p>
    <w:p>
      <w:pPr>
        <w:numPr>
          <w:ilvl w:val="0"/>
          <w:numId w:val="70"/>
        </w:numPr>
        <w:spacing w:before="120" w:after="160" w:line="240" w:lineRule="auto"/>
        <w:ind w:left="360"/>
        <w:contextualSpacing/>
        <w:jc w:val="both"/>
        <w:rPr>
          <w:rFonts w:ascii="Times New Roman" w:hAnsi="Times New Roman" w:cs="Times New Roman"/>
          <w:noProof/>
          <w:sz w:val="24"/>
          <w:szCs w:val="24"/>
        </w:rPr>
      </w:pPr>
      <w:r>
        <w:rPr>
          <w:rFonts w:ascii="Times New Roman" w:hAnsi="Times New Roman"/>
          <w:noProof/>
          <w:sz w:val="24"/>
        </w:rPr>
        <w:t>Подготовка на стратегията за устойчив туризъм – Испания 2030 г., която ще представлява национална програма в областта на туризма, за да се посрещнат предизвикателствата пред сектора в средносрочен и дългосрочен план, като се засилят трите стълба на устойчивостта: социално-икономически, екологични и териториални;</w:t>
      </w:r>
    </w:p>
    <w:p>
      <w:pPr>
        <w:numPr>
          <w:ilvl w:val="0"/>
          <w:numId w:val="70"/>
        </w:numPr>
        <w:spacing w:before="120" w:after="160" w:line="240" w:lineRule="auto"/>
        <w:ind w:left="360"/>
        <w:contextualSpacing/>
        <w:jc w:val="both"/>
        <w:rPr>
          <w:rFonts w:ascii="Times New Roman" w:hAnsi="Times New Roman" w:cs="Times New Roman"/>
          <w:noProof/>
          <w:sz w:val="24"/>
          <w:szCs w:val="24"/>
        </w:rPr>
      </w:pPr>
      <w:r>
        <w:rPr>
          <w:rFonts w:ascii="Times New Roman" w:hAnsi="Times New Roman"/>
          <w:noProof/>
          <w:sz w:val="24"/>
          <w:szCs w:val="24"/>
        </w:rPr>
        <w:t>Планове за устойчивост на туризма на местоназначение: Тези подмерки се изпълняват в следния последователен ред:</w:t>
      </w:r>
    </w:p>
    <w:p>
      <w:pPr>
        <w:numPr>
          <w:ilvl w:val="0"/>
          <w:numId w:val="72"/>
        </w:numPr>
        <w:spacing w:before="120" w:after="160" w:line="240" w:lineRule="auto"/>
        <w:ind w:left="1069"/>
        <w:contextualSpacing/>
        <w:jc w:val="both"/>
        <w:rPr>
          <w:rFonts w:ascii="Times New Roman" w:hAnsi="Times New Roman" w:cs="Times New Roman"/>
          <w:noProof/>
          <w:sz w:val="24"/>
          <w:szCs w:val="24"/>
        </w:rPr>
      </w:pPr>
      <w:r>
        <w:rPr>
          <w:rFonts w:ascii="Times New Roman" w:hAnsi="Times New Roman"/>
          <w:noProof/>
          <w:sz w:val="24"/>
          <w:szCs w:val="24"/>
        </w:rPr>
        <w:t>Изготвяне на стратегията за устойчивост на туризма на мястото на дестинацията, която ще осигури основата за структуриране, планиране, разработване и оценка на действията на туристическата администрация за трансформиране на дестинациите, в съответствие с критериите за устойчивост и ЦУР на Програмата до 2030 г.</w:t>
      </w:r>
    </w:p>
    <w:p>
      <w:pPr>
        <w:numPr>
          <w:ilvl w:val="0"/>
          <w:numId w:val="72"/>
        </w:numPr>
        <w:spacing w:before="120" w:after="160" w:line="240" w:lineRule="auto"/>
        <w:ind w:left="1069"/>
        <w:contextualSpacing/>
        <w:jc w:val="both"/>
        <w:rPr>
          <w:rFonts w:ascii="Times New Roman" w:hAnsi="Times New Roman" w:cs="Times New Roman"/>
          <w:noProof/>
          <w:szCs w:val="24"/>
        </w:rPr>
      </w:pPr>
      <w:r>
        <w:rPr>
          <w:rFonts w:ascii="Times New Roman" w:hAnsi="Times New Roman"/>
          <w:noProof/>
          <w:sz w:val="24"/>
          <w:szCs w:val="24"/>
        </w:rPr>
        <w:t xml:space="preserve">Подготовка на програмата „План за устойчивост на туризма в дестинацията“. Тази програма определя условията за участие на автономните области и местните органи, обхвата на прилагане, минималните инвестиционни прагове, процедурата за представяне на предложения и правилата за тяхното одобрение, изпълнение и обосновка. </w:t>
      </w:r>
    </w:p>
    <w:p>
      <w:pPr>
        <w:numPr>
          <w:ilvl w:val="0"/>
          <w:numId w:val="72"/>
        </w:numPr>
        <w:spacing w:before="160" w:after="160" w:line="240" w:lineRule="auto"/>
        <w:ind w:left="1069"/>
        <w:contextualSpacing/>
        <w:jc w:val="both"/>
        <w:rPr>
          <w:rFonts w:ascii="Times New Roman" w:hAnsi="Times New Roman" w:cs="Times New Roman"/>
          <w:noProof/>
          <w:szCs w:val="24"/>
        </w:rPr>
      </w:pPr>
      <w:r>
        <w:rPr>
          <w:rFonts w:ascii="Times New Roman" w:hAnsi="Times New Roman"/>
          <w:noProof/>
          <w:sz w:val="24"/>
          <w:szCs w:val="24"/>
        </w:rPr>
        <w:t>Подготовка и изпълнение на териториалните планове за устойчивост на туризма в дестинациите. Те се разработват чрез процес на участие и сътрудничество между трите компетентни публични администрации и различните публични и частни участници в туристическата екосистема на дестинацията. Те дават възможност на всяка територия и дестинация да отговори на предизвикателствата, свързани с устойчивостта на туризма, при упражняване на правомощията си за планиране на туризма и в рамките на стратегията за устойчивост на туризма по отношение на дестинацията, одобрена от испанското правителство. Тези планове се състоят от действия в областта на:</w:t>
      </w:r>
    </w:p>
    <w:p>
      <w:pPr>
        <w:pStyle w:val="ListParagraph"/>
        <w:numPr>
          <w:ilvl w:val="1"/>
          <w:numId w:val="73"/>
        </w:numPr>
        <w:spacing w:before="160" w:line="240" w:lineRule="auto"/>
        <w:ind w:left="1786" w:hanging="357"/>
        <w:jc w:val="both"/>
        <w:rPr>
          <w:rFonts w:ascii="Times New Roman" w:hAnsi="Times New Roman" w:cs="Times New Roman"/>
          <w:noProof/>
          <w:sz w:val="24"/>
          <w:szCs w:val="24"/>
        </w:rPr>
      </w:pPr>
      <w:r>
        <w:rPr>
          <w:rFonts w:ascii="Times New Roman" w:hAnsi="Times New Roman"/>
          <w:noProof/>
          <w:sz w:val="24"/>
          <w:szCs w:val="24"/>
        </w:rPr>
        <w:t>Екологичен преход, включително действия по тази инвестиция, свързани с възстановяването на околната среда, управлението на общественото ползване в защитени природни зони, прилагането на системи за сертифициране на туризма, прилагането на мерки за кръгова икономика в областта на обществените услуги и изграждането на циклични/подобни селски пътища.</w:t>
      </w:r>
    </w:p>
    <w:p>
      <w:pPr>
        <w:numPr>
          <w:ilvl w:val="1"/>
          <w:numId w:val="73"/>
        </w:numPr>
        <w:spacing w:before="160" w:after="160" w:line="240" w:lineRule="auto"/>
        <w:ind w:left="1789"/>
        <w:contextualSpacing/>
        <w:jc w:val="both"/>
        <w:rPr>
          <w:rFonts w:ascii="Times New Roman" w:hAnsi="Times New Roman" w:cs="Times New Roman"/>
          <w:noProof/>
          <w:sz w:val="24"/>
          <w:szCs w:val="24"/>
        </w:rPr>
      </w:pPr>
      <w:r>
        <w:rPr>
          <w:rFonts w:ascii="Times New Roman" w:hAnsi="Times New Roman"/>
          <w:noProof/>
          <w:sz w:val="24"/>
          <w:szCs w:val="24"/>
        </w:rPr>
        <w:t>Енергийна ефективност, включително действия по тази инвестиция за намаляване на емисиите на CO2 в сгради, публична инфраструктура и услуги, за смекчаване на изменението на климата, прилагане на екологични технологии, декарбонизация и насърчаване на устойчивата мобилност или подобряване на градската среда.</w:t>
      </w:r>
    </w:p>
    <w:p>
      <w:pPr>
        <w:numPr>
          <w:ilvl w:val="1"/>
          <w:numId w:val="73"/>
        </w:numPr>
        <w:spacing w:before="160" w:after="160" w:line="240" w:lineRule="auto"/>
        <w:ind w:left="1789"/>
        <w:contextualSpacing/>
        <w:jc w:val="both"/>
        <w:rPr>
          <w:rFonts w:ascii="Times New Roman" w:hAnsi="Times New Roman" w:cs="Times New Roman"/>
          <w:noProof/>
          <w:sz w:val="24"/>
          <w:szCs w:val="24"/>
        </w:rPr>
      </w:pPr>
      <w:r>
        <w:rPr>
          <w:rFonts w:ascii="Times New Roman" w:hAnsi="Times New Roman"/>
          <w:noProof/>
        </w:rPr>
        <w:t>Цифрова трансформация, включително действия в рамките на тази инвестиция за цифровизиране на услугите за туристите в дестинациите, развиване на цифровия отпечатък на дестинацията или проучване на пазара и управление на търсенето в туризма .</w:t>
      </w:r>
      <w:r>
        <w:rPr>
          <w:rFonts w:ascii="Times New Roman" w:hAnsi="Times New Roman"/>
          <w:noProof/>
          <w:sz w:val="18"/>
          <w:szCs w:val="18"/>
        </w:rPr>
        <w:t xml:space="preserve"> </w:t>
      </w:r>
    </w:p>
    <w:p>
      <w:pPr>
        <w:numPr>
          <w:ilvl w:val="1"/>
          <w:numId w:val="73"/>
        </w:numPr>
        <w:spacing w:before="160" w:after="160" w:line="240" w:lineRule="auto"/>
        <w:ind w:left="1789"/>
        <w:contextualSpacing/>
        <w:jc w:val="both"/>
        <w:rPr>
          <w:rFonts w:ascii="Times New Roman" w:hAnsi="Times New Roman" w:cs="Times New Roman"/>
          <w:noProof/>
          <w:sz w:val="24"/>
          <w:szCs w:val="24"/>
        </w:rPr>
      </w:pPr>
      <w:r>
        <w:rPr>
          <w:rFonts w:ascii="Times New Roman" w:hAnsi="Times New Roman"/>
          <w:noProof/>
          <w:sz w:val="24"/>
          <w:szCs w:val="24"/>
        </w:rPr>
        <w:t>Трансформация на конкурентоспособността, включително действия в рамките на тази инвестиция, насочени към разширяване на достъпността през дестинацията, подобряване на местната публична туристическа инфраструктура или насърчаване на създаването на работни места чрез разработване на нови туристически продукти като култура, природа, гастрономия или традиционни занаяти и промишлено оборудване.</w:t>
      </w:r>
    </w:p>
    <w:p>
      <w:pPr>
        <w:numPr>
          <w:ilvl w:val="0"/>
          <w:numId w:val="70"/>
        </w:numPr>
        <w:spacing w:before="160" w:after="160" w:line="240" w:lineRule="auto"/>
        <w:ind w:left="360"/>
        <w:contextualSpacing/>
        <w:jc w:val="both"/>
        <w:rPr>
          <w:rFonts w:ascii="Times New Roman" w:hAnsi="Times New Roman" w:cs="Times New Roman"/>
          <w:noProof/>
          <w:sz w:val="24"/>
          <w:szCs w:val="24"/>
        </w:rPr>
      </w:pPr>
      <w:r>
        <w:rPr>
          <w:rFonts w:ascii="Times New Roman" w:hAnsi="Times New Roman"/>
          <w:noProof/>
          <w:sz w:val="24"/>
          <w:szCs w:val="24"/>
        </w:rPr>
        <w:t>План за социална устойчивост на туристическия сектор.</w:t>
      </w:r>
    </w:p>
    <w:p>
      <w:pPr>
        <w:numPr>
          <w:ilvl w:val="0"/>
          <w:numId w:val="70"/>
        </w:numPr>
        <w:spacing w:before="120" w:after="120" w:line="240" w:lineRule="auto"/>
        <w:ind w:left="360"/>
        <w:contextualSpacing/>
        <w:jc w:val="both"/>
        <w:rPr>
          <w:rFonts w:ascii="Times New Roman" w:hAnsi="Times New Roman" w:cs="Times New Roman"/>
          <w:noProof/>
          <w:sz w:val="24"/>
          <w:szCs w:val="24"/>
        </w:rPr>
      </w:pPr>
      <w:r>
        <w:rPr>
          <w:rFonts w:ascii="Times New Roman" w:hAnsi="Times New Roman"/>
          <w:noProof/>
          <w:sz w:val="24"/>
          <w:szCs w:val="24"/>
        </w:rPr>
        <w:t>Преобразуване на съществуващата испанска система за качество на туризма за туристически дестинации (SICTED) във всеобхватна система за устойчивост на туризма за туристически дестинации. Това включва разработването на нови процеси и насоки, модернизирането на съществуващата ИТ платформа, обучението на нови агенти за устойчивост на туризма и разработването на механизъм за обобщаване на данни за анализ и наблюдение на пазара на туристически жилища в цяла Испания.</w:t>
      </w:r>
    </w:p>
    <w:p>
      <w:pPr>
        <w:spacing w:before="120" w:after="120" w:line="240" w:lineRule="auto"/>
        <w:jc w:val="both"/>
        <w:rPr>
          <w:rFonts w:ascii="Times New Roman" w:hAnsi="Times New Roman" w:cs="Times New Roman"/>
          <w:noProof/>
          <w:spacing w:val="-2"/>
          <w:sz w:val="24"/>
          <w:szCs w:val="24"/>
        </w:rPr>
      </w:pPr>
      <w:r>
        <w:rPr>
          <w:rFonts w:ascii="Times New Roman" w:hAnsi="Times New Roman"/>
          <w:noProof/>
          <w:color w:val="000000" w:themeColor="text1"/>
          <w:spacing w:val="-2"/>
          <w:sz w:val="24"/>
        </w:rPr>
        <w:t xml:space="preserve">Действията по тази инвестиция се осъществяват между 1 януари 2021 г. и 30 юни 2026 г. с плащания към местните органи в периода 1 януари 2021 г. и 31 декември 2023 г. и при изпълнение до 2026 г. Проектите за насърчаване на устойчивостта на туристическите дестинации в рамките на тази инвестиция приключват до 30 юни 2026 г. </w:t>
      </w:r>
    </w:p>
    <w:p>
      <w:pPr>
        <w:pStyle w:val="Text1"/>
        <w:ind w:left="0"/>
        <w:rPr>
          <w:iCs/>
          <w:noProof/>
          <w:highlight w:val="green"/>
        </w:rPr>
      </w:pPr>
      <w:r>
        <w:rPr>
          <w:noProof/>
        </w:rPr>
        <w:t xml:space="preserve">За да се гарантира, че мярката е в съответствие с техническите насоки „Ненанасяне на значителни вреди“ (2021/C58/01), критериите за допустимост, съдържащи се в техническото задание за предстоящи покани за представяне на проекти, изключват следния списък от дейности: </w:t>
      </w:r>
      <w:r>
        <w:rPr>
          <w:noProof/>
          <w:lang w:val="en-US"/>
        </w:rPr>
        <w:t>i</w:t>
      </w:r>
      <w:r>
        <w:rPr>
          <w:noProof/>
        </w:rPr>
        <w:t>) дейности , свързани с изкопаеми горива, включително използване надолу по веригата</w:t>
      </w:r>
      <w:r>
        <w:rPr>
          <w:rStyle w:val="FootnoteReference"/>
          <w:noProof/>
          <w:lang w:val="en-IE"/>
        </w:rPr>
        <w:footnoteReference w:id="61"/>
      </w:r>
      <w:r>
        <w:rPr>
          <w:noProof/>
        </w:rPr>
        <w:t>; ii) дейности по схемата на ЕС за търговия с емисии (СТЕ), с които се постигат прогнозираните емисии на парникови газове, които не са по-ниски от съответните референтни стойности</w:t>
      </w:r>
      <w:r>
        <w:rPr>
          <w:rStyle w:val="FootnoteReference"/>
          <w:noProof/>
          <w:lang w:val="en-IE"/>
        </w:rPr>
        <w:footnoteReference w:id="62"/>
      </w:r>
      <w:r>
        <w:rPr>
          <w:noProof/>
        </w:rPr>
        <w:t>; iii) дейности, свързани с депата за отпадъци, инсталациите за изгаряне на отпадъци</w:t>
      </w:r>
      <w:r>
        <w:rPr>
          <w:rStyle w:val="FootnoteReference"/>
          <w:noProof/>
          <w:lang w:val="en-IE"/>
        </w:rPr>
        <w:footnoteReference w:id="63"/>
      </w:r>
      <w:r>
        <w:rPr>
          <w:noProof/>
        </w:rPr>
        <w:t xml:space="preserve"> и заводите за механично-биологично третиране</w:t>
      </w:r>
      <w:r>
        <w:rPr>
          <w:rStyle w:val="FootnoteReference"/>
          <w:noProof/>
          <w:lang w:val="en-IE"/>
        </w:rPr>
        <w:footnoteReference w:id="64"/>
      </w:r>
      <w:r>
        <w:rPr>
          <w:noProof/>
        </w:rPr>
        <w:t>; и iv) дейности, при които дългосрочното обезвреждане на отпадъци може да причини вреда на околната среда. В допълнение към това в заданието се изисква да могат да бъдат избирани само дейности, които отговарят на съответното законодателство на ЕС и национално законодателство в областта на околната среда. Критериите за подбор допълнително гарантират, че могат да бъдат подпомагани само дейности, които отговарят на съответното законодателство на ЕС и национално законодателство в областта на околната среда .</w:t>
      </w:r>
      <w:r>
        <w:rPr>
          <w:noProof/>
          <w:color w:val="000000" w:themeColor="text1"/>
        </w:rPr>
        <w:t xml:space="preserve"> Критериите за подбор гарантират, че най-малко 511 милиона евро допринасят за постигане на целите във връзка с изменението на климата със 100 % коефициент в областта на климата и най-малко 140 милиона евро с коефициент в областта на климата от 40 % в съответствие с приложение VI към Регламент (ЕС) 2021/241 относно Механизма за възстановяване и устойчивост.</w:t>
      </w:r>
    </w:p>
    <w:p>
      <w:pPr>
        <w:spacing w:before="120" w:after="12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Изпълнението на инвестицията приключва до 30 юни 2026 г.</w:t>
      </w:r>
    </w:p>
    <w:p>
      <w:pPr>
        <w:keepNext/>
        <w:spacing w:before="120" w:after="120" w:line="240" w:lineRule="auto"/>
        <w:jc w:val="both"/>
        <w:rPr>
          <w:rFonts w:ascii="Times New Roman" w:hAnsi="Times New Roman" w:cs="Times New Roman"/>
          <w:noProof/>
          <w:sz w:val="24"/>
          <w:szCs w:val="24"/>
          <w:u w:val="single"/>
        </w:rPr>
      </w:pPr>
      <w:r>
        <w:rPr>
          <w:rFonts w:ascii="Times New Roman" w:hAnsi="Times New Roman"/>
          <w:noProof/>
          <w:sz w:val="24"/>
          <w:szCs w:val="24"/>
          <w:u w:val="single"/>
        </w:rPr>
        <w:t>Инвестиция 2 (C14.I2) – Програма за цифровизация и разузнаване за дестинациите и туристическия сектор</w:t>
      </w:r>
    </w:p>
    <w:p>
      <w:pPr>
        <w:keepNext/>
        <w:spacing w:before="120" w:after="12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Целта на действията по тази инвестиция е да се разработи платформа за интелигентни дестинации, която да предоставя на туристите оперативно съвместими публични и частни услуги.  Това ще бъде допълнено с разработването на туристическа система за разузнаване и набор от инициативи за стимулиране на испанската мрежа за интелигентни дестинации. </w:t>
      </w:r>
      <w:r>
        <w:rPr>
          <w:rFonts w:ascii="Times New Roman" w:hAnsi="Times New Roman"/>
          <w:noProof/>
          <w:sz w:val="24"/>
          <w:szCs w:val="24"/>
        </w:rPr>
        <w:t>Действията по тази инвестиция подкрепят и цифровите решения, основани на изкуствения интелект и други базови технологии в предприятията в туристическия сектор, както и осигуряват финансиране за развитието на промишлени пространства за данни и за насърчаване на цифровите иновации в туристическия сектор.</w:t>
      </w:r>
      <w:r>
        <w:rPr>
          <w:rFonts w:ascii="Times New Roman" w:hAnsi="Times New Roman"/>
          <w:noProof/>
          <w:color w:val="000000" w:themeColor="text1"/>
          <w:sz w:val="24"/>
          <w:szCs w:val="24"/>
        </w:rPr>
        <w:t xml:space="preserve"> </w:t>
      </w:r>
    </w:p>
    <w:p>
      <w:pPr>
        <w:spacing w:before="120" w:after="12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Действията по тази инвестиция се осъществяват чрез покани за участие в търг и преки инвестиции. Най-малко 1000 дружества или клъстери трябва да са получили финансиране от инвестиционните проекти, свързани с изкуствения интелект и други базови технологии, а до 30 юни 2025 г. се стартира платформа за интелигентно местоназначение.</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Изпълнението на инвестицията приключва до 30 юни 2025 г.</w:t>
      </w:r>
    </w:p>
    <w:p>
      <w:pPr>
        <w:spacing w:before="120" w:after="120" w:line="240" w:lineRule="auto"/>
        <w:jc w:val="both"/>
        <w:rPr>
          <w:rFonts w:ascii="Times New Roman" w:hAnsi="Times New Roman" w:cs="Times New Roman"/>
          <w:noProof/>
          <w:sz w:val="24"/>
          <w:szCs w:val="24"/>
          <w:u w:val="single"/>
        </w:rPr>
      </w:pPr>
      <w:r>
        <w:rPr>
          <w:rFonts w:ascii="Times New Roman" w:hAnsi="Times New Roman"/>
          <w:noProof/>
          <w:sz w:val="24"/>
          <w:szCs w:val="24"/>
          <w:u w:val="single"/>
        </w:rPr>
        <w:t>Инвестиция 3 (C14.I3) – Стратегии за устойчивост на туризма за извънпътните територии</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Инвестицията е насочена към Балеарските острови, Канарските острови, Сеута и Мелила с цел преодоляване на специфичните предизвикателства, пред които е изправена туристическата индустрия в тези територии. Мерките подобряват конкурентоспособността и капацитета на тези територии да се адаптират към промените на международните пазари и се състоят от:</w:t>
      </w:r>
    </w:p>
    <w:p>
      <w:pPr>
        <w:numPr>
          <w:ilvl w:val="0"/>
          <w:numId w:val="74"/>
        </w:numPr>
        <w:spacing w:before="120" w:after="160" w:line="240" w:lineRule="auto"/>
        <w:contextualSpacing/>
        <w:jc w:val="both"/>
        <w:rPr>
          <w:rFonts w:ascii="Times New Roman" w:hAnsi="Times New Roman" w:cs="Times New Roman"/>
          <w:noProof/>
        </w:rPr>
      </w:pPr>
      <w:r>
        <w:rPr>
          <w:rFonts w:ascii="Times New Roman" w:hAnsi="Times New Roman"/>
          <w:noProof/>
          <w:sz w:val="24"/>
          <w:szCs w:val="24"/>
        </w:rPr>
        <w:t>публична инфраструктура, със специален акцент върху подобряването на обществените пространства за насърчаване на туризма, управлението на околната среда и третирането на отпадъците, както и върху преквалифицирането на остарялата туристическа инфраструктура;</w:t>
      </w:r>
    </w:p>
    <w:p>
      <w:pPr>
        <w:numPr>
          <w:ilvl w:val="0"/>
          <w:numId w:val="74"/>
        </w:numPr>
        <w:spacing w:before="120" w:after="160" w:line="240" w:lineRule="auto"/>
        <w:contextualSpacing/>
        <w:jc w:val="both"/>
        <w:rPr>
          <w:rFonts w:ascii="Times New Roman" w:hAnsi="Times New Roman" w:cs="Times New Roman"/>
          <w:noProof/>
        </w:rPr>
      </w:pPr>
      <w:r>
        <w:rPr>
          <w:rFonts w:ascii="Times New Roman" w:hAnsi="Times New Roman"/>
          <w:noProof/>
          <w:sz w:val="24"/>
          <w:szCs w:val="24"/>
        </w:rPr>
        <w:t>укрепване на обществените услуги в области със специално туристическо влияние: административни и здравни услуги и услуги в областта на сигурността;</w:t>
      </w:r>
    </w:p>
    <w:p>
      <w:pPr>
        <w:numPr>
          <w:ilvl w:val="0"/>
          <w:numId w:val="74"/>
        </w:numPr>
        <w:spacing w:before="120" w:after="160" w:line="240" w:lineRule="auto"/>
        <w:contextualSpacing/>
        <w:jc w:val="both"/>
        <w:rPr>
          <w:rFonts w:ascii="Times New Roman" w:hAnsi="Times New Roman" w:cs="Times New Roman"/>
          <w:noProof/>
        </w:rPr>
      </w:pPr>
      <w:r>
        <w:rPr>
          <w:rFonts w:ascii="Times New Roman" w:hAnsi="Times New Roman"/>
          <w:noProof/>
          <w:sz w:val="24"/>
          <w:szCs w:val="24"/>
        </w:rPr>
        <w:t>обучение със специален акцент върху обучението на младите хора, свързано с туристическия сектор;</w:t>
      </w:r>
    </w:p>
    <w:p>
      <w:pPr>
        <w:numPr>
          <w:ilvl w:val="0"/>
          <w:numId w:val="74"/>
        </w:numPr>
        <w:spacing w:before="120" w:after="160" w:line="240" w:lineRule="auto"/>
        <w:contextualSpacing/>
        <w:jc w:val="both"/>
        <w:rPr>
          <w:rFonts w:ascii="Times New Roman" w:hAnsi="Times New Roman" w:cs="Times New Roman"/>
          <w:noProof/>
        </w:rPr>
      </w:pPr>
      <w:r>
        <w:rPr>
          <w:rFonts w:ascii="Times New Roman" w:hAnsi="Times New Roman"/>
          <w:noProof/>
          <w:sz w:val="24"/>
          <w:szCs w:val="24"/>
        </w:rPr>
        <w:t>разработване на алтернативни туристически продукти и модернизиране на туристическото предлагане;</w:t>
      </w:r>
    </w:p>
    <w:p>
      <w:pPr>
        <w:numPr>
          <w:ilvl w:val="0"/>
          <w:numId w:val="74"/>
        </w:numPr>
        <w:spacing w:before="120" w:after="160" w:line="240" w:lineRule="auto"/>
        <w:contextualSpacing/>
        <w:jc w:val="both"/>
        <w:rPr>
          <w:rFonts w:ascii="Times New Roman" w:hAnsi="Times New Roman" w:cs="Times New Roman"/>
          <w:noProof/>
        </w:rPr>
      </w:pPr>
      <w:r>
        <w:rPr>
          <w:rFonts w:ascii="Times New Roman" w:hAnsi="Times New Roman"/>
          <w:noProof/>
          <w:sz w:val="24"/>
          <w:szCs w:val="24"/>
        </w:rPr>
        <w:t>стимули за улесняване на свързаността с териториите и за осъществяване на дейност извън активния сезон на туристическите дружества;</w:t>
      </w:r>
    </w:p>
    <w:p>
      <w:pPr>
        <w:numPr>
          <w:ilvl w:val="0"/>
          <w:numId w:val="74"/>
        </w:numPr>
        <w:spacing w:before="120" w:after="160" w:line="240" w:lineRule="auto"/>
        <w:contextualSpacing/>
        <w:jc w:val="both"/>
        <w:rPr>
          <w:rFonts w:ascii="Times New Roman" w:hAnsi="Times New Roman" w:cs="Times New Roman"/>
          <w:noProof/>
        </w:rPr>
      </w:pPr>
      <w:r>
        <w:rPr>
          <w:rFonts w:ascii="Times New Roman" w:hAnsi="Times New Roman"/>
          <w:noProof/>
          <w:sz w:val="24"/>
          <w:szCs w:val="24"/>
        </w:rPr>
        <w:t>популяризиране на националните и международните външни територии като туристически дестинации от исторически културен интерес; и</w:t>
      </w:r>
    </w:p>
    <w:p>
      <w:pPr>
        <w:numPr>
          <w:ilvl w:val="0"/>
          <w:numId w:val="74"/>
        </w:numPr>
        <w:spacing w:before="120" w:after="160" w:line="240" w:lineRule="auto"/>
        <w:contextualSpacing/>
        <w:jc w:val="both"/>
        <w:rPr>
          <w:rFonts w:ascii="Times New Roman" w:hAnsi="Times New Roman" w:cs="Times New Roman"/>
          <w:noProof/>
        </w:rPr>
      </w:pPr>
      <w:r>
        <w:rPr>
          <w:rFonts w:ascii="Times New Roman" w:hAnsi="Times New Roman"/>
          <w:noProof/>
          <w:sz w:val="24"/>
          <w:szCs w:val="24"/>
        </w:rPr>
        <w:t>сезонно адаптирани стратегически промоции със специален акцент върху стратегиите за онлайн маркетинг, езиковата достъпност, проактивния капацитет в мултимедийните инструменти и управлението на отношенията между институционалните клиенти (CRM).</w:t>
      </w:r>
    </w:p>
    <w:p>
      <w:pPr>
        <w:spacing w:before="120" w:after="12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До юни 2025 г. най-малко 400 икономически и социални участници биха се възползвали от инвестициите в извън-отдалечените региони.</w:t>
      </w:r>
    </w:p>
    <w:p>
      <w:pPr>
        <w:spacing w:before="120" w:after="120" w:line="240" w:lineRule="auto"/>
        <w:jc w:val="both"/>
        <w:rPr>
          <w:rFonts w:ascii="Times New Roman" w:hAnsi="Times New Roman" w:cs="Times New Roman"/>
          <w:noProof/>
          <w:color w:val="000000" w:themeColor="text1"/>
          <w:sz w:val="24"/>
          <w:szCs w:val="24"/>
        </w:rPr>
      </w:pPr>
      <w:r>
        <w:rPr>
          <w:rFonts w:ascii="Times New Roman" w:hAnsi="Times New Roman"/>
          <w:noProof/>
          <w:sz w:val="24"/>
          <w:szCs w:val="24"/>
        </w:rPr>
        <w:t>Изпълнението на инвестицията приключва до 30 юни 2025 г.</w:t>
      </w:r>
    </w:p>
    <w:p>
      <w:pPr>
        <w:spacing w:before="120" w:after="120" w:line="240" w:lineRule="auto"/>
        <w:jc w:val="both"/>
        <w:rPr>
          <w:rFonts w:ascii="Times New Roman" w:hAnsi="Times New Roman" w:cs="Times New Roman"/>
          <w:noProof/>
          <w:sz w:val="24"/>
          <w:u w:val="single"/>
        </w:rPr>
      </w:pPr>
      <w:r>
        <w:rPr>
          <w:rFonts w:ascii="Times New Roman" w:hAnsi="Times New Roman"/>
          <w:noProof/>
          <w:sz w:val="24"/>
          <w:u w:val="single"/>
        </w:rPr>
        <w:t>Инвестиция 4 (C14.I4) – Специални действия в областта на конкурентоспособността</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Инвестицията включва набор от мерки, насочени към подобряване на конкурентоспособността на туристическия сектор. Конкретните действия, които трябва да бъдат подкрепени в рамките на тази инвестиция, включват:</w:t>
      </w:r>
    </w:p>
    <w:p>
      <w:pPr>
        <w:numPr>
          <w:ilvl w:val="0"/>
          <w:numId w:val="75"/>
        </w:numPr>
        <w:spacing w:before="120" w:after="160" w:line="240" w:lineRule="auto"/>
        <w:contextualSpacing/>
        <w:jc w:val="both"/>
        <w:rPr>
          <w:rFonts w:ascii="Times New Roman" w:hAnsi="Times New Roman" w:cs="Times New Roman"/>
          <w:noProof/>
        </w:rPr>
      </w:pPr>
      <w:r>
        <w:rPr>
          <w:rFonts w:ascii="Times New Roman" w:hAnsi="Times New Roman"/>
          <w:noProof/>
          <w:sz w:val="24"/>
          <w:szCs w:val="24"/>
        </w:rPr>
        <w:t>разработване на туристически продукти в съответствие със Стратегията за разработване на продукти за устойчив туризъм, които обхващат, наред с другото, следните примерни категории: гастрономически туризъм, културен туризъм, градски туризъм, екотуризъм, бизнес туризъм, спортен туризъм като колоездене, наследство и религиозен туризъм;</w:t>
      </w:r>
    </w:p>
    <w:p>
      <w:pPr>
        <w:numPr>
          <w:ilvl w:val="0"/>
          <w:numId w:val="75"/>
        </w:numPr>
        <w:spacing w:before="120" w:after="160" w:line="240" w:lineRule="auto"/>
        <w:contextualSpacing/>
        <w:jc w:val="both"/>
        <w:rPr>
          <w:rFonts w:ascii="Times New Roman" w:hAnsi="Times New Roman" w:cs="Times New Roman"/>
          <w:noProof/>
          <w:sz w:val="24"/>
          <w:szCs w:val="24"/>
        </w:rPr>
      </w:pPr>
      <w:r>
        <w:rPr>
          <w:rFonts w:ascii="Times New Roman" w:hAnsi="Times New Roman"/>
          <w:noProof/>
          <w:sz w:val="24"/>
          <w:szCs w:val="24"/>
        </w:rPr>
        <w:t xml:space="preserve">проекти, насочени към намаляване на годишното потребление на отпадъци или енергия от туристическите обекти. За намаляване на потреблението на енергия специфичните мерки включват монтирането на датчици за наблюдение и оптимизиране на потреблението на енергия, насърчаването на използването на системи за енергийно управление (като сертифицирани по ISO 500001 системи), използването на термоефективни материали, използването на енергийно ефективни технологии и използването на външни елементи като нюанси или градини. Конкретните мерки за намаляване на отпадъците включват планове за разделяне на отпадъците при източника и действия за насърчаване на повторната употреба и рециклирането на отпадъците. Допълнителните мерки включват кампании за повишаване на осведомеността и обучения по въпросите на енергийната ефективност и управлението на отпадъците, насочени към персонала в туристическите обекти, както и насърчаване на производството и закупуването на местни доставки; </w:t>
      </w:r>
    </w:p>
    <w:p>
      <w:pPr>
        <w:numPr>
          <w:ilvl w:val="0"/>
          <w:numId w:val="75"/>
        </w:numPr>
        <w:spacing w:before="120" w:after="160" w:line="240" w:lineRule="auto"/>
        <w:contextualSpacing/>
        <w:jc w:val="both"/>
        <w:rPr>
          <w:rFonts w:ascii="Times New Roman" w:hAnsi="Times New Roman" w:cs="Times New Roman"/>
          <w:noProof/>
          <w:sz w:val="24"/>
          <w:szCs w:val="24"/>
        </w:rPr>
      </w:pPr>
      <w:r>
        <w:rPr>
          <w:rFonts w:ascii="Times New Roman" w:hAnsi="Times New Roman"/>
          <w:noProof/>
          <w:sz w:val="24"/>
          <w:szCs w:val="24"/>
        </w:rPr>
        <w:t>възстановяване и рехабилитация на обекти на историческото туристическо наследство, включително i) намаляване и компенсиране на въглеродния отпечатък чрез разработване на планове за действие за намаляване на емисиите на парникови газове, ii) екологично възстановяване на обектите, iii) подобряване на енергийната ефективност чрез замяна на дизелови или горивни котли с котли за природен газ, iv) действия за адаптиране към изменението на климата, v) подобрения в системите за пречистване на „сивите“ води, vi) модернизиране на системите за управление на отпадъците, vii) рехабилитация и използване на пространства с интелигентни технологии, действия и действия за намаляване на системите за пречистване на водите; vi) модернизиране на системите за управление на отпадъците; vii) рехабилитация и използване на пространства с интелигентни технологии; и</w:t>
      </w:r>
    </w:p>
    <w:p>
      <w:pPr>
        <w:numPr>
          <w:ilvl w:val="0"/>
          <w:numId w:val="75"/>
        </w:numPr>
        <w:spacing w:before="120" w:after="160" w:line="240" w:lineRule="auto"/>
        <w:contextualSpacing/>
        <w:jc w:val="both"/>
        <w:rPr>
          <w:rFonts w:ascii="Times New Roman" w:hAnsi="Times New Roman" w:cs="Times New Roman"/>
          <w:noProof/>
          <w:sz w:val="24"/>
          <w:szCs w:val="24"/>
        </w:rPr>
      </w:pPr>
      <w:r>
        <w:rPr>
          <w:rFonts w:ascii="Times New Roman" w:hAnsi="Times New Roman"/>
          <w:noProof/>
          <w:sz w:val="24"/>
          <w:szCs w:val="24"/>
        </w:rPr>
        <w:t xml:space="preserve">подобрения на търговските зони в местните райони с голям приток на туристи, включително действия в рамките на тази инвестиция в нови технологии; прилагане на технологични решения за подобряване на енергийната ефективност; екологично ефективни процеси и рециклиране и повторна употреба на отпадъците; обучение на персонала,  интегриран електронен подпис, пригоден за чуждестранните посетители; и адаптиране на обществените пространства с цел подобряване на достъпността и мобилността. </w:t>
      </w:r>
    </w:p>
    <w:p>
      <w:pPr>
        <w:spacing w:before="120" w:after="12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Най-малко 60 проекта в търговски зони, разположени в местни райони с голям приток на туристи, трябва да бъдат завършени до 31 декември 2024 г. Инвестициите, осъществени до 30 юни 2025 г., водят до: най-малко 45 нови туристически продукта и ii) най-малко 3 400 туристически обекта трябва да са приключили проекти за намаляване на годишното потребление на отпадъци или енергия. Най-малко 50 проекта, насочени към обекти от историческото културно наследство, трябва да бъдат завършени до 30 юни 2026 г. </w:t>
      </w:r>
    </w:p>
    <w:p>
      <w:pPr>
        <w:pStyle w:val="Text1"/>
        <w:ind w:left="0"/>
        <w:rPr>
          <w:noProof/>
        </w:rPr>
      </w:pPr>
      <w:r>
        <w:rPr>
          <w:noProof/>
        </w:rPr>
        <w:t xml:space="preserve">За да се гарантира, че мярката е в съответствие с техническите насоки „Ненанасяне на значителни вреди“ (2021/C58/01), критериите за допустимост, съдържащи се в техническото задание за предстоящи покани за представяне на проекти, изключват следния списък от дейности: </w:t>
      </w:r>
      <w:r>
        <w:rPr>
          <w:noProof/>
          <w:lang w:val="en-US"/>
        </w:rPr>
        <w:t>i</w:t>
      </w:r>
      <w:r>
        <w:rPr>
          <w:noProof/>
        </w:rPr>
        <w:t>)дейности , свързани с изкопаеми горива, включително използване надолу по веригата</w:t>
      </w:r>
      <w:r>
        <w:rPr>
          <w:rStyle w:val="FootnoteReference"/>
          <w:noProof/>
          <w:lang w:val="en-IE"/>
        </w:rPr>
        <w:footnoteReference w:id="65"/>
      </w:r>
      <w:r>
        <w:rPr>
          <w:noProof/>
        </w:rPr>
        <w:t>; ii) дейности по схемата на ЕС за търговия с емисии (СТЕ), с които се постигат прогнозираните емисии на парникови газове, които не са по-ниски от съответните референтни стойности</w:t>
      </w:r>
      <w:r>
        <w:rPr>
          <w:rStyle w:val="FootnoteReference"/>
          <w:noProof/>
          <w:lang w:val="en-IE"/>
        </w:rPr>
        <w:footnoteReference w:id="66"/>
      </w:r>
      <w:r>
        <w:rPr>
          <w:noProof/>
        </w:rPr>
        <w:t>; iii) дейности, свързани с депата за отпадъци, инсталациите за изгаряне на отпадъци</w:t>
      </w:r>
      <w:r>
        <w:rPr>
          <w:rStyle w:val="FootnoteReference"/>
          <w:noProof/>
          <w:lang w:val="en-IE"/>
        </w:rPr>
        <w:footnoteReference w:id="67"/>
      </w:r>
      <w:r>
        <w:rPr>
          <w:noProof/>
        </w:rPr>
        <w:t xml:space="preserve"> и заводите за механично-биологично третиране</w:t>
      </w:r>
      <w:r>
        <w:rPr>
          <w:rStyle w:val="FootnoteReference"/>
          <w:noProof/>
          <w:lang w:val="en-IE"/>
        </w:rPr>
        <w:footnoteReference w:id="68"/>
      </w:r>
      <w:r>
        <w:rPr>
          <w:noProof/>
        </w:rPr>
        <w:t>; и iv) дейности, при които дългосрочното обезвреждане на отпадъци може да причини вреда на околната среда. В допълнение към това в заданието се изисква да могат да бъдат избирани само дейности, които отговарят на съответното законодателство на ЕС и национално законодателство в областта на околната среда.</w:t>
      </w:r>
    </w:p>
    <w:p>
      <w:pPr>
        <w:pStyle w:val="Text1"/>
        <w:ind w:left="0"/>
        <w:rPr>
          <w:rFonts w:eastAsia="Calibri"/>
          <w:noProof/>
        </w:rPr>
      </w:pPr>
      <w:r>
        <w:rPr>
          <w:noProof/>
        </w:rPr>
        <w:t>Изпълнението на инвестицията приключва до 30 юни 2026 г.</w:t>
      </w:r>
    </w:p>
    <w:p>
      <w:pPr>
        <w:pStyle w:val="Text1"/>
        <w:ind w:left="0"/>
        <w:rPr>
          <w:rFonts w:eastAsia="Calibri"/>
          <w:noProof/>
        </w:rPr>
      </w:pPr>
    </w:p>
    <w:p>
      <w:pPr>
        <w:keepNext/>
        <w:spacing w:before="120" w:after="120" w:line="240" w:lineRule="auto"/>
        <w:ind w:left="709"/>
        <w:jc w:val="both"/>
        <w:rPr>
          <w:rFonts w:ascii="Times New Roman" w:hAnsi="Times New Roman" w:cs="Times New Roman"/>
          <w:b/>
          <w:noProof/>
          <w:sz w:val="24"/>
          <w:szCs w:val="24"/>
          <w:u w:val="single"/>
        </w:rPr>
      </w:pPr>
      <w:r>
        <w:rPr>
          <w:rFonts w:ascii="Times New Roman" w:hAnsi="Times New Roman"/>
          <w:b/>
          <w:noProof/>
          <w:sz w:val="24"/>
          <w:szCs w:val="24"/>
          <w:u w:val="single"/>
        </w:rPr>
        <w:t xml:space="preserve">N.2. </w:t>
      </w:r>
      <w:r>
        <w:rPr>
          <w:rFonts w:ascii="Times New Roman" w:hAnsi="Times New Roman"/>
          <w:b/>
          <w:noProof/>
          <w:sz w:val="24"/>
          <w:u w:val="single"/>
        </w:rPr>
        <w:tab/>
      </w:r>
      <w:r>
        <w:rPr>
          <w:rFonts w:ascii="Times New Roman" w:hAnsi="Times New Roman"/>
          <w:b/>
          <w:noProof/>
          <w:sz w:val="24"/>
          <w:szCs w:val="24"/>
          <w:u w:val="single"/>
        </w:rPr>
        <w:t>Ключови етапи, цели, показатели и график за мониторинг и изпълнение на безвъзмездната финансова подкрепа</w:t>
      </w:r>
    </w:p>
    <w:p>
      <w:pPr>
        <w:keepNext/>
        <w:spacing w:before="120" w:after="120" w:line="240" w:lineRule="auto"/>
        <w:jc w:val="both"/>
        <w:rPr>
          <w:rFonts w:ascii="Times New Roman" w:hAnsi="Times New Roman" w:cs="Times New Roman"/>
          <w:noProof/>
          <w:color w:val="1F497D"/>
        </w:rPr>
      </w:pPr>
      <w:r>
        <w:rPr>
          <w:rFonts w:ascii="Times New Roman" w:hAnsi="Times New Roman"/>
          <w:i/>
          <w:noProof/>
          <w:color w:val="000000"/>
          <w:sz w:val="24"/>
          <w:szCs w:val="24"/>
        </w:rPr>
        <w:t>Вж. таблицата по-долу.</w:t>
      </w:r>
      <w:r>
        <w:rPr>
          <w:rFonts w:ascii="Times New Roman" w:hAnsi="Times New Roman"/>
          <w:noProof/>
          <w:color w:val="1F497D"/>
          <w:sz w:val="24"/>
          <w:szCs w:val="24"/>
        </w:rPr>
        <w:t xml:space="preserve"> </w:t>
      </w:r>
      <w:r>
        <w:rPr>
          <w:rFonts w:ascii="Times New Roman" w:hAnsi="Times New Roman"/>
          <w:i/>
          <w:noProof/>
          <w:sz w:val="24"/>
          <w:szCs w:val="24"/>
        </w:rPr>
        <w:t>Датата на базовата линия за всички показатели е 1 февруари 2020 г., освен ако не е посочено друго в описанието на действието.</w:t>
      </w:r>
      <w:r>
        <w:rPr>
          <w:rFonts w:ascii="Times New Roman" w:hAnsi="Times New Roman"/>
          <w:i/>
          <w:noProof/>
          <w:color w:val="000000"/>
          <w:sz w:val="24"/>
          <w:szCs w:val="24"/>
        </w:rPr>
        <w:t xml:space="preserve"> Сумите в таблицата не включват ДДС.</w:t>
      </w:r>
    </w:p>
    <w:p>
      <w:pPr>
        <w:spacing w:before="120" w:after="120" w:line="240" w:lineRule="auto"/>
        <w:jc w:val="both"/>
        <w:rPr>
          <w:rFonts w:ascii="Times New Roman" w:hAnsi="Times New Roman" w:cs="Times New Roman"/>
          <w:b/>
          <w:bCs/>
          <w:noProof/>
          <w:sz w:val="24"/>
          <w:u w:val="single"/>
          <w:lang w:val="en-IE"/>
        </w:rPr>
      </w:pPr>
    </w:p>
    <w:p>
      <w:pPr>
        <w:spacing w:before="120" w:after="120" w:line="240" w:lineRule="auto"/>
        <w:ind w:left="709"/>
        <w:jc w:val="both"/>
        <w:rPr>
          <w:rFonts w:ascii="Times New Roman" w:hAnsi="Times New Roman" w:cs="Times New Roman"/>
          <w:noProof/>
          <w:sz w:val="24"/>
          <w:lang w:val="en-IE"/>
        </w:rPr>
      </w:pPr>
    </w:p>
    <w:p>
      <w:pPr>
        <w:spacing w:before="120" w:after="120" w:line="240" w:lineRule="auto"/>
        <w:ind w:left="709"/>
        <w:jc w:val="both"/>
        <w:rPr>
          <w:rFonts w:ascii="Times New Roman" w:hAnsi="Times New Roman" w:cs="Times New Roman"/>
          <w:noProof/>
          <w:sz w:val="24"/>
          <w:lang w:val="en-IE"/>
        </w:rPr>
        <w:sectPr>
          <w:headerReference w:type="even" r:id="rId175"/>
          <w:headerReference w:type="default" r:id="rId176"/>
          <w:footerReference w:type="even" r:id="rId177"/>
          <w:footerReference w:type="default" r:id="rId178"/>
          <w:headerReference w:type="first" r:id="rId179"/>
          <w:footerReference w:type="first" r:id="rId180"/>
          <w:pgSz w:w="11907" w:h="16839"/>
          <w:pgMar w:top="1134" w:right="1417" w:bottom="1134" w:left="1417" w:header="709" w:footer="709" w:gutter="0"/>
          <w:cols w:space="720"/>
          <w:docGrid w:linePitch="360"/>
        </w:sectPr>
      </w:pPr>
    </w:p>
    <w:tbl>
      <w:tblPr>
        <w:tblW w:w="1488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09"/>
        <w:gridCol w:w="851"/>
        <w:gridCol w:w="850"/>
        <w:gridCol w:w="1418"/>
        <w:gridCol w:w="1276"/>
        <w:gridCol w:w="850"/>
        <w:gridCol w:w="992"/>
        <w:gridCol w:w="567"/>
        <w:gridCol w:w="426"/>
        <w:gridCol w:w="708"/>
        <w:gridCol w:w="6237"/>
      </w:tblGrid>
      <w:tr>
        <w:trPr>
          <w:trHeight w:val="309"/>
          <w:tblHeader/>
        </w:trPr>
        <w:tc>
          <w:tcPr>
            <w:tcW w:w="709"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themeColor="text1"/>
                <w:sz w:val="18"/>
                <w:szCs w:val="18"/>
              </w:rPr>
            </w:pPr>
            <w:r>
              <w:rPr>
                <w:rFonts w:ascii="Times New Roman" w:hAnsi="Times New Roman"/>
                <w:b/>
                <w:bCs/>
                <w:noProof/>
                <w:color w:val="000000" w:themeColor="text1"/>
                <w:sz w:val="18"/>
                <w:szCs w:val="18"/>
              </w:rPr>
              <w:t>Номер</w:t>
            </w:r>
          </w:p>
        </w:tc>
        <w:tc>
          <w:tcPr>
            <w:tcW w:w="851"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themeColor="text1"/>
                <w:sz w:val="18"/>
                <w:szCs w:val="18"/>
              </w:rPr>
            </w:pPr>
            <w:r>
              <w:rPr>
                <w:rFonts w:ascii="Times New Roman" w:hAnsi="Times New Roman"/>
                <w:b/>
                <w:bCs/>
                <w:noProof/>
                <w:color w:val="000000" w:themeColor="text1"/>
                <w:sz w:val="18"/>
                <w:szCs w:val="18"/>
              </w:rPr>
              <w:t>Мярка</w:t>
            </w:r>
          </w:p>
        </w:tc>
        <w:tc>
          <w:tcPr>
            <w:tcW w:w="850"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themeColor="text1"/>
                <w:sz w:val="18"/>
                <w:szCs w:val="18"/>
              </w:rPr>
            </w:pPr>
            <w:r>
              <w:rPr>
                <w:rFonts w:ascii="Times New Roman" w:hAnsi="Times New Roman"/>
                <w:b/>
                <w:bCs/>
                <w:noProof/>
                <w:color w:val="000000" w:themeColor="text1"/>
                <w:sz w:val="18"/>
                <w:szCs w:val="18"/>
              </w:rPr>
              <w:t>Ключов етап /Цел</w:t>
            </w:r>
          </w:p>
        </w:tc>
        <w:tc>
          <w:tcPr>
            <w:tcW w:w="1418"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themeColor="text1"/>
                <w:sz w:val="18"/>
                <w:szCs w:val="18"/>
              </w:rPr>
            </w:pPr>
            <w:r>
              <w:rPr>
                <w:rFonts w:ascii="Times New Roman" w:hAnsi="Times New Roman"/>
                <w:b/>
                <w:bCs/>
                <w:noProof/>
                <w:color w:val="000000" w:themeColor="text1"/>
                <w:sz w:val="18"/>
                <w:szCs w:val="18"/>
              </w:rPr>
              <w:t>Наименование</w:t>
            </w:r>
          </w:p>
        </w:tc>
        <w:tc>
          <w:tcPr>
            <w:tcW w:w="1276"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themeColor="text1"/>
                <w:sz w:val="18"/>
                <w:szCs w:val="18"/>
              </w:rPr>
            </w:pPr>
            <w:r>
              <w:rPr>
                <w:rFonts w:ascii="Times New Roman" w:hAnsi="Times New Roman"/>
                <w:b/>
                <w:bCs/>
                <w:noProof/>
                <w:color w:val="000000" w:themeColor="text1"/>
                <w:sz w:val="18"/>
                <w:szCs w:val="18"/>
              </w:rPr>
              <w:t>Качествени показатели за ключовите етапи</w:t>
            </w:r>
          </w:p>
        </w:tc>
        <w:tc>
          <w:tcPr>
            <w:tcW w:w="2409" w:type="dxa"/>
            <w:gridSpan w:val="3"/>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themeColor="text1"/>
                <w:sz w:val="18"/>
                <w:szCs w:val="18"/>
              </w:rPr>
            </w:pPr>
            <w:r>
              <w:rPr>
                <w:rFonts w:ascii="Times New Roman" w:hAnsi="Times New Roman"/>
                <w:b/>
                <w:bCs/>
                <w:noProof/>
                <w:color w:val="000000" w:themeColor="text1"/>
                <w:sz w:val="18"/>
                <w:szCs w:val="18"/>
              </w:rPr>
              <w:t>Количествени показатели за целите</w:t>
            </w:r>
          </w:p>
        </w:tc>
        <w:tc>
          <w:tcPr>
            <w:tcW w:w="1134" w:type="dxa"/>
            <w:gridSpan w:val="2"/>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themeColor="text1"/>
                <w:sz w:val="18"/>
                <w:szCs w:val="18"/>
              </w:rPr>
            </w:pPr>
            <w:r>
              <w:rPr>
                <w:rFonts w:ascii="Times New Roman" w:hAnsi="Times New Roman"/>
                <w:b/>
                <w:bCs/>
                <w:noProof/>
                <w:color w:val="000000" w:themeColor="text1"/>
                <w:sz w:val="18"/>
                <w:szCs w:val="18"/>
              </w:rPr>
              <w:t>Време</w:t>
            </w:r>
          </w:p>
        </w:tc>
        <w:tc>
          <w:tcPr>
            <w:tcW w:w="6237"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themeColor="text1"/>
                <w:sz w:val="18"/>
                <w:szCs w:val="18"/>
              </w:rPr>
            </w:pPr>
            <w:r>
              <w:rPr>
                <w:rFonts w:ascii="Times New Roman" w:hAnsi="Times New Roman"/>
                <w:b/>
                <w:bCs/>
                <w:noProof/>
                <w:sz w:val="18"/>
                <w:szCs w:val="18"/>
              </w:rPr>
              <w:t>Описание на всеки ключов етап и всяка цел</w:t>
            </w:r>
          </w:p>
        </w:tc>
      </w:tr>
      <w:tr>
        <w:trPr>
          <w:trHeight w:val="309"/>
          <w:tblHeader/>
        </w:trPr>
        <w:tc>
          <w:tcPr>
            <w:tcW w:w="709"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851"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850"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1418" w:type="dxa"/>
            <w:tcBorders>
              <w:top w:val="nil"/>
            </w:tcBorders>
            <w:shd w:val="clear" w:color="auto" w:fill="C6D9F1" w:themeFill="text2" w:themeFillTint="33"/>
            <w:noWrap/>
          </w:tcPr>
          <w:p>
            <w:pPr>
              <w:spacing w:after="0" w:line="240" w:lineRule="auto"/>
              <w:rPr>
                <w:rFonts w:ascii="Times New Roman" w:hAnsi="Times New Roman" w:cs="Times New Roman"/>
                <w:b/>
                <w:noProof/>
                <w:color w:val="000000"/>
                <w:sz w:val="18"/>
                <w:szCs w:val="18"/>
              </w:rPr>
            </w:pPr>
          </w:p>
        </w:tc>
        <w:tc>
          <w:tcPr>
            <w:tcW w:w="1276"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850" w:type="dxa"/>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themeColor="text1"/>
                <w:sz w:val="18"/>
                <w:szCs w:val="18"/>
              </w:rPr>
            </w:pPr>
            <w:r>
              <w:rPr>
                <w:rFonts w:ascii="Times New Roman" w:hAnsi="Times New Roman"/>
                <w:b/>
                <w:bCs/>
                <w:noProof/>
                <w:color w:val="000000" w:themeColor="text1"/>
                <w:sz w:val="18"/>
                <w:szCs w:val="18"/>
              </w:rPr>
              <w:t>Мерна единица</w:t>
            </w:r>
          </w:p>
        </w:tc>
        <w:tc>
          <w:tcPr>
            <w:tcW w:w="992" w:type="dxa"/>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themeColor="text1"/>
                <w:sz w:val="18"/>
                <w:szCs w:val="18"/>
              </w:rPr>
            </w:pPr>
            <w:r>
              <w:rPr>
                <w:rFonts w:ascii="Times New Roman" w:hAnsi="Times New Roman"/>
                <w:b/>
                <w:bCs/>
                <w:noProof/>
                <w:color w:val="000000" w:themeColor="text1"/>
                <w:sz w:val="18"/>
                <w:szCs w:val="18"/>
              </w:rPr>
              <w:t>Базова линия</w:t>
            </w:r>
          </w:p>
        </w:tc>
        <w:tc>
          <w:tcPr>
            <w:tcW w:w="567" w:type="dxa"/>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themeColor="text1"/>
                <w:sz w:val="18"/>
                <w:szCs w:val="18"/>
              </w:rPr>
            </w:pPr>
            <w:r>
              <w:rPr>
                <w:rFonts w:ascii="Times New Roman" w:hAnsi="Times New Roman"/>
                <w:b/>
                <w:bCs/>
                <w:noProof/>
                <w:color w:val="000000" w:themeColor="text1"/>
                <w:sz w:val="18"/>
                <w:szCs w:val="18"/>
              </w:rPr>
              <w:t>Цел</w:t>
            </w:r>
          </w:p>
        </w:tc>
        <w:tc>
          <w:tcPr>
            <w:tcW w:w="426" w:type="dxa"/>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themeColor="text1"/>
                <w:sz w:val="18"/>
                <w:szCs w:val="18"/>
              </w:rPr>
            </w:pPr>
            <w:r>
              <w:rPr>
                <w:rFonts w:ascii="Times New Roman" w:hAnsi="Times New Roman"/>
                <w:b/>
                <w:bCs/>
                <w:noProof/>
                <w:color w:val="000000" w:themeColor="text1"/>
                <w:sz w:val="18"/>
                <w:szCs w:val="18"/>
              </w:rPr>
              <w:t>T</w:t>
            </w:r>
          </w:p>
        </w:tc>
        <w:tc>
          <w:tcPr>
            <w:tcW w:w="708" w:type="dxa"/>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themeColor="text1"/>
                <w:sz w:val="18"/>
                <w:szCs w:val="18"/>
              </w:rPr>
            </w:pPr>
            <w:r>
              <w:rPr>
                <w:rFonts w:ascii="Times New Roman" w:hAnsi="Times New Roman"/>
                <w:b/>
                <w:bCs/>
                <w:noProof/>
                <w:color w:val="000000" w:themeColor="text1"/>
                <w:sz w:val="18"/>
                <w:szCs w:val="18"/>
              </w:rPr>
              <w:t>Година</w:t>
            </w:r>
          </w:p>
        </w:tc>
        <w:tc>
          <w:tcPr>
            <w:tcW w:w="6237" w:type="dxa"/>
            <w:tcBorders>
              <w:top w:val="nil"/>
            </w:tcBorders>
            <w:shd w:val="clear" w:color="auto" w:fill="C6D9F1" w:themeFill="text2" w:themeFillTint="33"/>
            <w:noWrap/>
          </w:tcPr>
          <w:p>
            <w:pPr>
              <w:spacing w:after="0" w:line="240" w:lineRule="auto"/>
              <w:rPr>
                <w:rFonts w:ascii="Times New Roman" w:hAnsi="Times New Roman" w:cs="Times New Roman"/>
                <w:b/>
                <w:noProof/>
                <w:color w:val="000000"/>
                <w:sz w:val="18"/>
                <w:szCs w:val="18"/>
                <w:lang w:val="en-IE"/>
              </w:rPr>
            </w:pP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214</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C14.R1</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1418"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План за насърчаване на туристическия сектор</w:t>
            </w:r>
          </w:p>
        </w:tc>
        <w:tc>
          <w:tcPr>
            <w:tcW w:w="1276"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Уебсайт за публикации</w:t>
            </w:r>
          </w:p>
        </w:tc>
        <w:tc>
          <w:tcPr>
            <w:tcW w:w="85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992"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426"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T2</w:t>
            </w:r>
          </w:p>
        </w:tc>
        <w:tc>
          <w:tcPr>
            <w:tcW w:w="708"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2020</w:t>
            </w:r>
          </w:p>
        </w:tc>
        <w:tc>
          <w:tcPr>
            <w:tcW w:w="623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В плана се описват мерките за стимулиране на туристическия сектор и се определя рамката за изпълнение на мерките, свързани с туризма.</w:t>
            </w:r>
          </w:p>
        </w:tc>
      </w:tr>
      <w:tr>
        <w:trPr>
          <w:trHeight w:val="881"/>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215</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C14.R1</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1418"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Стартиране на уебсайта „DATAESTUR“ за събиране на данни за туризма</w:t>
            </w:r>
          </w:p>
        </w:tc>
        <w:tc>
          <w:tcPr>
            <w:tcW w:w="1276"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Връзка към уебсайта на Dataestur</w:t>
            </w:r>
          </w:p>
        </w:tc>
        <w:tc>
          <w:tcPr>
            <w:tcW w:w="85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992"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426"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708"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2020</w:t>
            </w:r>
          </w:p>
        </w:tc>
        <w:tc>
          <w:tcPr>
            <w:tcW w:w="6237"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Уебсайтът събира данни за туризма в Испания от различни източници на статистически данни за туризма, включително публични и частни организации като INE, Turespaña, Bank of Spain, AENA или RENFE, и функционира.</w:t>
            </w:r>
          </w:p>
        </w:tc>
      </w:tr>
      <w:tr>
        <w:trPr>
          <w:trHeight w:val="881"/>
        </w:trPr>
        <w:tc>
          <w:tcPr>
            <w:tcW w:w="709"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szCs w:val="18"/>
              </w:rPr>
              <w:t>216</w:t>
            </w:r>
          </w:p>
        </w:tc>
        <w:tc>
          <w:tcPr>
            <w:tcW w:w="851"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szCs w:val="18"/>
              </w:rPr>
              <w:t>C14.R1</w:t>
            </w:r>
          </w:p>
        </w:tc>
        <w:tc>
          <w:tcPr>
            <w:tcW w:w="850"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szCs w:val="18"/>
              </w:rPr>
              <w:t>M</w:t>
            </w:r>
          </w:p>
        </w:tc>
        <w:tc>
          <w:tcPr>
            <w:tcW w:w="1418" w:type="dxa"/>
            <w:shd w:val="clear" w:color="auto" w:fill="C6EFCE"/>
            <w:noWrap/>
          </w:tcPr>
          <w:p>
            <w:pPr>
              <w:spacing w:after="0" w:line="240" w:lineRule="auto"/>
              <w:rPr>
                <w:rFonts w:ascii="Times New Roman" w:hAnsi="Times New Roman" w:cs="Times New Roman"/>
                <w:noProof/>
                <w:color w:val="000000" w:themeColor="text1"/>
                <w:sz w:val="18"/>
                <w:szCs w:val="18"/>
              </w:rPr>
            </w:pPr>
            <w:r>
              <w:rPr>
                <w:rFonts w:ascii="Times New Roman" w:hAnsi="Times New Roman"/>
                <w:noProof/>
                <w:color w:val="000000"/>
                <w:sz w:val="18"/>
                <w:szCs w:val="18"/>
              </w:rPr>
              <w:t xml:space="preserve">Влизане в сила на кралския указ за прилагане на Държавния финансов фонд за конкурентоспособност на туризма </w:t>
            </w:r>
          </w:p>
        </w:tc>
        <w:tc>
          <w:tcPr>
            <w:tcW w:w="1276"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szCs w:val="18"/>
              </w:rPr>
              <w:t>Разпоредба от кралския указ, в която се посочва влизането в сила на закона</w:t>
            </w:r>
          </w:p>
        </w:tc>
        <w:tc>
          <w:tcPr>
            <w:tcW w:w="850"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 xml:space="preserve"> </w:t>
            </w:r>
          </w:p>
        </w:tc>
        <w:tc>
          <w:tcPr>
            <w:tcW w:w="992"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 xml:space="preserve"> </w:t>
            </w:r>
          </w:p>
        </w:tc>
        <w:tc>
          <w:tcPr>
            <w:tcW w:w="567"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 xml:space="preserve"> </w:t>
            </w:r>
          </w:p>
        </w:tc>
        <w:tc>
          <w:tcPr>
            <w:tcW w:w="426"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szCs w:val="18"/>
              </w:rPr>
              <w:t>T4</w:t>
            </w:r>
          </w:p>
        </w:tc>
        <w:tc>
          <w:tcPr>
            <w:tcW w:w="708"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szCs w:val="18"/>
              </w:rPr>
              <w:t>2021</w:t>
            </w:r>
          </w:p>
        </w:tc>
        <w:tc>
          <w:tcPr>
            <w:tcW w:w="6237" w:type="dxa"/>
            <w:shd w:val="clear" w:color="auto" w:fill="C6EFCE"/>
            <w:noWrap/>
          </w:tcPr>
          <w:p>
            <w:pPr>
              <w:spacing w:after="0" w:line="240" w:lineRule="auto"/>
              <w:rPr>
                <w:rFonts w:ascii="Times New Roman" w:hAnsi="Times New Roman" w:cs="Times New Roman"/>
                <w:noProof/>
                <w:color w:val="000000" w:themeColor="text1"/>
                <w:sz w:val="18"/>
                <w:szCs w:val="18"/>
              </w:rPr>
            </w:pPr>
            <w:r>
              <w:rPr>
                <w:rFonts w:ascii="Times New Roman" w:hAnsi="Times New Roman"/>
                <w:noProof/>
                <w:color w:val="000000"/>
                <w:sz w:val="18"/>
                <w:szCs w:val="18"/>
              </w:rPr>
              <w:t xml:space="preserve">Кралският указ за прилагане на Държавния финансов фонд за конкурентоспособност на туризма подобрява достъпа до публично финансиране за предприятията в областта на кръговата икономика и енергийната ефективност. </w:t>
            </w:r>
          </w:p>
        </w:tc>
      </w:tr>
      <w:tr>
        <w:trPr>
          <w:trHeight w:val="881"/>
        </w:trPr>
        <w:tc>
          <w:tcPr>
            <w:tcW w:w="709"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szCs w:val="18"/>
              </w:rPr>
              <w:t>217</w:t>
            </w:r>
          </w:p>
        </w:tc>
        <w:tc>
          <w:tcPr>
            <w:tcW w:w="851"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szCs w:val="18"/>
              </w:rPr>
              <w:t>C14.I1</w:t>
            </w:r>
          </w:p>
        </w:tc>
        <w:tc>
          <w:tcPr>
            <w:tcW w:w="850"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szCs w:val="18"/>
              </w:rPr>
              <w:t>T</w:t>
            </w:r>
          </w:p>
        </w:tc>
        <w:tc>
          <w:tcPr>
            <w:tcW w:w="1418" w:type="dxa"/>
            <w:shd w:val="clear" w:color="auto" w:fill="C6EFCE"/>
            <w:noWrap/>
          </w:tcPr>
          <w:p>
            <w:pPr>
              <w:spacing w:after="0" w:line="240" w:lineRule="auto"/>
              <w:rPr>
                <w:rFonts w:ascii="Times New Roman" w:hAnsi="Times New Roman" w:cs="Times New Roman"/>
                <w:noProof/>
                <w:color w:val="000000" w:themeColor="text1"/>
                <w:sz w:val="18"/>
                <w:szCs w:val="18"/>
              </w:rPr>
            </w:pPr>
            <w:r>
              <w:rPr>
                <w:rFonts w:ascii="Times New Roman" w:hAnsi="Times New Roman"/>
                <w:noProof/>
                <w:color w:val="000000"/>
                <w:sz w:val="18"/>
                <w:szCs w:val="18"/>
              </w:rPr>
              <w:t>Отпускане на бюджетни средства за планове за насърчаване на устойчивостта на туризма в тяхната дестинация</w:t>
            </w:r>
          </w:p>
        </w:tc>
        <w:tc>
          <w:tcPr>
            <w:tcW w:w="1276"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szCs w:val="18"/>
              </w:rPr>
              <w:t>-</w:t>
            </w:r>
          </w:p>
        </w:tc>
        <w:tc>
          <w:tcPr>
            <w:tcW w:w="850"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в милиони евро</w:t>
            </w:r>
          </w:p>
        </w:tc>
        <w:tc>
          <w:tcPr>
            <w:tcW w:w="992"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0</w:t>
            </w:r>
          </w:p>
        </w:tc>
        <w:tc>
          <w:tcPr>
            <w:tcW w:w="567"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561</w:t>
            </w:r>
          </w:p>
        </w:tc>
        <w:tc>
          <w:tcPr>
            <w:tcW w:w="426"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szCs w:val="18"/>
              </w:rPr>
              <w:t>T4</w:t>
            </w:r>
          </w:p>
        </w:tc>
        <w:tc>
          <w:tcPr>
            <w:tcW w:w="708"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szCs w:val="18"/>
              </w:rPr>
              <w:t>2021</w:t>
            </w:r>
          </w:p>
        </w:tc>
        <w:tc>
          <w:tcPr>
            <w:tcW w:w="6237" w:type="dxa"/>
            <w:shd w:val="clear" w:color="auto" w:fill="C6EFCE"/>
            <w:noWrap/>
          </w:tcPr>
          <w:p>
            <w:pPr>
              <w:spacing w:after="0" w:line="240" w:lineRule="auto"/>
              <w:rPr>
                <w:rFonts w:ascii="Times New Roman" w:hAnsi="Times New Roman" w:cs="Times New Roman"/>
                <w:noProof/>
                <w:color w:val="000000" w:themeColor="text1"/>
                <w:sz w:val="18"/>
                <w:szCs w:val="18"/>
              </w:rPr>
            </w:pPr>
            <w:r>
              <w:rPr>
                <w:rFonts w:ascii="Times New Roman" w:hAnsi="Times New Roman"/>
                <w:noProof/>
                <w:color w:val="000000"/>
                <w:sz w:val="18"/>
                <w:szCs w:val="18"/>
              </w:rPr>
              <w:t>Публикуване в ОВ на наградата на местните власти за подпомагане на изпълнението на „Териториални планове за устойчивост на туризма в дестинацията“ за най-малко 561000000 EUR и 35 % от средствата за мерки, насочени към екологичния преход, устойчивостта и енергийната ефективност/електромобилността в дестинациите. Критериите за подбор ще гарантират съответствие с техническите насоки „Ненанасяне на значителни вреди“ (2021/C58/01) чрез използването на списък за изключване и изискването за съответствие със съответното законодателство на ЕС и националното законодателство в областта на околната среда. Критериите за подбор гарантират, че от окончателния общ бюджет, отпуснат за мярката, най-малко 511000000 EUR от мярката допринасят за целите във връзка с изменението на климата със 100 % коефициент в областта на климата и най-малко 140000000 EUR с коефициент в областта на климата от 40 % в съответствие с приложение VI към Регламент (ЕС) 2021/241 относно Механизма за възстановяване и устойчивост.</w:t>
            </w:r>
          </w:p>
        </w:tc>
      </w:tr>
      <w:tr>
        <w:trPr>
          <w:trHeight w:val="881"/>
        </w:trPr>
        <w:tc>
          <w:tcPr>
            <w:tcW w:w="709"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szCs w:val="18"/>
              </w:rPr>
              <w:t>218</w:t>
            </w:r>
          </w:p>
        </w:tc>
        <w:tc>
          <w:tcPr>
            <w:tcW w:w="851"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szCs w:val="18"/>
              </w:rPr>
              <w:t>C14.I1</w:t>
            </w:r>
          </w:p>
        </w:tc>
        <w:tc>
          <w:tcPr>
            <w:tcW w:w="850"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szCs w:val="18"/>
              </w:rPr>
              <w:t>T</w:t>
            </w:r>
          </w:p>
        </w:tc>
        <w:tc>
          <w:tcPr>
            <w:tcW w:w="1418" w:type="dxa"/>
            <w:shd w:val="clear" w:color="auto" w:fill="C6EFCE"/>
            <w:noWrap/>
          </w:tcPr>
          <w:p>
            <w:pPr>
              <w:spacing w:after="0" w:line="240" w:lineRule="auto"/>
              <w:rPr>
                <w:rFonts w:ascii="Times New Roman" w:hAnsi="Times New Roman" w:cs="Times New Roman"/>
                <w:noProof/>
                <w:color w:val="000000" w:themeColor="text1"/>
                <w:sz w:val="18"/>
                <w:szCs w:val="18"/>
              </w:rPr>
            </w:pPr>
            <w:r>
              <w:rPr>
                <w:rFonts w:ascii="Times New Roman" w:hAnsi="Times New Roman"/>
                <w:noProof/>
                <w:color w:val="000000"/>
                <w:sz w:val="18"/>
                <w:szCs w:val="18"/>
              </w:rPr>
              <w:t>Отпускане на бюджетни средства за планове за насърчаване на устойчивостта на туризма в тяхната дестинация</w:t>
            </w:r>
          </w:p>
        </w:tc>
        <w:tc>
          <w:tcPr>
            <w:tcW w:w="1276"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szCs w:val="18"/>
              </w:rPr>
              <w:t>-</w:t>
            </w:r>
          </w:p>
        </w:tc>
        <w:tc>
          <w:tcPr>
            <w:tcW w:w="850"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в милиони евро</w:t>
            </w:r>
          </w:p>
        </w:tc>
        <w:tc>
          <w:tcPr>
            <w:tcW w:w="992"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561</w:t>
            </w:r>
          </w:p>
        </w:tc>
        <w:tc>
          <w:tcPr>
            <w:tcW w:w="567"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1 173</w:t>
            </w:r>
          </w:p>
        </w:tc>
        <w:tc>
          <w:tcPr>
            <w:tcW w:w="426"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szCs w:val="18"/>
              </w:rPr>
              <w:t>T4</w:t>
            </w:r>
          </w:p>
        </w:tc>
        <w:tc>
          <w:tcPr>
            <w:tcW w:w="708"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szCs w:val="18"/>
              </w:rPr>
              <w:t>2022</w:t>
            </w:r>
          </w:p>
        </w:tc>
        <w:tc>
          <w:tcPr>
            <w:tcW w:w="6237" w:type="dxa"/>
            <w:shd w:val="clear" w:color="auto" w:fill="C6EFCE"/>
            <w:noWrap/>
          </w:tcPr>
          <w:p>
            <w:pPr>
              <w:spacing w:after="0" w:line="240" w:lineRule="auto"/>
              <w:rPr>
                <w:rFonts w:ascii="Times New Roman" w:hAnsi="Times New Roman" w:cs="Times New Roman"/>
                <w:noProof/>
                <w:color w:val="000000" w:themeColor="text1"/>
                <w:sz w:val="18"/>
                <w:szCs w:val="18"/>
              </w:rPr>
            </w:pPr>
            <w:r>
              <w:rPr>
                <w:rFonts w:ascii="Times New Roman" w:hAnsi="Times New Roman"/>
                <w:noProof/>
                <w:color w:val="000000"/>
                <w:sz w:val="18"/>
                <w:szCs w:val="18"/>
              </w:rPr>
              <w:t xml:space="preserve">Публикуване в ОВ на наградата на местните власти за подпомагане на изпълнението на „Териториални планове за устойчивост на туризма в дестинацията“ за най-малко 1173000000 EUR (базово равнище: 31 декември 2021 г.) и с 35 % от средствата за финансиране на мерки, насочени към екологичния преход, устойчивостта и енергийната ефективност/електромобилността в дестинациите. Критериите за подбор гарантират съответствие с техническите насоки „Ненанасяне на значителни вреди“ (2021/C58/01) чрез използването на списък за изключване и изискването за съответствие със съответното законодателство на ЕС и национално законодателство в областта на околната среда. Критериите за подбор гарантират, че от окончателния общ бюджет, отпуснат за мярката, най-малко 511 000 000 EUR от мярката допринасят за целите във връзка с изменението на климата със 100 % коефициент в областта на климата и най-малко 140 000 000 EUR с коефициент в областта на климата от 40 % в съответствие с приложение VI към Регламент (ЕС) 2021/241 относно Механизма за възстановяване и устойчивост. </w:t>
            </w:r>
          </w:p>
        </w:tc>
      </w:tr>
      <w:tr>
        <w:trPr>
          <w:trHeight w:val="881"/>
        </w:trPr>
        <w:tc>
          <w:tcPr>
            <w:tcW w:w="709"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szCs w:val="18"/>
              </w:rPr>
              <w:t>219</w:t>
            </w:r>
          </w:p>
        </w:tc>
        <w:tc>
          <w:tcPr>
            <w:tcW w:w="851"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szCs w:val="18"/>
              </w:rPr>
              <w:t>C14.I1</w:t>
            </w:r>
          </w:p>
        </w:tc>
        <w:tc>
          <w:tcPr>
            <w:tcW w:w="850"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szCs w:val="18"/>
              </w:rPr>
              <w:t>T</w:t>
            </w:r>
          </w:p>
        </w:tc>
        <w:tc>
          <w:tcPr>
            <w:tcW w:w="1418" w:type="dxa"/>
            <w:shd w:val="clear" w:color="auto" w:fill="C6EFCE"/>
            <w:noWrap/>
          </w:tcPr>
          <w:p>
            <w:pPr>
              <w:spacing w:after="0" w:line="240" w:lineRule="auto"/>
              <w:rPr>
                <w:rFonts w:ascii="Times New Roman" w:hAnsi="Times New Roman" w:cs="Times New Roman"/>
                <w:noProof/>
                <w:color w:val="000000" w:themeColor="text1"/>
                <w:sz w:val="18"/>
                <w:szCs w:val="18"/>
              </w:rPr>
            </w:pPr>
            <w:r>
              <w:rPr>
                <w:rFonts w:ascii="Times New Roman" w:hAnsi="Times New Roman"/>
                <w:noProof/>
                <w:color w:val="000000"/>
                <w:sz w:val="18"/>
                <w:szCs w:val="18"/>
              </w:rPr>
              <w:t>Отпускане на бюджетни средства за планове за насърчаване на устойчивостта на туризма в тяхната дестинация</w:t>
            </w:r>
          </w:p>
        </w:tc>
        <w:tc>
          <w:tcPr>
            <w:tcW w:w="1276"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szCs w:val="18"/>
              </w:rPr>
              <w:t>-</w:t>
            </w:r>
          </w:p>
        </w:tc>
        <w:tc>
          <w:tcPr>
            <w:tcW w:w="850"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в милиони евро</w:t>
            </w:r>
          </w:p>
        </w:tc>
        <w:tc>
          <w:tcPr>
            <w:tcW w:w="992"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1 173</w:t>
            </w:r>
          </w:p>
        </w:tc>
        <w:tc>
          <w:tcPr>
            <w:tcW w:w="567"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 xml:space="preserve">1 788,6 </w:t>
            </w:r>
          </w:p>
        </w:tc>
        <w:tc>
          <w:tcPr>
            <w:tcW w:w="426"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szCs w:val="18"/>
              </w:rPr>
              <w:t>T4</w:t>
            </w:r>
          </w:p>
        </w:tc>
        <w:tc>
          <w:tcPr>
            <w:tcW w:w="708"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szCs w:val="18"/>
              </w:rPr>
              <w:t>2023</w:t>
            </w:r>
          </w:p>
        </w:tc>
        <w:tc>
          <w:tcPr>
            <w:tcW w:w="6237" w:type="dxa"/>
            <w:shd w:val="clear" w:color="auto" w:fill="C6EFCE"/>
            <w:noWrap/>
          </w:tcPr>
          <w:p>
            <w:pPr>
              <w:spacing w:after="0" w:line="240" w:lineRule="auto"/>
              <w:rPr>
                <w:rFonts w:ascii="Times New Roman" w:hAnsi="Times New Roman" w:cs="Times New Roman"/>
                <w:noProof/>
                <w:color w:val="000000" w:themeColor="text1"/>
                <w:sz w:val="18"/>
                <w:szCs w:val="18"/>
              </w:rPr>
            </w:pPr>
            <w:r>
              <w:rPr>
                <w:rFonts w:ascii="Times New Roman" w:hAnsi="Times New Roman"/>
                <w:noProof/>
                <w:color w:val="000000"/>
                <w:sz w:val="18"/>
                <w:szCs w:val="18"/>
              </w:rPr>
              <w:t>Публикуване в ОВ на наградата на местните власти за подпомагане на изпълнението на "Териториални планове за устойчивост на туризма в дестинацията на стойност най-малко 1 788 600 000 EUR (базово равнище: 31 декември 2022 г.) и с 35 % от средствата за финансиране на мерки, насочени към екологичния преход, устойчивостта и енергийната ефективност/електромобилната мобилност в дестинациите. Критериите за подбор гарантират съответствие с техническите насоки „Ненанасяне на значителни вреди“ (2021/C58/01) чрез използването на списък за изключване и изискването за съответствие със съответното законодателство на ЕС и национално законодателство в областта на околната среда. Критериите за подбор гарантират, че от окончателния общ бюджет, отпуснат за мярката, най-малко 511 000 000 EUR от мярката допринасят за целите във връзка с изменението на климата със 100 % коефициент в областта на климата и най-малко 140 000 000 EUR с коефициент в областта на климата от 40 % в съответствие с приложение VI към Регламент (ЕС) 2021/241 относно Механизма за възстановяване и устойчивост.</w:t>
            </w:r>
          </w:p>
        </w:tc>
      </w:tr>
      <w:tr>
        <w:trPr>
          <w:trHeight w:val="881"/>
        </w:trPr>
        <w:tc>
          <w:tcPr>
            <w:tcW w:w="709"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szCs w:val="18"/>
              </w:rPr>
              <w:t>220</w:t>
            </w:r>
          </w:p>
        </w:tc>
        <w:tc>
          <w:tcPr>
            <w:tcW w:w="851"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szCs w:val="18"/>
              </w:rPr>
              <w:t>C14.I1</w:t>
            </w:r>
          </w:p>
        </w:tc>
        <w:tc>
          <w:tcPr>
            <w:tcW w:w="850"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szCs w:val="18"/>
              </w:rPr>
              <w:t>M</w:t>
            </w:r>
          </w:p>
        </w:tc>
        <w:tc>
          <w:tcPr>
            <w:tcW w:w="1418" w:type="dxa"/>
            <w:shd w:val="clear" w:color="auto" w:fill="C6EFCE"/>
            <w:noWrap/>
          </w:tcPr>
          <w:p>
            <w:pPr>
              <w:spacing w:after="0" w:line="240" w:lineRule="auto"/>
              <w:rPr>
                <w:rFonts w:ascii="Times New Roman" w:hAnsi="Times New Roman" w:cs="Times New Roman"/>
                <w:noProof/>
                <w:color w:val="000000" w:themeColor="text1"/>
                <w:sz w:val="18"/>
                <w:szCs w:val="18"/>
              </w:rPr>
            </w:pPr>
            <w:r>
              <w:rPr>
                <w:rFonts w:ascii="Times New Roman" w:hAnsi="Times New Roman"/>
                <w:noProof/>
                <w:color w:val="000000"/>
                <w:sz w:val="18"/>
                <w:szCs w:val="18"/>
              </w:rPr>
              <w:t>Изпълнение на планове за насърчаване на устойчивостта на туризма в тяхната дестинация</w:t>
            </w:r>
          </w:p>
        </w:tc>
        <w:tc>
          <w:tcPr>
            <w:tcW w:w="1276"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szCs w:val="18"/>
              </w:rPr>
              <w:t>Доклад на Комисията за утвърждаване на прага на напредък</w:t>
            </w:r>
          </w:p>
        </w:tc>
        <w:tc>
          <w:tcPr>
            <w:tcW w:w="850"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 </w:t>
            </w:r>
          </w:p>
        </w:tc>
        <w:tc>
          <w:tcPr>
            <w:tcW w:w="992"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 </w:t>
            </w:r>
          </w:p>
        </w:tc>
        <w:tc>
          <w:tcPr>
            <w:tcW w:w="567"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 </w:t>
            </w:r>
          </w:p>
        </w:tc>
        <w:tc>
          <w:tcPr>
            <w:tcW w:w="426"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szCs w:val="18"/>
              </w:rPr>
              <w:t>T4</w:t>
            </w:r>
          </w:p>
        </w:tc>
        <w:tc>
          <w:tcPr>
            <w:tcW w:w="708"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szCs w:val="18"/>
              </w:rPr>
              <w:t>2024</w:t>
            </w:r>
          </w:p>
        </w:tc>
        <w:tc>
          <w:tcPr>
            <w:tcW w:w="6237" w:type="dxa"/>
            <w:shd w:val="clear" w:color="auto" w:fill="C6EFCE"/>
            <w:noWrap/>
          </w:tcPr>
          <w:p>
            <w:pPr>
              <w:spacing w:after="0" w:line="240" w:lineRule="auto"/>
              <w:rPr>
                <w:rFonts w:ascii="Times New Roman" w:hAnsi="Times New Roman" w:cs="Times New Roman"/>
                <w:noProof/>
                <w:color w:val="000000" w:themeColor="text1"/>
                <w:sz w:val="18"/>
                <w:szCs w:val="18"/>
              </w:rPr>
            </w:pPr>
            <w:r>
              <w:rPr>
                <w:rFonts w:ascii="Times New Roman" w:hAnsi="Times New Roman"/>
                <w:noProof/>
                <w:color w:val="000000"/>
                <w:sz w:val="18"/>
                <w:szCs w:val="18"/>
              </w:rPr>
              <w:t>Мониторинговите комисии ще гарантират, че всички възложени дестинации отговарят най-малко на следния процент от нивата на изпълнение на всеки план за устойчивост на туризма:</w:t>
            </w:r>
            <w:r>
              <w:rPr>
                <w:rFonts w:ascii="Times New Roman" w:hAnsi="Times New Roman"/>
                <w:noProof/>
                <w:color w:val="000000"/>
                <w:sz w:val="18"/>
                <w:szCs w:val="18"/>
              </w:rPr>
              <w:br/>
              <w:t>— 75 % изпълнение за дестинации, възложени през 2021 г.</w:t>
            </w:r>
            <w:r>
              <w:rPr>
                <w:rFonts w:ascii="Times New Roman" w:hAnsi="Times New Roman"/>
                <w:noProof/>
                <w:color w:val="000000"/>
                <w:sz w:val="18"/>
                <w:szCs w:val="18"/>
              </w:rPr>
              <w:br/>
              <w:t>— 50 % изпълнение за дестинации, възложени през 2022 г.</w:t>
            </w:r>
            <w:r>
              <w:rPr>
                <w:rFonts w:ascii="Times New Roman" w:hAnsi="Times New Roman"/>
                <w:noProof/>
                <w:color w:val="000000"/>
                <w:sz w:val="18"/>
                <w:szCs w:val="18"/>
              </w:rPr>
              <w:br/>
              <w:t xml:space="preserve">— 25 % изпълнение за дестинации, възложени през 2023 г. </w:t>
            </w:r>
          </w:p>
        </w:tc>
      </w:tr>
      <w:tr>
        <w:trPr>
          <w:trHeight w:val="881"/>
        </w:trPr>
        <w:tc>
          <w:tcPr>
            <w:tcW w:w="709"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szCs w:val="18"/>
              </w:rPr>
              <w:t>221</w:t>
            </w:r>
          </w:p>
        </w:tc>
        <w:tc>
          <w:tcPr>
            <w:tcW w:w="851"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szCs w:val="18"/>
              </w:rPr>
              <w:t>C14.I1</w:t>
            </w:r>
          </w:p>
        </w:tc>
        <w:tc>
          <w:tcPr>
            <w:tcW w:w="850"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szCs w:val="18"/>
              </w:rPr>
              <w:t>M</w:t>
            </w:r>
          </w:p>
        </w:tc>
        <w:tc>
          <w:tcPr>
            <w:tcW w:w="1418" w:type="dxa"/>
            <w:shd w:val="clear" w:color="auto" w:fill="C6EFCE"/>
            <w:noWrap/>
          </w:tcPr>
          <w:p>
            <w:pPr>
              <w:spacing w:after="0" w:line="240" w:lineRule="auto"/>
              <w:rPr>
                <w:rFonts w:ascii="Times New Roman" w:hAnsi="Times New Roman" w:cs="Times New Roman"/>
                <w:noProof/>
                <w:color w:val="000000" w:themeColor="text1"/>
                <w:sz w:val="18"/>
                <w:szCs w:val="18"/>
              </w:rPr>
            </w:pPr>
            <w:r>
              <w:rPr>
                <w:rFonts w:ascii="Times New Roman" w:hAnsi="Times New Roman"/>
                <w:noProof/>
                <w:color w:val="000000"/>
                <w:sz w:val="18"/>
                <w:szCs w:val="18"/>
              </w:rPr>
              <w:t xml:space="preserve">Приключване на проекти за насърчаване на устойчивостта на туристическите дестинации </w:t>
            </w:r>
          </w:p>
        </w:tc>
        <w:tc>
          <w:tcPr>
            <w:tcW w:w="1276"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szCs w:val="18"/>
              </w:rPr>
              <w:t>Сертификат за завършено образование</w:t>
            </w:r>
          </w:p>
        </w:tc>
        <w:tc>
          <w:tcPr>
            <w:tcW w:w="850"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 </w:t>
            </w:r>
          </w:p>
        </w:tc>
        <w:tc>
          <w:tcPr>
            <w:tcW w:w="992"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 </w:t>
            </w:r>
          </w:p>
        </w:tc>
        <w:tc>
          <w:tcPr>
            <w:tcW w:w="567"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 </w:t>
            </w:r>
          </w:p>
        </w:tc>
        <w:tc>
          <w:tcPr>
            <w:tcW w:w="426"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szCs w:val="18"/>
              </w:rPr>
              <w:t>T2</w:t>
            </w:r>
          </w:p>
        </w:tc>
        <w:tc>
          <w:tcPr>
            <w:tcW w:w="708"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szCs w:val="18"/>
              </w:rPr>
              <w:t>2026</w:t>
            </w:r>
          </w:p>
        </w:tc>
        <w:tc>
          <w:tcPr>
            <w:tcW w:w="6237" w:type="dxa"/>
            <w:shd w:val="clear" w:color="auto" w:fill="C6EFCE"/>
            <w:noWrap/>
          </w:tcPr>
          <w:p>
            <w:pPr>
              <w:spacing w:after="0" w:line="240" w:lineRule="auto"/>
              <w:rPr>
                <w:rFonts w:ascii="Times New Roman" w:hAnsi="Times New Roman" w:cs="Times New Roman"/>
                <w:noProof/>
                <w:color w:val="000000" w:themeColor="text1"/>
                <w:sz w:val="18"/>
                <w:szCs w:val="18"/>
              </w:rPr>
            </w:pPr>
            <w:r>
              <w:rPr>
                <w:rFonts w:ascii="Times New Roman" w:hAnsi="Times New Roman"/>
                <w:noProof/>
                <w:color w:val="000000"/>
                <w:sz w:val="18"/>
                <w:szCs w:val="18"/>
              </w:rPr>
              <w:t>Приключване на всички проекти, включени в „Териториални планове за устойчивост на туризма в дестинацията„и възложени в съответствие с цели 211, 212 и 2013 г., с 35 % от средствата за мерки, насочени към екологичния преход, устойчивостта и енергийната ефективност/електромобилността в дестинациите, в съответствие с техническите насоки „Ненанасяне на значителни вреди“ (2021/C58/01) чрез използване на списък за изключване и изискване за спазване на съответното законодателство на ЕС и националното законодателство в областта на околната среда.</w:t>
            </w:r>
          </w:p>
        </w:tc>
      </w:tr>
      <w:tr>
        <w:trPr>
          <w:trHeight w:val="881"/>
        </w:trPr>
        <w:tc>
          <w:tcPr>
            <w:tcW w:w="709"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szCs w:val="18"/>
              </w:rPr>
              <w:t>222</w:t>
            </w:r>
          </w:p>
        </w:tc>
        <w:tc>
          <w:tcPr>
            <w:tcW w:w="851"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szCs w:val="18"/>
              </w:rPr>
              <w:t>C14.I2</w:t>
            </w:r>
          </w:p>
        </w:tc>
        <w:tc>
          <w:tcPr>
            <w:tcW w:w="850"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szCs w:val="18"/>
              </w:rPr>
              <w:t>M</w:t>
            </w:r>
          </w:p>
        </w:tc>
        <w:tc>
          <w:tcPr>
            <w:tcW w:w="1418" w:type="dxa"/>
            <w:shd w:val="clear" w:color="auto" w:fill="C6EFCE"/>
            <w:noWrap/>
          </w:tcPr>
          <w:p>
            <w:pPr>
              <w:spacing w:after="0" w:line="240" w:lineRule="auto"/>
              <w:rPr>
                <w:rFonts w:ascii="Times New Roman" w:hAnsi="Times New Roman" w:cs="Times New Roman"/>
                <w:noProof/>
                <w:color w:val="000000" w:themeColor="text1"/>
                <w:sz w:val="18"/>
                <w:szCs w:val="18"/>
              </w:rPr>
            </w:pPr>
            <w:r>
              <w:rPr>
                <w:rFonts w:ascii="Times New Roman" w:hAnsi="Times New Roman"/>
                <w:noProof/>
                <w:color w:val="000000"/>
                <w:sz w:val="18"/>
                <w:szCs w:val="18"/>
              </w:rPr>
              <w:t>Стартиране на Платформата за интелигентна дестинация на туристическия сектор.</w:t>
            </w:r>
          </w:p>
        </w:tc>
        <w:tc>
          <w:tcPr>
            <w:tcW w:w="1276"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szCs w:val="18"/>
              </w:rPr>
              <w:t>Връзка към платформата</w:t>
            </w:r>
          </w:p>
        </w:tc>
        <w:tc>
          <w:tcPr>
            <w:tcW w:w="850"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 </w:t>
            </w:r>
          </w:p>
        </w:tc>
        <w:tc>
          <w:tcPr>
            <w:tcW w:w="992"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 </w:t>
            </w:r>
          </w:p>
        </w:tc>
        <w:tc>
          <w:tcPr>
            <w:tcW w:w="567"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 </w:t>
            </w:r>
          </w:p>
        </w:tc>
        <w:tc>
          <w:tcPr>
            <w:tcW w:w="426"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szCs w:val="18"/>
              </w:rPr>
              <w:t>T2</w:t>
            </w:r>
          </w:p>
        </w:tc>
        <w:tc>
          <w:tcPr>
            <w:tcW w:w="708"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szCs w:val="18"/>
              </w:rPr>
              <w:t>2025</w:t>
            </w:r>
          </w:p>
        </w:tc>
        <w:tc>
          <w:tcPr>
            <w:tcW w:w="6237" w:type="dxa"/>
            <w:shd w:val="clear" w:color="auto" w:fill="C6EFCE"/>
            <w:noWrap/>
          </w:tcPr>
          <w:p>
            <w:pPr>
              <w:spacing w:after="0" w:line="240" w:lineRule="auto"/>
              <w:rPr>
                <w:rFonts w:ascii="Times New Roman" w:hAnsi="Times New Roman" w:cs="Times New Roman"/>
                <w:noProof/>
                <w:color w:val="000000" w:themeColor="text1"/>
                <w:sz w:val="18"/>
                <w:szCs w:val="18"/>
              </w:rPr>
            </w:pPr>
            <w:r>
              <w:rPr>
                <w:rFonts w:ascii="Times New Roman" w:hAnsi="Times New Roman"/>
                <w:noProof/>
                <w:color w:val="000000"/>
                <w:sz w:val="18"/>
                <w:szCs w:val="18"/>
              </w:rPr>
              <w:t>Прилагане и стартиране на напълно функционираща платформа за интелигентно местоназначение. Платформата предоставя оперативно съвместими публични и частни услуги на туристите.</w:t>
            </w:r>
          </w:p>
        </w:tc>
      </w:tr>
      <w:tr>
        <w:trPr>
          <w:trHeight w:val="171"/>
        </w:trPr>
        <w:tc>
          <w:tcPr>
            <w:tcW w:w="709"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szCs w:val="18"/>
              </w:rPr>
              <w:t>223</w:t>
            </w:r>
          </w:p>
        </w:tc>
        <w:tc>
          <w:tcPr>
            <w:tcW w:w="851"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szCs w:val="18"/>
              </w:rPr>
              <w:t>C14.I2</w:t>
            </w:r>
          </w:p>
        </w:tc>
        <w:tc>
          <w:tcPr>
            <w:tcW w:w="850"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szCs w:val="18"/>
              </w:rPr>
              <w:t>T</w:t>
            </w:r>
          </w:p>
        </w:tc>
        <w:tc>
          <w:tcPr>
            <w:tcW w:w="1418" w:type="dxa"/>
            <w:shd w:val="clear" w:color="auto" w:fill="C6EFCE"/>
            <w:noWrap/>
          </w:tcPr>
          <w:p>
            <w:pPr>
              <w:spacing w:after="0" w:line="240" w:lineRule="auto"/>
              <w:rPr>
                <w:rFonts w:ascii="Times New Roman" w:hAnsi="Times New Roman" w:cs="Times New Roman"/>
                <w:noProof/>
                <w:color w:val="000000" w:themeColor="text1"/>
                <w:sz w:val="18"/>
                <w:szCs w:val="18"/>
              </w:rPr>
            </w:pPr>
            <w:r>
              <w:rPr>
                <w:rFonts w:ascii="Times New Roman" w:hAnsi="Times New Roman"/>
                <w:noProof/>
                <w:color w:val="000000"/>
                <w:sz w:val="18"/>
                <w:szCs w:val="18"/>
              </w:rPr>
              <w:t>Бенефициери на иновативни технологични проекти, свързани с ИИ и други базови технологии</w:t>
            </w:r>
          </w:p>
        </w:tc>
        <w:tc>
          <w:tcPr>
            <w:tcW w:w="1276"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szCs w:val="18"/>
              </w:rPr>
              <w:t>-</w:t>
            </w:r>
          </w:p>
        </w:tc>
        <w:tc>
          <w:tcPr>
            <w:tcW w:w="850"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Номер</w:t>
            </w:r>
          </w:p>
        </w:tc>
        <w:tc>
          <w:tcPr>
            <w:tcW w:w="992"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0</w:t>
            </w:r>
          </w:p>
        </w:tc>
        <w:tc>
          <w:tcPr>
            <w:tcW w:w="567"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1 000</w:t>
            </w:r>
          </w:p>
        </w:tc>
        <w:tc>
          <w:tcPr>
            <w:tcW w:w="426"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szCs w:val="18"/>
              </w:rPr>
              <w:t>T2</w:t>
            </w:r>
          </w:p>
        </w:tc>
        <w:tc>
          <w:tcPr>
            <w:tcW w:w="708"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szCs w:val="18"/>
              </w:rPr>
              <w:t>2025</w:t>
            </w:r>
          </w:p>
        </w:tc>
        <w:tc>
          <w:tcPr>
            <w:tcW w:w="6237" w:type="dxa"/>
            <w:shd w:val="clear" w:color="auto" w:fill="C6EFCE"/>
            <w:noWrap/>
          </w:tcPr>
          <w:p>
            <w:pPr>
              <w:spacing w:after="0" w:line="240" w:lineRule="auto"/>
              <w:rPr>
                <w:rFonts w:ascii="Times New Roman" w:hAnsi="Times New Roman" w:cs="Times New Roman"/>
                <w:noProof/>
                <w:color w:val="000000" w:themeColor="text1"/>
                <w:sz w:val="18"/>
                <w:szCs w:val="18"/>
              </w:rPr>
            </w:pPr>
            <w:r>
              <w:rPr>
                <w:rFonts w:ascii="Times New Roman" w:hAnsi="Times New Roman"/>
                <w:noProof/>
                <w:color w:val="000000"/>
                <w:sz w:val="18"/>
                <w:szCs w:val="18"/>
              </w:rPr>
              <w:t xml:space="preserve">Най-малко 1 000 бенефициери (дружества или клъстери), които са завършили иновативни технологични проекти за сектора на туризма, свързани с изкуствения интелект и други базови технологии, като например интернет на нещата, 5G, големи информационни масиви, киберсигурност, мобилни приложения. </w:t>
            </w:r>
          </w:p>
        </w:tc>
      </w:tr>
      <w:tr>
        <w:trPr>
          <w:trHeight w:val="881"/>
        </w:trPr>
        <w:tc>
          <w:tcPr>
            <w:tcW w:w="709"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szCs w:val="18"/>
              </w:rPr>
              <w:t>224</w:t>
            </w:r>
          </w:p>
        </w:tc>
        <w:tc>
          <w:tcPr>
            <w:tcW w:w="851"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szCs w:val="18"/>
              </w:rPr>
              <w:t>C14.I3</w:t>
            </w:r>
          </w:p>
        </w:tc>
        <w:tc>
          <w:tcPr>
            <w:tcW w:w="850"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szCs w:val="18"/>
              </w:rPr>
              <w:t>T</w:t>
            </w:r>
          </w:p>
        </w:tc>
        <w:tc>
          <w:tcPr>
            <w:tcW w:w="1418" w:type="dxa"/>
            <w:shd w:val="clear" w:color="auto" w:fill="C6EFCE"/>
            <w:noWrap/>
          </w:tcPr>
          <w:p>
            <w:pPr>
              <w:spacing w:after="0" w:line="240" w:lineRule="auto"/>
              <w:rPr>
                <w:rFonts w:ascii="Times New Roman" w:hAnsi="Times New Roman" w:cs="Times New Roman"/>
                <w:noProof/>
                <w:color w:val="000000" w:themeColor="text1"/>
                <w:sz w:val="18"/>
                <w:szCs w:val="18"/>
              </w:rPr>
            </w:pPr>
            <w:r>
              <w:rPr>
                <w:rFonts w:ascii="Times New Roman" w:hAnsi="Times New Roman"/>
                <w:noProof/>
                <w:color w:val="000000"/>
                <w:sz w:val="18"/>
                <w:szCs w:val="18"/>
              </w:rPr>
              <w:t>Бенефициери в извънперсоналните региони, които са приключили проекти за подобряване на конкуренто-способността си и способността си да се адаптират към промените на международните пазари</w:t>
            </w:r>
          </w:p>
        </w:tc>
        <w:tc>
          <w:tcPr>
            <w:tcW w:w="1276"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szCs w:val="18"/>
              </w:rPr>
              <w:t>-</w:t>
            </w:r>
          </w:p>
        </w:tc>
        <w:tc>
          <w:tcPr>
            <w:tcW w:w="850"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Номер</w:t>
            </w:r>
          </w:p>
        </w:tc>
        <w:tc>
          <w:tcPr>
            <w:tcW w:w="992"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0</w:t>
            </w:r>
          </w:p>
        </w:tc>
        <w:tc>
          <w:tcPr>
            <w:tcW w:w="567"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400</w:t>
            </w:r>
          </w:p>
        </w:tc>
        <w:tc>
          <w:tcPr>
            <w:tcW w:w="426"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szCs w:val="18"/>
              </w:rPr>
              <w:t>T2</w:t>
            </w:r>
          </w:p>
        </w:tc>
        <w:tc>
          <w:tcPr>
            <w:tcW w:w="708"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szCs w:val="18"/>
              </w:rPr>
              <w:t>2025</w:t>
            </w:r>
          </w:p>
        </w:tc>
        <w:tc>
          <w:tcPr>
            <w:tcW w:w="6237" w:type="dxa"/>
            <w:shd w:val="clear" w:color="auto" w:fill="C6EFCE"/>
            <w:noWrap/>
          </w:tcPr>
          <w:p>
            <w:pPr>
              <w:spacing w:after="0" w:line="240" w:lineRule="auto"/>
              <w:rPr>
                <w:rFonts w:ascii="Times New Roman" w:hAnsi="Times New Roman" w:cs="Times New Roman"/>
                <w:noProof/>
                <w:color w:val="000000" w:themeColor="text1"/>
                <w:sz w:val="18"/>
                <w:szCs w:val="18"/>
              </w:rPr>
            </w:pPr>
            <w:r>
              <w:rPr>
                <w:rFonts w:ascii="Times New Roman" w:hAnsi="Times New Roman"/>
                <w:noProof/>
                <w:color w:val="000000"/>
                <w:sz w:val="18"/>
                <w:szCs w:val="18"/>
              </w:rPr>
              <w:t>Най-малко 400 бенефициери в извънперсоналните региони (Балеарски острови, Канарските острови, Сеута и Мелила), които са приключили проекти за подобряване на конкурентоспособността си и способността си да се адаптират към промените на международните пазари.</w:t>
            </w:r>
          </w:p>
        </w:tc>
      </w:tr>
      <w:tr>
        <w:trPr>
          <w:trHeight w:val="881"/>
        </w:trPr>
        <w:tc>
          <w:tcPr>
            <w:tcW w:w="709"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szCs w:val="18"/>
              </w:rPr>
              <w:t>225</w:t>
            </w:r>
          </w:p>
        </w:tc>
        <w:tc>
          <w:tcPr>
            <w:tcW w:w="851"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szCs w:val="18"/>
              </w:rPr>
              <w:t>C14.I4</w:t>
            </w:r>
          </w:p>
        </w:tc>
        <w:tc>
          <w:tcPr>
            <w:tcW w:w="850"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szCs w:val="18"/>
              </w:rPr>
              <w:t>T</w:t>
            </w:r>
          </w:p>
        </w:tc>
        <w:tc>
          <w:tcPr>
            <w:tcW w:w="1418" w:type="dxa"/>
            <w:shd w:val="clear" w:color="auto" w:fill="C6EFCE"/>
            <w:noWrap/>
          </w:tcPr>
          <w:p>
            <w:pPr>
              <w:spacing w:after="0" w:line="240" w:lineRule="auto"/>
              <w:rPr>
                <w:rFonts w:ascii="Times New Roman" w:hAnsi="Times New Roman" w:cs="Times New Roman"/>
                <w:noProof/>
                <w:color w:val="000000" w:themeColor="text1"/>
                <w:sz w:val="18"/>
                <w:szCs w:val="18"/>
              </w:rPr>
            </w:pPr>
            <w:r>
              <w:rPr>
                <w:rFonts w:ascii="Times New Roman" w:hAnsi="Times New Roman"/>
                <w:noProof/>
                <w:color w:val="000000"/>
                <w:sz w:val="18"/>
                <w:szCs w:val="18"/>
              </w:rPr>
              <w:t>Проекти, насочени към търговски зони, разположени в местни райони с голям приток на туристи</w:t>
            </w:r>
          </w:p>
        </w:tc>
        <w:tc>
          <w:tcPr>
            <w:tcW w:w="1276"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szCs w:val="18"/>
              </w:rPr>
              <w:t> </w:t>
            </w:r>
          </w:p>
        </w:tc>
        <w:tc>
          <w:tcPr>
            <w:tcW w:w="850"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Номер</w:t>
            </w:r>
          </w:p>
        </w:tc>
        <w:tc>
          <w:tcPr>
            <w:tcW w:w="992"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0</w:t>
            </w:r>
          </w:p>
        </w:tc>
        <w:tc>
          <w:tcPr>
            <w:tcW w:w="567"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60</w:t>
            </w:r>
          </w:p>
        </w:tc>
        <w:tc>
          <w:tcPr>
            <w:tcW w:w="426"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szCs w:val="18"/>
              </w:rPr>
              <w:t>T4</w:t>
            </w:r>
          </w:p>
        </w:tc>
        <w:tc>
          <w:tcPr>
            <w:tcW w:w="708"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szCs w:val="18"/>
              </w:rPr>
              <w:t>2024</w:t>
            </w:r>
          </w:p>
        </w:tc>
        <w:tc>
          <w:tcPr>
            <w:tcW w:w="6237" w:type="dxa"/>
            <w:shd w:val="clear" w:color="auto" w:fill="C6EFCE"/>
            <w:noWrap/>
          </w:tcPr>
          <w:p>
            <w:pPr>
              <w:spacing w:after="0" w:line="240" w:lineRule="auto"/>
              <w:rPr>
                <w:rFonts w:ascii="Times New Roman" w:hAnsi="Times New Roman" w:cs="Times New Roman"/>
                <w:noProof/>
                <w:color w:val="000000" w:themeColor="text1"/>
                <w:sz w:val="18"/>
                <w:szCs w:val="18"/>
              </w:rPr>
            </w:pPr>
            <w:r>
              <w:rPr>
                <w:rFonts w:ascii="Times New Roman" w:hAnsi="Times New Roman"/>
                <w:noProof/>
                <w:color w:val="000000"/>
                <w:sz w:val="18"/>
                <w:szCs w:val="18"/>
              </w:rPr>
              <w:t>Най-малко 60 проекта, насочени към търговски зони, разположени в местни райони с голям приток на туристи, са завършени в съответствие с техническите насоки „Ненанасяне на значителни вреди“ (2021/C58/01) чрез използването на списък за изключване и изискването за спазване на съответното законодателство на ЕС и националното законодателство в областта на околната среда.</w:t>
            </w:r>
          </w:p>
        </w:tc>
      </w:tr>
      <w:tr>
        <w:trPr>
          <w:trHeight w:val="881"/>
        </w:trPr>
        <w:tc>
          <w:tcPr>
            <w:tcW w:w="709"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szCs w:val="18"/>
              </w:rPr>
              <w:t>226</w:t>
            </w:r>
          </w:p>
        </w:tc>
        <w:tc>
          <w:tcPr>
            <w:tcW w:w="851"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szCs w:val="18"/>
              </w:rPr>
              <w:t>C14.I4</w:t>
            </w:r>
          </w:p>
        </w:tc>
        <w:tc>
          <w:tcPr>
            <w:tcW w:w="850"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szCs w:val="18"/>
              </w:rPr>
              <w:t>T</w:t>
            </w:r>
          </w:p>
        </w:tc>
        <w:tc>
          <w:tcPr>
            <w:tcW w:w="1418" w:type="dxa"/>
            <w:shd w:val="clear" w:color="auto" w:fill="C6EFCE"/>
            <w:noWrap/>
          </w:tcPr>
          <w:p>
            <w:pPr>
              <w:spacing w:after="0" w:line="240" w:lineRule="auto"/>
              <w:rPr>
                <w:rFonts w:ascii="Times New Roman" w:hAnsi="Times New Roman" w:cs="Times New Roman"/>
                <w:noProof/>
                <w:color w:val="000000" w:themeColor="text1"/>
                <w:sz w:val="18"/>
                <w:szCs w:val="18"/>
              </w:rPr>
            </w:pPr>
            <w:r>
              <w:rPr>
                <w:rFonts w:ascii="Times New Roman" w:hAnsi="Times New Roman"/>
                <w:noProof/>
                <w:color w:val="000000"/>
                <w:sz w:val="18"/>
                <w:szCs w:val="18"/>
              </w:rPr>
              <w:t xml:space="preserve">Туристически продукти, предоставени в съответствие със стратегията за туризма </w:t>
            </w:r>
          </w:p>
        </w:tc>
        <w:tc>
          <w:tcPr>
            <w:tcW w:w="1276"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szCs w:val="18"/>
              </w:rPr>
              <w:t>-</w:t>
            </w:r>
          </w:p>
        </w:tc>
        <w:tc>
          <w:tcPr>
            <w:tcW w:w="850"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Номер</w:t>
            </w:r>
          </w:p>
        </w:tc>
        <w:tc>
          <w:tcPr>
            <w:tcW w:w="992"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0</w:t>
            </w:r>
          </w:p>
        </w:tc>
        <w:tc>
          <w:tcPr>
            <w:tcW w:w="567"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45</w:t>
            </w:r>
          </w:p>
        </w:tc>
        <w:tc>
          <w:tcPr>
            <w:tcW w:w="426"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szCs w:val="18"/>
              </w:rPr>
              <w:t>T2</w:t>
            </w:r>
          </w:p>
        </w:tc>
        <w:tc>
          <w:tcPr>
            <w:tcW w:w="708"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szCs w:val="18"/>
              </w:rPr>
              <w:t>2025</w:t>
            </w:r>
          </w:p>
        </w:tc>
        <w:tc>
          <w:tcPr>
            <w:tcW w:w="6237" w:type="dxa"/>
            <w:shd w:val="clear" w:color="auto" w:fill="C6EFCE"/>
            <w:noWrap/>
          </w:tcPr>
          <w:p>
            <w:pPr>
              <w:spacing w:after="0" w:line="240" w:lineRule="auto"/>
              <w:rPr>
                <w:rFonts w:ascii="Times New Roman" w:hAnsi="Times New Roman" w:cs="Times New Roman"/>
                <w:noProof/>
                <w:color w:val="000000" w:themeColor="text1"/>
                <w:sz w:val="18"/>
                <w:szCs w:val="18"/>
              </w:rPr>
            </w:pPr>
            <w:r>
              <w:rPr>
                <w:rFonts w:ascii="Times New Roman" w:hAnsi="Times New Roman"/>
                <w:noProof/>
                <w:color w:val="000000"/>
                <w:sz w:val="18"/>
                <w:szCs w:val="18"/>
              </w:rPr>
              <w:t xml:space="preserve">Най-малко 45 нови туристически продукта, доставени в съответствие със Стратегията за разработване на продукти за устойчив туризъм, в съответствие с техническите насоки „Ненанасяне на значителни вреди“ (2021/C58/01) чрез използването на списък за изключване и изискването за спазване на съответното законодателство на ЕС и националното законодателство в областта на околната среда. </w:t>
            </w:r>
          </w:p>
        </w:tc>
      </w:tr>
      <w:tr>
        <w:trPr>
          <w:trHeight w:val="881"/>
        </w:trPr>
        <w:tc>
          <w:tcPr>
            <w:tcW w:w="709"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szCs w:val="18"/>
              </w:rPr>
              <w:t>227</w:t>
            </w:r>
          </w:p>
        </w:tc>
        <w:tc>
          <w:tcPr>
            <w:tcW w:w="851"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szCs w:val="18"/>
              </w:rPr>
              <w:t>C14.I4</w:t>
            </w:r>
          </w:p>
        </w:tc>
        <w:tc>
          <w:tcPr>
            <w:tcW w:w="850"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szCs w:val="18"/>
              </w:rPr>
              <w:t>T</w:t>
            </w:r>
          </w:p>
        </w:tc>
        <w:tc>
          <w:tcPr>
            <w:tcW w:w="1418" w:type="dxa"/>
            <w:shd w:val="clear" w:color="auto" w:fill="C6EFCE"/>
            <w:noWrap/>
          </w:tcPr>
          <w:p>
            <w:pPr>
              <w:spacing w:after="0" w:line="240" w:lineRule="auto"/>
              <w:rPr>
                <w:rFonts w:ascii="Times New Roman" w:hAnsi="Times New Roman" w:cs="Times New Roman"/>
                <w:noProof/>
                <w:color w:val="000000" w:themeColor="text1"/>
                <w:sz w:val="18"/>
                <w:szCs w:val="18"/>
              </w:rPr>
            </w:pPr>
            <w:r>
              <w:rPr>
                <w:rFonts w:ascii="Times New Roman" w:hAnsi="Times New Roman"/>
                <w:noProof/>
                <w:color w:val="000000"/>
                <w:sz w:val="18"/>
                <w:szCs w:val="18"/>
              </w:rPr>
              <w:t>Туристически обекти, които намаляват годишното си потребление на отпадъци или енергия</w:t>
            </w:r>
          </w:p>
        </w:tc>
        <w:tc>
          <w:tcPr>
            <w:tcW w:w="1276"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szCs w:val="18"/>
              </w:rPr>
              <w:t>-</w:t>
            </w:r>
          </w:p>
        </w:tc>
        <w:tc>
          <w:tcPr>
            <w:tcW w:w="850"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Номер</w:t>
            </w:r>
          </w:p>
        </w:tc>
        <w:tc>
          <w:tcPr>
            <w:tcW w:w="992"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0</w:t>
            </w:r>
          </w:p>
        </w:tc>
        <w:tc>
          <w:tcPr>
            <w:tcW w:w="567"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3 400</w:t>
            </w:r>
          </w:p>
        </w:tc>
        <w:tc>
          <w:tcPr>
            <w:tcW w:w="426"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szCs w:val="18"/>
              </w:rPr>
              <w:t>T2</w:t>
            </w:r>
          </w:p>
        </w:tc>
        <w:tc>
          <w:tcPr>
            <w:tcW w:w="708"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szCs w:val="18"/>
              </w:rPr>
              <w:t>2025</w:t>
            </w:r>
          </w:p>
        </w:tc>
        <w:tc>
          <w:tcPr>
            <w:tcW w:w="6237" w:type="dxa"/>
            <w:shd w:val="clear" w:color="auto" w:fill="C6EFCE"/>
            <w:noWrap/>
          </w:tcPr>
          <w:p>
            <w:pPr>
              <w:spacing w:after="0" w:line="240" w:lineRule="auto"/>
              <w:rPr>
                <w:rFonts w:ascii="Times New Roman" w:hAnsi="Times New Roman" w:cs="Times New Roman"/>
                <w:noProof/>
                <w:color w:val="000000" w:themeColor="text1"/>
                <w:sz w:val="18"/>
                <w:szCs w:val="18"/>
              </w:rPr>
            </w:pPr>
            <w:r>
              <w:rPr>
                <w:rFonts w:ascii="Times New Roman" w:hAnsi="Times New Roman"/>
                <w:noProof/>
                <w:color w:val="000000"/>
                <w:sz w:val="18"/>
                <w:szCs w:val="18"/>
              </w:rPr>
              <w:t>Най-малко 3 400 туристически обекта са приключили проекти, насочени към намаляване на годишното потребление на отпадъци или енергия в съответствие с Техническите насоки „Ненанасяне на значителни вреди“ (2021/C58/01) чрез използването на списък за изключване и изискването за спазване на съответното законодателство на ЕС и националното законодателство в областта на околната среда.</w:t>
            </w:r>
          </w:p>
        </w:tc>
      </w:tr>
      <w:tr>
        <w:trPr>
          <w:trHeight w:val="881"/>
        </w:trPr>
        <w:tc>
          <w:tcPr>
            <w:tcW w:w="709"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szCs w:val="18"/>
              </w:rPr>
              <w:t>228</w:t>
            </w:r>
          </w:p>
        </w:tc>
        <w:tc>
          <w:tcPr>
            <w:tcW w:w="851"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szCs w:val="18"/>
              </w:rPr>
              <w:t>C14.I4</w:t>
            </w:r>
          </w:p>
        </w:tc>
        <w:tc>
          <w:tcPr>
            <w:tcW w:w="850"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szCs w:val="18"/>
              </w:rPr>
              <w:t>T</w:t>
            </w:r>
          </w:p>
        </w:tc>
        <w:tc>
          <w:tcPr>
            <w:tcW w:w="1418" w:type="dxa"/>
            <w:shd w:val="clear" w:color="auto" w:fill="C6EFCE"/>
            <w:noWrap/>
          </w:tcPr>
          <w:p>
            <w:pPr>
              <w:spacing w:after="0" w:line="240" w:lineRule="auto"/>
              <w:rPr>
                <w:rFonts w:ascii="Times New Roman" w:hAnsi="Times New Roman" w:cs="Times New Roman"/>
                <w:noProof/>
                <w:color w:val="000000" w:themeColor="text1"/>
                <w:sz w:val="18"/>
                <w:szCs w:val="18"/>
              </w:rPr>
            </w:pPr>
            <w:r>
              <w:rPr>
                <w:rFonts w:ascii="Times New Roman" w:hAnsi="Times New Roman"/>
                <w:noProof/>
                <w:color w:val="000000"/>
                <w:sz w:val="18"/>
                <w:szCs w:val="18"/>
              </w:rPr>
              <w:t>Проекти за възстановяване на обекти на историческото наследство с настоящо или бъдещо туристическо ползване</w:t>
            </w:r>
          </w:p>
        </w:tc>
        <w:tc>
          <w:tcPr>
            <w:tcW w:w="1276"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szCs w:val="18"/>
              </w:rPr>
              <w:t>-</w:t>
            </w:r>
          </w:p>
        </w:tc>
        <w:tc>
          <w:tcPr>
            <w:tcW w:w="850"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Номер</w:t>
            </w:r>
          </w:p>
        </w:tc>
        <w:tc>
          <w:tcPr>
            <w:tcW w:w="992"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0</w:t>
            </w:r>
          </w:p>
        </w:tc>
        <w:tc>
          <w:tcPr>
            <w:tcW w:w="567"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50</w:t>
            </w:r>
          </w:p>
        </w:tc>
        <w:tc>
          <w:tcPr>
            <w:tcW w:w="426"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szCs w:val="18"/>
              </w:rPr>
              <w:t>T2</w:t>
            </w:r>
          </w:p>
        </w:tc>
        <w:tc>
          <w:tcPr>
            <w:tcW w:w="708"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szCs w:val="18"/>
              </w:rPr>
              <w:t>2026</w:t>
            </w:r>
          </w:p>
        </w:tc>
        <w:tc>
          <w:tcPr>
            <w:tcW w:w="6237" w:type="dxa"/>
            <w:shd w:val="clear" w:color="auto" w:fill="C6EFCE"/>
            <w:noWrap/>
          </w:tcPr>
          <w:p>
            <w:pPr>
              <w:spacing w:after="0" w:line="240" w:lineRule="auto"/>
              <w:rPr>
                <w:rFonts w:ascii="Times New Roman" w:hAnsi="Times New Roman" w:cs="Times New Roman"/>
                <w:noProof/>
                <w:color w:val="000000" w:themeColor="text1"/>
                <w:sz w:val="18"/>
                <w:szCs w:val="18"/>
              </w:rPr>
            </w:pPr>
            <w:r>
              <w:rPr>
                <w:rFonts w:ascii="Times New Roman" w:hAnsi="Times New Roman"/>
                <w:noProof/>
                <w:color w:val="000000"/>
                <w:sz w:val="18"/>
                <w:szCs w:val="18"/>
              </w:rPr>
              <w:t xml:space="preserve">Изпълнени са най-малко 50 действия за възстановяване на обекти на историческото наследство в съответствие с техническите насоки „Ненанасяне на значителни вреди“ (2021/C58/01) чрез използването на списък за изключване и изискването за спазване на съответното законодателство на ЕС и националното законодателство в областта на околната среда. </w:t>
            </w:r>
          </w:p>
        </w:tc>
      </w:tr>
    </w:tbl>
    <w:p>
      <w:pPr>
        <w:spacing w:before="120" w:after="120" w:line="240" w:lineRule="auto"/>
        <w:ind w:left="709"/>
        <w:jc w:val="both"/>
        <w:rPr>
          <w:rFonts w:ascii="Times New Roman" w:hAnsi="Times New Roman" w:cs="Times New Roman"/>
          <w:noProof/>
          <w:sz w:val="24"/>
          <w:szCs w:val="24"/>
        </w:rPr>
      </w:pPr>
    </w:p>
    <w:p>
      <w:pPr>
        <w:spacing w:before="120" w:after="120" w:line="240" w:lineRule="auto"/>
        <w:jc w:val="both"/>
        <w:rPr>
          <w:rFonts w:ascii="Times New Roman" w:hAnsi="Times New Roman" w:cs="Times New Roman"/>
          <w:noProof/>
          <w:sz w:val="24"/>
        </w:rPr>
        <w:sectPr>
          <w:headerReference w:type="even" r:id="rId181"/>
          <w:headerReference w:type="default" r:id="rId182"/>
          <w:footerReference w:type="even" r:id="rId183"/>
          <w:footerReference w:type="default" r:id="rId184"/>
          <w:headerReference w:type="first" r:id="rId185"/>
          <w:footerReference w:type="first" r:id="rId186"/>
          <w:pgSz w:w="16839" w:h="11907" w:orient="landscape"/>
          <w:pgMar w:top="1417" w:right="1134" w:bottom="1417" w:left="1134" w:header="709" w:footer="709" w:gutter="0"/>
          <w:cols w:space="720"/>
          <w:docGrid w:linePitch="360"/>
        </w:sectPr>
      </w:pPr>
    </w:p>
    <w:p>
      <w:pPr>
        <w:pStyle w:val="Heading1"/>
        <w:rPr>
          <w:noProof/>
        </w:rPr>
      </w:pPr>
      <w:r>
        <w:rPr>
          <w:noProof/>
        </w:rPr>
        <w:t>О. КОМПОНЕНТ 15: Цифрова свързаност</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Цифровата свързаност е ключов фактор за развитието на икономическата дейност, за повишаването на производителността, за стимулирането на иновациите и за териториалното и социалното сближаване. Достъпът до цифрови мрежи е все по-необходим, за да има достъп до обществени услуги, да развива икономически дейности и да участва активно в обществото.</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Този компонент на испанския план за възстановяване и устойчивост е насочен към предизвикателствата пред свързаността при осигуряването на покритие на свръхвисокоскоростни фиксирани мрежи с над 100 Mbps/s и 5G в Испания, и по-специално в селските райони и в ключовите трансгранични транспортни коридори. От гледна точка на киберсигурността основното предизвикателство, към което е насочен компонентът, е да се създаде надеждна и сигурна среда за гражданите и предприятията, която да допринася за процеса на цифровизация и хиперсвързаност, свързани с въвеждането на 5G, и услугите, които ще дойдат с тази технология, като например приложенията на „интернет на нещата“.</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Целта на този компонент е да приведе телекомуникационния сектор в съответствие с изискванията на Европейската стратегия в областта на цифровите технологии и да засили икономическото, социалното и териториалното сближаване чрез преодоляване на цифровото разделение и увеличаване на достъпа до свръхвисокоскоростно покритие на цялата национална територия. Компонентът подкрепя ускореното внедряване на 5G технология чрез: 1) предоставяне на необходимите радиочестотни ресурси в приоритетните радиочестотни ленти 5G; 2) разработване на надеждна и сигурна среда за разгръщане и 3) насърчаване на разработването на приложения на 5G технологиите. Тя също така има за цел да подкрепи устойчива култура на киберсигурност за гражданите и предприятията.</w:t>
      </w:r>
    </w:p>
    <w:p>
      <w:pPr>
        <w:spacing w:before="120" w:after="120" w:line="240" w:lineRule="auto"/>
        <w:jc w:val="both"/>
        <w:rPr>
          <w:rFonts w:ascii="Times New Roman" w:eastAsia="Calibri" w:hAnsi="Times New Roman" w:cs="Times New Roman"/>
          <w:noProof/>
          <w:spacing w:val="-4"/>
          <w:sz w:val="24"/>
          <w:szCs w:val="24"/>
        </w:rPr>
      </w:pPr>
      <w:r>
        <w:rPr>
          <w:rFonts w:ascii="Times New Roman" w:hAnsi="Times New Roman"/>
          <w:noProof/>
          <w:spacing w:val="-4"/>
          <w:sz w:val="24"/>
          <w:szCs w:val="24"/>
        </w:rPr>
        <w:t>Компонентът е насочен към специфичните за всяка държава препоръки за съсредоточаване на инвестиционната икономическа политика върху насърчаването на иновациите (специфична за всяка държава препоръка 3 2019 г.) и съсредоточаването на инвестициите върху цифровия преход (специфична за всяка държава препоръка 3 2020 г.).</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color w:val="000000" w:themeColor="text1"/>
          <w:sz w:val="24"/>
          <w:szCs w:val="24"/>
        </w:rPr>
        <w:t>Очаква се, че нито една мярка в този компонент не вреди в значителна степен на екологичните цели по смисъла на член 17 от Регламент (ЕС) 2020/852, като се вземат предвид описанието на мерките и стъпките за смекчаване на последиците, определени в плана за възстановяване и устойчивост в съответствие с Техническите насоки за спазването на „принципа за ненанасяне на съществена вреда“ (2021/C58/01).</w:t>
      </w:r>
    </w:p>
    <w:p>
      <w:pPr>
        <w:spacing w:before="120" w:after="120" w:line="240" w:lineRule="auto"/>
        <w:ind w:left="709"/>
        <w:jc w:val="both"/>
        <w:rPr>
          <w:rFonts w:ascii="Times New Roman" w:hAnsi="Times New Roman" w:cs="Times New Roman"/>
          <w:b/>
          <w:i/>
          <w:noProof/>
          <w:color w:val="4F81BD" w:themeColor="accent1"/>
          <w:sz w:val="24"/>
          <w:szCs w:val="24"/>
        </w:rPr>
      </w:pPr>
      <w:r>
        <w:rPr>
          <w:rFonts w:ascii="Times New Roman" w:hAnsi="Times New Roman"/>
          <w:b/>
          <w:noProof/>
          <w:sz w:val="24"/>
          <w:szCs w:val="24"/>
          <w:u w:val="single"/>
        </w:rPr>
        <w:t xml:space="preserve">O.1. </w:t>
      </w:r>
      <w:r>
        <w:rPr>
          <w:rFonts w:ascii="Times New Roman" w:hAnsi="Times New Roman"/>
          <w:b/>
          <w:noProof/>
          <w:sz w:val="24"/>
          <w:u w:val="single"/>
        </w:rPr>
        <w:tab/>
      </w:r>
      <w:r>
        <w:rPr>
          <w:rFonts w:ascii="Times New Roman" w:hAnsi="Times New Roman"/>
          <w:b/>
          <w:noProof/>
          <w:sz w:val="24"/>
          <w:szCs w:val="24"/>
          <w:u w:val="single"/>
        </w:rPr>
        <w:t>Описание на реформите и инвестициите за безвъзмездна финансова подкрепа</w:t>
      </w:r>
    </w:p>
    <w:p>
      <w:pPr>
        <w:spacing w:before="120" w:after="120" w:line="240" w:lineRule="auto"/>
        <w:jc w:val="both"/>
        <w:rPr>
          <w:rFonts w:ascii="Times New Roman" w:hAnsi="Times New Roman" w:cs="Times New Roman"/>
          <w:noProof/>
          <w:sz w:val="24"/>
          <w:szCs w:val="24"/>
          <w:u w:val="single"/>
        </w:rPr>
      </w:pPr>
      <w:r>
        <w:rPr>
          <w:rFonts w:ascii="Times New Roman" w:hAnsi="Times New Roman"/>
          <w:noProof/>
          <w:sz w:val="24"/>
          <w:szCs w:val="24"/>
          <w:u w:val="single"/>
        </w:rPr>
        <w:t>Реформа 1 (C15.R1) – Реформа на регулаторната рамка в областта на далекосъобщенията: Общ закон, регулаторни инструменти и инструменти за изпълнение</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Целта на мярката е да се транспонира Директива 2018/1972 от Европейския кодекс за електронни съобщения, да се разработят най-добри практики за разгръщането на фиксирани и мобилни мрежи с висок капацитет и 5G и да се разработят необходимите действия за прилагане в националната рамка на инструментариума, произтичащ от Препоръката на Европейската комисия относно свързаността C (2020) 6270.</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Наборът от инструменти, произтичащ от изпълнението на Препоръката на Европейската комисия относно свързаността C (2020) 6270, ще бъде включен в испанската правна рамка в рамките на общото законодателство в областта на далекосъобщенията в онези елементи, които изискват статут на закон. </w:t>
      </w:r>
    </w:p>
    <w:p>
      <w:pPr>
        <w:autoSpaceDE w:val="0"/>
        <w:autoSpaceDN w:val="0"/>
        <w:spacing w:before="40" w:after="40" w:line="240" w:lineRule="auto"/>
        <w:jc w:val="both"/>
        <w:rPr>
          <w:rFonts w:ascii="Times New Roman" w:eastAsia="Calibri" w:hAnsi="Times New Roman" w:cs="Times New Roman"/>
          <w:noProof/>
        </w:rPr>
      </w:pPr>
      <w:r>
        <w:rPr>
          <w:rFonts w:ascii="Times New Roman" w:hAnsi="Times New Roman"/>
          <w:noProof/>
          <w:sz w:val="24"/>
          <w:szCs w:val="24"/>
        </w:rPr>
        <w:t>Изпълнението на мярката приключва до 30 юни 2022 г.</w:t>
      </w:r>
      <w:r>
        <w:rPr>
          <w:rFonts w:ascii="Times New Roman" w:hAnsi="Times New Roman"/>
          <w:noProof/>
          <w:color w:val="000000"/>
          <w:sz w:val="20"/>
          <w:szCs w:val="20"/>
        </w:rPr>
        <w:t xml:space="preserve"> </w:t>
      </w:r>
    </w:p>
    <w:p>
      <w:pPr>
        <w:keepNext/>
        <w:spacing w:before="120" w:after="120" w:line="240" w:lineRule="auto"/>
        <w:jc w:val="both"/>
        <w:rPr>
          <w:rFonts w:ascii="Times New Roman" w:hAnsi="Times New Roman" w:cs="Times New Roman"/>
          <w:noProof/>
          <w:sz w:val="24"/>
          <w:szCs w:val="24"/>
          <w:u w:val="single"/>
        </w:rPr>
      </w:pPr>
      <w:r>
        <w:rPr>
          <w:rFonts w:ascii="Times New Roman" w:hAnsi="Times New Roman"/>
          <w:noProof/>
          <w:sz w:val="24"/>
          <w:szCs w:val="24"/>
          <w:u w:val="single"/>
        </w:rPr>
        <w:t>Реформа 2 (C15.R2) – Пътна карта 5G: Управление и разпределяне на радиочестотния спектър, намаляване на натоварването при разгръщането, Акт за киберсигурността 5G и подкрепа за местните органи</w:t>
      </w:r>
    </w:p>
    <w:p>
      <w:pPr>
        <w:keepNext/>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Целите на регламента са следните: 1) да завърши „втория цифров дивидент“ и тръжната процедура за радиочестотната лента 700 MHz и радиочестотната лента 26 GHz; 2) временно намаляване на данъчното облагане на радиочестотния спектър за телекомуникационните оператори за 2022 г. и 2023 г., за да се ускори разгръщането на 5G; 3) включване на инструментариума на ЕС за 5G киберсигурност в националното законодателство; и 4) разпространение на добри практики сред местните публични администрации в областта на телекомуникациите и градоустройството.</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По отношение на изпълнението са набелязани следните стъпки:</w:t>
      </w:r>
    </w:p>
    <w:p>
      <w:pPr>
        <w:numPr>
          <w:ilvl w:val="0"/>
          <w:numId w:val="143"/>
        </w:numPr>
        <w:spacing w:before="120" w:after="160" w:line="256" w:lineRule="auto"/>
        <w:contextualSpacing/>
        <w:jc w:val="both"/>
        <w:rPr>
          <w:rFonts w:ascii="Times New Roman" w:hAnsi="Times New Roman" w:cs="Times New Roman"/>
          <w:noProof/>
          <w:sz w:val="24"/>
          <w:szCs w:val="24"/>
        </w:rPr>
      </w:pPr>
      <w:r>
        <w:rPr>
          <w:rFonts w:ascii="Times New Roman" w:hAnsi="Times New Roman"/>
          <w:noProof/>
          <w:sz w:val="24"/>
          <w:szCs w:val="24"/>
        </w:rPr>
        <w:t>Приключване на втория цифров дивидент</w:t>
      </w:r>
    </w:p>
    <w:p>
      <w:pPr>
        <w:numPr>
          <w:ilvl w:val="0"/>
          <w:numId w:val="143"/>
        </w:numPr>
        <w:spacing w:before="120" w:after="160" w:line="256" w:lineRule="auto"/>
        <w:contextualSpacing/>
        <w:jc w:val="both"/>
        <w:rPr>
          <w:rFonts w:ascii="Times New Roman" w:hAnsi="Times New Roman" w:cs="Times New Roman"/>
          <w:noProof/>
          <w:sz w:val="24"/>
          <w:szCs w:val="24"/>
        </w:rPr>
      </w:pPr>
      <w:r>
        <w:rPr>
          <w:rFonts w:ascii="Times New Roman" w:hAnsi="Times New Roman"/>
          <w:noProof/>
          <w:sz w:val="24"/>
          <w:szCs w:val="24"/>
        </w:rPr>
        <w:t>Стратегия за насърчаване на 5G технологията</w:t>
      </w:r>
    </w:p>
    <w:p>
      <w:pPr>
        <w:numPr>
          <w:ilvl w:val="0"/>
          <w:numId w:val="143"/>
        </w:numPr>
        <w:spacing w:before="120" w:after="160" w:line="256" w:lineRule="auto"/>
        <w:contextualSpacing/>
        <w:jc w:val="both"/>
        <w:rPr>
          <w:rFonts w:ascii="Times New Roman" w:hAnsi="Times New Roman" w:cs="Times New Roman"/>
          <w:noProof/>
          <w:sz w:val="24"/>
          <w:szCs w:val="24"/>
        </w:rPr>
      </w:pPr>
      <w:r>
        <w:rPr>
          <w:rFonts w:ascii="Times New Roman" w:hAnsi="Times New Roman"/>
          <w:noProof/>
          <w:sz w:val="24"/>
          <w:szCs w:val="24"/>
        </w:rPr>
        <w:t xml:space="preserve">Търг за радиочестотната лента 700 MHz </w:t>
      </w:r>
    </w:p>
    <w:p>
      <w:pPr>
        <w:numPr>
          <w:ilvl w:val="0"/>
          <w:numId w:val="143"/>
        </w:numPr>
        <w:spacing w:before="120" w:after="160" w:line="256" w:lineRule="auto"/>
        <w:contextualSpacing/>
        <w:jc w:val="both"/>
        <w:rPr>
          <w:rFonts w:ascii="Times New Roman" w:hAnsi="Times New Roman" w:cs="Times New Roman"/>
          <w:noProof/>
          <w:sz w:val="24"/>
          <w:szCs w:val="24"/>
        </w:rPr>
      </w:pPr>
      <w:r>
        <w:rPr>
          <w:rFonts w:ascii="Times New Roman" w:hAnsi="Times New Roman"/>
          <w:noProof/>
          <w:sz w:val="24"/>
          <w:szCs w:val="24"/>
        </w:rPr>
        <w:t>Покана за участие в търг за радиочестотната лента 26 GHz</w:t>
      </w:r>
    </w:p>
    <w:p>
      <w:pPr>
        <w:numPr>
          <w:ilvl w:val="0"/>
          <w:numId w:val="143"/>
        </w:numPr>
        <w:spacing w:before="120" w:after="160" w:line="256" w:lineRule="auto"/>
        <w:contextualSpacing/>
        <w:jc w:val="both"/>
        <w:rPr>
          <w:rFonts w:ascii="Times New Roman" w:hAnsi="Times New Roman" w:cs="Times New Roman"/>
          <w:noProof/>
          <w:sz w:val="24"/>
          <w:szCs w:val="24"/>
        </w:rPr>
      </w:pPr>
      <w:r>
        <w:rPr>
          <w:rFonts w:ascii="Times New Roman" w:hAnsi="Times New Roman"/>
          <w:noProof/>
          <w:sz w:val="24"/>
          <w:szCs w:val="24"/>
        </w:rPr>
        <w:t>Временно данъчно облагане на радиочестотния спектър</w:t>
      </w:r>
    </w:p>
    <w:p>
      <w:pPr>
        <w:numPr>
          <w:ilvl w:val="0"/>
          <w:numId w:val="143"/>
        </w:numPr>
        <w:spacing w:before="120" w:after="160" w:line="256" w:lineRule="auto"/>
        <w:contextualSpacing/>
        <w:jc w:val="both"/>
        <w:rPr>
          <w:rFonts w:ascii="Times New Roman" w:hAnsi="Times New Roman" w:cs="Times New Roman"/>
          <w:noProof/>
          <w:sz w:val="24"/>
          <w:szCs w:val="24"/>
        </w:rPr>
      </w:pPr>
      <w:r>
        <w:rPr>
          <w:rFonts w:ascii="Times New Roman" w:hAnsi="Times New Roman"/>
          <w:noProof/>
          <w:sz w:val="24"/>
          <w:szCs w:val="24"/>
        </w:rPr>
        <w:t>Акт за киберсигурността 5G</w:t>
      </w:r>
    </w:p>
    <w:p>
      <w:pPr>
        <w:autoSpaceDE w:val="0"/>
        <w:autoSpaceDN w:val="0"/>
        <w:spacing w:before="40" w:after="40" w:line="240" w:lineRule="auto"/>
        <w:jc w:val="both"/>
        <w:rPr>
          <w:rFonts w:ascii="Times New Roman" w:eastAsia="Calibri" w:hAnsi="Times New Roman" w:cs="Times New Roman"/>
          <w:noProof/>
        </w:rPr>
      </w:pPr>
      <w:r>
        <w:rPr>
          <w:rFonts w:ascii="Times New Roman" w:hAnsi="Times New Roman"/>
          <w:noProof/>
          <w:sz w:val="24"/>
          <w:szCs w:val="24"/>
        </w:rPr>
        <w:t>Изпълнението на мярката приключва до 31 декември 2022 г.</w:t>
      </w:r>
      <w:r>
        <w:rPr>
          <w:rFonts w:ascii="Times New Roman" w:hAnsi="Times New Roman"/>
          <w:noProof/>
          <w:color w:val="000000"/>
          <w:sz w:val="20"/>
          <w:szCs w:val="20"/>
        </w:rPr>
        <w:t xml:space="preserve"> </w:t>
      </w:r>
    </w:p>
    <w:p>
      <w:pPr>
        <w:spacing w:before="120" w:after="120" w:line="240" w:lineRule="auto"/>
        <w:jc w:val="both"/>
        <w:rPr>
          <w:rFonts w:ascii="Times New Roman" w:hAnsi="Times New Roman" w:cs="Times New Roman"/>
          <w:noProof/>
          <w:sz w:val="24"/>
          <w:szCs w:val="24"/>
          <w:u w:val="single"/>
        </w:rPr>
      </w:pPr>
      <w:r>
        <w:rPr>
          <w:rFonts w:ascii="Times New Roman" w:hAnsi="Times New Roman"/>
          <w:noProof/>
          <w:sz w:val="24"/>
          <w:szCs w:val="24"/>
          <w:u w:val="single"/>
        </w:rPr>
        <w:t>Инвестиция 1 (C15.I1) – Насърчаване на териториалното сближаване чрез разгръщане на мрежи: Разширяване на свръхвисокоскоростния широколентов достъп</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Целите на регламента са следните: 1) да се задълбочи покритието на свръхвисокоскоростните широколентови мрежи в районите, в които липсва такъв достъп, като целта е да се достигне до 100 % от населението; и 2) предприемане на конкретни действия за разширяване на покритието в исторически градски центрове със статут на бели райони.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Инвестицията се състои в осигуряване на свръхвисокоскоростна широколентова връзка (над 100 Mbps) на тези райони, предимно селски райони и райони с историческа стойност, които понастоящем нямат такава свързаност. До края на 2021 г. се приема подробен план за изпълнение, а 100 % от бюджета се отпускат до края на 2023 г. В плана също така се определят крайните цели (по отношение на допълнителното покритие в единици), които трябва да бъдат постигнати, и се гарантира технологична неутралност и поддържане на механизми за пазарна конкуренция и достъп на всички оператори до разгърнатата инфраструктура. Областите на интервенция се определят в такъв план. В плана за изпълнение се определят също така необходимите правни и регулаторни мерки, включително тези, които трябва да бъдат предприети, за да се гарантира спазването на съответните правила на ЕС за държавната помощ. Целта е да се осигурят симетрични скорости от 300 Mbps, които могат да бъдат повишени до симетрични 1 Gbps (гигабит в секунда) в белите райони и в сивите зони.</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Изпълнението на инвестицията приключва до 31 декември 2025 г. </w:t>
      </w:r>
    </w:p>
    <w:p>
      <w:pPr>
        <w:spacing w:before="120" w:after="120" w:line="240" w:lineRule="auto"/>
        <w:jc w:val="both"/>
        <w:rPr>
          <w:rFonts w:ascii="Times New Roman" w:hAnsi="Times New Roman" w:cs="Times New Roman"/>
          <w:noProof/>
          <w:sz w:val="24"/>
          <w:u w:val="single"/>
        </w:rPr>
      </w:pPr>
      <w:r>
        <w:rPr>
          <w:rFonts w:ascii="Times New Roman" w:hAnsi="Times New Roman"/>
          <w:noProof/>
          <w:sz w:val="24"/>
          <w:u w:val="single"/>
        </w:rPr>
        <w:t>Инвестиция 2 (C15.I2) Укрепване на свързаността в референтни центрове, социално-икономически движещи сили и проекти за секторна цифровизация</w:t>
      </w:r>
    </w:p>
    <w:p>
      <w:pPr>
        <w:spacing w:before="120" w:after="120" w:line="240" w:lineRule="auto"/>
        <w:jc w:val="both"/>
        <w:rPr>
          <w:rFonts w:ascii="Times New Roman" w:hAnsi="Times New Roman" w:cs="Times New Roman"/>
          <w:noProof/>
          <w:sz w:val="24"/>
        </w:rPr>
      </w:pPr>
      <w:r>
        <w:rPr>
          <w:rFonts w:ascii="Times New Roman" w:hAnsi="Times New Roman"/>
          <w:noProof/>
          <w:sz w:val="24"/>
        </w:rPr>
        <w:t>Целите на регламента са следните: 1) подобряване на свързаността и оборудването на центровете, предоставящи достъп до основни грижи и социални услуги, като болници, здравни центрове, центрове за образование и обучение; и 2) осигуряване на свръхсвързаност в основните социално-икономически движещи сили на страната и областите с голямо търсене на капацитет (технологични острови).</w:t>
      </w:r>
    </w:p>
    <w:p>
      <w:pPr>
        <w:spacing w:before="120" w:after="120" w:line="240" w:lineRule="auto"/>
        <w:jc w:val="both"/>
        <w:rPr>
          <w:rFonts w:ascii="Times New Roman" w:hAnsi="Times New Roman" w:cs="Times New Roman"/>
          <w:noProof/>
          <w:sz w:val="24"/>
        </w:rPr>
      </w:pPr>
      <w:r>
        <w:rPr>
          <w:rFonts w:ascii="Times New Roman" w:hAnsi="Times New Roman"/>
          <w:noProof/>
          <w:sz w:val="24"/>
        </w:rPr>
        <w:t>Инвестицията се състои в разширяване на 1-гигабитова свързаност до основните центрове на социална и икономическа дейност в цялата страна. Избраните обекти включват промишлени обекти, центрове за данни, аграрно-промишлени обекти, изследователски центрове, транспортни възли, логистични възли или предприятия с интензивно използване на данни, както и здравни центрове като болници, центрове за обучение и здравни центрове.</w:t>
      </w:r>
    </w:p>
    <w:p>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Конкретните действия включват: а) проекти за укрепване на свързаността в координационните центрове и обществените услуги; б) проекти за 1-гигабитова свързаност и подкрепа за ключови сектори, включително иновативни проекти за секторна цифровизация (здравеопазване, хранително-вкусова промишленост, мобилност, туризъм, промишленост, търговия и др.) и проекти за свързаност за промишлени и бизнес зони в бели/сиви райони.</w:t>
      </w:r>
    </w:p>
    <w:p>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Инвестицията трябва да бъде реализирана до 31 декември 2023 г.</w:t>
      </w:r>
    </w:p>
    <w:p>
      <w:pPr>
        <w:spacing w:before="120" w:after="120" w:line="240" w:lineRule="auto"/>
        <w:jc w:val="both"/>
        <w:rPr>
          <w:rFonts w:ascii="Times New Roman" w:hAnsi="Times New Roman" w:cs="Times New Roman"/>
          <w:noProof/>
          <w:sz w:val="24"/>
          <w:szCs w:val="24"/>
          <w:u w:val="single"/>
        </w:rPr>
      </w:pPr>
      <w:r>
        <w:rPr>
          <w:rFonts w:ascii="Times New Roman" w:hAnsi="Times New Roman"/>
          <w:noProof/>
          <w:sz w:val="24"/>
          <w:szCs w:val="24"/>
          <w:u w:val="single"/>
        </w:rPr>
        <w:t>Инвестиция 3 (C15.I3) – ваучери за свързаност за МСП и уязвимите групи</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Инвестицията се състои в предоставяне на: </w:t>
      </w:r>
    </w:p>
    <w:p>
      <w:pPr>
        <w:numPr>
          <w:ilvl w:val="0"/>
          <w:numId w:val="144"/>
        </w:num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Ваучери за МСП за финансиране на инвестиции в свързаност (включително основна свързаност от поне 100 Mbps и услуги с добавена стойност като VPN и киберсигурност); и</w:t>
      </w:r>
    </w:p>
    <w:p>
      <w:pPr>
        <w:numPr>
          <w:ilvl w:val="0"/>
          <w:numId w:val="144"/>
        </w:num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Ваучери за уязвими лица или семейства за финансиране на пакети за широколентова връзка с най-подходящата технология.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Инвестицията трябва да бъде реализирана до 31 декември 2023 г. </w:t>
      </w:r>
    </w:p>
    <w:p>
      <w:pPr>
        <w:spacing w:before="120" w:after="120" w:line="240" w:lineRule="auto"/>
        <w:jc w:val="both"/>
        <w:rPr>
          <w:rFonts w:ascii="Times New Roman" w:hAnsi="Times New Roman" w:cs="Times New Roman"/>
          <w:noProof/>
          <w:sz w:val="24"/>
          <w:szCs w:val="24"/>
          <w:u w:val="single"/>
        </w:rPr>
      </w:pPr>
      <w:r>
        <w:rPr>
          <w:rFonts w:ascii="Times New Roman" w:hAnsi="Times New Roman"/>
          <w:noProof/>
          <w:sz w:val="24"/>
          <w:szCs w:val="24"/>
          <w:u w:val="single"/>
        </w:rPr>
        <w:t>Инвестиция 4 (C15.I4) – Обновяване на инфраструктурата и устойчивост</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Инвестицията се състои в оборудване на част от съществуващия сграден фонд с инфраструктура за улесняване на оптималното разгръщане на мрежи с много голям капацитет през последната миля на достъпа. Тези инвестиции, в допълнение към координирането и оптимизирането на разгръщането на мрежи за достъп от следващо поколение по устойчив начин, се очаква да оптимизират потреблението на енергия от разгърнатите мрежи.</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Изпълнението на инвестицията приключва до 31 декември 2023 г.</w:t>
      </w:r>
    </w:p>
    <w:p>
      <w:pPr>
        <w:spacing w:before="120" w:after="120" w:line="240" w:lineRule="auto"/>
        <w:jc w:val="both"/>
        <w:rPr>
          <w:rFonts w:ascii="Times New Roman" w:hAnsi="Times New Roman" w:cs="Times New Roman"/>
          <w:noProof/>
          <w:sz w:val="24"/>
          <w:szCs w:val="24"/>
          <w:u w:val="single"/>
        </w:rPr>
      </w:pPr>
      <w:r>
        <w:rPr>
          <w:rFonts w:ascii="Times New Roman" w:hAnsi="Times New Roman"/>
          <w:noProof/>
          <w:sz w:val="24"/>
          <w:szCs w:val="24"/>
          <w:u w:val="single"/>
        </w:rPr>
        <w:t>Инвестиция 5 (C15.I5) – Внедряване на трансгранична цифрова инфраструктура</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Инвестицията се състои от три проекта.</w:t>
      </w:r>
    </w:p>
    <w:p>
      <w:pPr>
        <w:spacing w:before="120" w:after="120" w:line="240" w:lineRule="auto"/>
        <w:ind w:left="709"/>
        <w:jc w:val="both"/>
        <w:rPr>
          <w:rFonts w:ascii="Times New Roman" w:hAnsi="Times New Roman" w:cs="Times New Roman"/>
          <w:noProof/>
          <w:sz w:val="24"/>
          <w:szCs w:val="24"/>
        </w:rPr>
      </w:pPr>
      <w:r>
        <w:rPr>
          <w:rFonts w:ascii="Times New Roman" w:hAnsi="Times New Roman"/>
          <w:noProof/>
          <w:sz w:val="24"/>
          <w:szCs w:val="24"/>
        </w:rPr>
        <w:t xml:space="preserve">1) Подобряване на трансграничната цифрова инфраструктура за свързаност: Това би довело до участието на испански дружества в консорциуми от дружества за проекти за свързване на инфраструктурата за данни и подводен кабел на Механизма за свързване на Европа (CEF 2 Digital) и новия ОРГО. </w:t>
      </w:r>
    </w:p>
    <w:p>
      <w:pPr>
        <w:spacing w:before="120" w:after="120" w:line="240" w:lineRule="auto"/>
        <w:ind w:left="709"/>
        <w:jc w:val="both"/>
        <w:rPr>
          <w:rFonts w:ascii="Times New Roman" w:hAnsi="Times New Roman" w:cs="Times New Roman"/>
          <w:noProof/>
          <w:sz w:val="24"/>
          <w:szCs w:val="24"/>
        </w:rPr>
      </w:pPr>
      <w:r>
        <w:rPr>
          <w:rFonts w:ascii="Times New Roman" w:hAnsi="Times New Roman"/>
          <w:noProof/>
          <w:sz w:val="24"/>
          <w:szCs w:val="24"/>
        </w:rPr>
        <w:t>2) Участие в многонационални трансгранични проекти за цифрова инфраструктура:  кандидатите за проекти ще бъдат планираните важни проекти от общоевропейски интерес (ВПОИ) относно инфраструктурата и услугите в облак от ново поколение и инфраструктурата и услугите Edge; и участие в планираната ВПОИ за авангардни процесори и полупроводници. В случай че многонационалните ВПОИ не бъдат създадени, биха могли да бъдат създадени други програми като НИРД за укрепване на способностите в тези области.</w:t>
      </w:r>
    </w:p>
    <w:p>
      <w:pPr>
        <w:spacing w:before="120" w:after="120" w:line="240" w:lineRule="auto"/>
        <w:ind w:left="709"/>
        <w:jc w:val="both"/>
        <w:rPr>
          <w:rFonts w:ascii="Times New Roman" w:hAnsi="Times New Roman" w:cs="Times New Roman"/>
          <w:noProof/>
          <w:sz w:val="24"/>
          <w:szCs w:val="24"/>
        </w:rPr>
      </w:pPr>
      <w:r>
        <w:rPr>
          <w:rFonts w:ascii="Times New Roman" w:hAnsi="Times New Roman"/>
          <w:noProof/>
          <w:sz w:val="24"/>
          <w:szCs w:val="24"/>
        </w:rPr>
        <w:t xml:space="preserve">3) Други трансгранични проекти за цифрова инфраструктура НИРД, включително инвестиции в сигурна сателитна съобщителна система и развитие на капацитет за квантови комуникации.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До 31 декември 2022 г. се предоставя подробен изпълним план за тези инвестиции с цел ясно определяне на избраните проекти и постигане на 100 % от изпълнението на бюджета до 30 юни 2023 г.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Планът очертава техническите критерии (основни характеристики на проектите и бенефициерите) и необходимите правни и регулаторни мерки, включително необходимите стъпки, предприети за спазване на контрола върху държавната помощ. В плана се определя и крайна цел за четвъртото тримесечие на 2025 г.</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Инвестицията приключва не по-късно от 31 декември 2025 г. </w:t>
      </w:r>
    </w:p>
    <w:p>
      <w:pPr>
        <w:spacing w:before="120" w:after="120" w:line="240" w:lineRule="auto"/>
        <w:jc w:val="both"/>
        <w:rPr>
          <w:rFonts w:ascii="Times New Roman" w:hAnsi="Times New Roman" w:cs="Times New Roman"/>
          <w:noProof/>
          <w:sz w:val="24"/>
          <w:szCs w:val="24"/>
          <w:u w:val="single"/>
        </w:rPr>
      </w:pPr>
      <w:r>
        <w:rPr>
          <w:rFonts w:ascii="Times New Roman" w:hAnsi="Times New Roman"/>
          <w:noProof/>
          <w:sz w:val="24"/>
          <w:szCs w:val="24"/>
          <w:u w:val="single"/>
        </w:rPr>
        <w:t>Инвестиция 6 (C15.I6) – внедряване на 5G: мрежи, технологични промени и иновации</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Инвестицията се състои от четири различни подпроекта:</w:t>
      </w:r>
    </w:p>
    <w:p>
      <w:pPr>
        <w:spacing w:before="120" w:after="120" w:line="240" w:lineRule="auto"/>
        <w:ind w:left="709"/>
        <w:jc w:val="both"/>
        <w:rPr>
          <w:rFonts w:ascii="Times New Roman" w:eastAsia="Calibri" w:hAnsi="Times New Roman" w:cs="Times New Roman"/>
          <w:noProof/>
          <w:sz w:val="24"/>
          <w:szCs w:val="24"/>
        </w:rPr>
      </w:pPr>
      <w:r>
        <w:rPr>
          <w:rFonts w:ascii="Times New Roman" w:hAnsi="Times New Roman"/>
          <w:noProof/>
          <w:sz w:val="24"/>
          <w:szCs w:val="24"/>
        </w:rPr>
        <w:t>1) внедряването на 5G ще бъде засилено и ускорено по основните транспортни коридори (автомобилни и железопътни), както национални (вторични коридори в определени области), така и трансгранични (основни коридори). Тези инициативи са съгласувани с 5G коридорите, определени от Европейската комисия, и ще дадат тласък на коридорите между Испания и Португалия и Испания и Франция за общо най-малко 4 000 обекта, включително връзки за пренос (backhaul). Тази мярка обхваща тези второстепенни маршрути, които не са обхванати от задълженията, наложени в търговете за радиочестотния спектър.</w:t>
      </w:r>
    </w:p>
    <w:p>
      <w:pPr>
        <w:spacing w:before="120" w:after="120" w:line="240" w:lineRule="auto"/>
        <w:ind w:left="709"/>
        <w:jc w:val="both"/>
        <w:rPr>
          <w:rFonts w:ascii="Times New Roman" w:hAnsi="Times New Roman" w:cs="Times New Roman"/>
          <w:noProof/>
          <w:sz w:val="24"/>
          <w:szCs w:val="24"/>
        </w:rPr>
      </w:pPr>
      <w:r>
        <w:rPr>
          <w:rFonts w:ascii="Times New Roman" w:hAnsi="Times New Roman"/>
          <w:noProof/>
          <w:sz w:val="24"/>
          <w:szCs w:val="24"/>
        </w:rPr>
        <w:t>2) Внедряване на 5G в определени райони с цел постигане на 75 % покритие на населението до 31 декември 2025 г. в преференциалните ленти за 5G. За да се улесни това внедряване, се предприемат и действия за увеличаване на капацитета на съществуващата мрежа, за да може да се отговори на голямото търсене на широчина на честотната лента и на гъстотата на базовите станции, които изискват разгръщането на 5G (най-малко 7 000 нови обекта с капацитет за пренос и 5G активиран; и най-малко 3 500 съществуващи обекта с действия за увеличаване на капацитета на тяхната мрежа за пренос (backhaul) и инсталиране на 5G оборудване). Тази мярка осигурява покритие за райони, които не попадат в обхвата на задълженията, наложени в търговете за радиочестотния спектър.</w:t>
      </w:r>
    </w:p>
    <w:p>
      <w:pPr>
        <w:spacing w:before="120" w:after="120" w:line="240" w:lineRule="auto"/>
        <w:ind w:left="709"/>
        <w:jc w:val="both"/>
        <w:rPr>
          <w:rFonts w:ascii="Times New Roman" w:hAnsi="Times New Roman" w:cs="Times New Roman"/>
          <w:noProof/>
          <w:sz w:val="24"/>
          <w:szCs w:val="24"/>
        </w:rPr>
      </w:pPr>
      <w:r>
        <w:rPr>
          <w:rFonts w:ascii="Times New Roman" w:hAnsi="Times New Roman"/>
          <w:noProof/>
          <w:sz w:val="24"/>
          <w:szCs w:val="24"/>
        </w:rPr>
        <w:t>3) внедряване на 5G в ключови икономически дейности (промишлени производствени среди в стратегически дружества в някои ключови и силно засегнати производствени сектори) и в основни услуги (производствена среда в областите на образованието, грижите и общественото здраве). Очакват се най-малко 43 проекта за свързаност.</w:t>
      </w:r>
    </w:p>
    <w:p>
      <w:pPr>
        <w:spacing w:before="120" w:after="120" w:line="240" w:lineRule="auto"/>
        <w:ind w:left="709"/>
        <w:jc w:val="both"/>
        <w:rPr>
          <w:rFonts w:ascii="Times New Roman" w:hAnsi="Times New Roman" w:cs="Times New Roman"/>
          <w:noProof/>
          <w:sz w:val="24"/>
          <w:szCs w:val="24"/>
        </w:rPr>
      </w:pPr>
      <w:r>
        <w:rPr>
          <w:rFonts w:ascii="Times New Roman" w:hAnsi="Times New Roman"/>
          <w:noProof/>
          <w:sz w:val="24"/>
          <w:szCs w:val="24"/>
        </w:rPr>
        <w:t>4) подкрепа за свързани с 5G и 6G научни изследвания и развойна дейност за иновационни екосистеми (най-малко 200 проекта) и 5G екосистеми за киберсигурност (създаване на център с капацитет за приемане на около 300 инженери, за киберсигурност на 5G, с изключение на разходите, свързани със строителните/обновителните работи).</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За всички гореизброени проекти се предоставя подробен план за изпълнение до 30 юни 2022 г. с цел ясно определяне на избраните проекти и предоставяне на 100 % от бюджета до 30 септември 2023 г. и завършване на проекта до 30 юни 2025 г.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Планът включва план за внедряване на 5G с действия в следните области: 1) коридори 5G; 2) Разгръщане на 5G мрежи за достъп и мобилна обратна връзка в други райони; 3) проекти за внедряване на 5G за свързаност и цифровизация на ключови икономически дейности и основни услуги; и 4) подкрепа за иновативни приложения за екосистемата 5G и 6G. Планът също така очертава техническите критерии (ключови характеристики на обхванатите проекти и области, ако е приложимо) и необходимите правни и регулаторни мерки, включително необходимите стъпки, предприети за спазване на съответните правила на ЕС за държавната помощ. В плана се определят и крайните цели, които трябва да бъдат постигнати до 31 декември 2025 г.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Инвестицията приключва не по-късно от 31 декември 2025 г.</w:t>
      </w:r>
    </w:p>
    <w:p>
      <w:pPr>
        <w:spacing w:before="120" w:after="120" w:line="240" w:lineRule="auto"/>
        <w:jc w:val="both"/>
        <w:rPr>
          <w:rFonts w:ascii="Times New Roman" w:hAnsi="Times New Roman" w:cs="Times New Roman"/>
          <w:noProof/>
          <w:sz w:val="24"/>
          <w:szCs w:val="24"/>
          <w:u w:val="single"/>
        </w:rPr>
      </w:pPr>
      <w:r>
        <w:rPr>
          <w:rFonts w:ascii="Times New Roman" w:hAnsi="Times New Roman"/>
          <w:noProof/>
          <w:sz w:val="24"/>
          <w:szCs w:val="24"/>
          <w:u w:val="single"/>
        </w:rPr>
        <w:t>Инвестиция 7 (C15.I7) Киберсигурност: Укрепване на капацитета на гражданите, МСП и специалистите; подобряване на екосистемата на сектора</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Инвестицията се състои от редица действия, насочени към развиване на капацитета в областта на киберсигурността както на гражданите, така и на предприятията, и насърчаване на испанската екосистема за киберсигурност. Действията са съсредоточени върху три оси: </w:t>
      </w:r>
    </w:p>
    <w:p>
      <w:pPr>
        <w:spacing w:before="120" w:after="120" w:line="240" w:lineRule="auto"/>
        <w:ind w:left="709"/>
        <w:jc w:val="both"/>
        <w:rPr>
          <w:rFonts w:ascii="Times New Roman" w:hAnsi="Times New Roman" w:cs="Times New Roman"/>
          <w:noProof/>
          <w:sz w:val="24"/>
          <w:szCs w:val="24"/>
        </w:rPr>
      </w:pPr>
      <w:r>
        <w:rPr>
          <w:rFonts w:ascii="Times New Roman" w:hAnsi="Times New Roman"/>
          <w:noProof/>
          <w:sz w:val="24"/>
          <w:szCs w:val="24"/>
        </w:rPr>
        <w:t>1) Укрепване на капацитета за киберсигурност на гражданите, МСП и специалистите. Предоставяне на гражданите и предприятията, особено на МСП, на необходимите умения за идентифициране на рисковете при ежедневното използване на цифровите технологии. Програмите в тази област включват кампания за повишаване на осведомеността, която се очаква да достигне до възможно най-голям брой хора чрез комуникационни кампании, действия за близост и разработване на специфични ресурси за тези цели. Това включва и увеличаване на механизмите за реагиране чрез координирани служби за реагиране и действия, като например линия за помощ в областта на киберсигурността, която ще увеличи своя капацитет до 20 000 покани на месец.</w:t>
      </w:r>
    </w:p>
    <w:p>
      <w:pPr>
        <w:spacing w:before="120" w:after="120" w:line="240" w:lineRule="auto"/>
        <w:ind w:left="709"/>
        <w:jc w:val="both"/>
        <w:rPr>
          <w:rFonts w:ascii="Times New Roman" w:eastAsia="Calibri" w:hAnsi="Times New Roman" w:cs="Times New Roman"/>
          <w:noProof/>
          <w:sz w:val="24"/>
          <w:szCs w:val="24"/>
        </w:rPr>
      </w:pPr>
      <w:r>
        <w:rPr>
          <w:rFonts w:ascii="Times New Roman" w:hAnsi="Times New Roman"/>
          <w:noProof/>
          <w:sz w:val="24"/>
          <w:szCs w:val="24"/>
        </w:rPr>
        <w:t>2) Насърчаване на промишлената екосистема в областта на киберсигурността. Тази част от мярката включва конкретни действия относно: националния сектор на киберсигурността за създаването, растежа и развитието на нови предприятия в този сектор; киберсигурност R&amp;D&amp;I, което дава възможност за разработване на решения и услуги с висока добавена стойност; обучение и развиване на таланти, за да се отговори на неудовлетвореното търсене на специалисти в сектора. Освен това в него се предвижда създаването на демонстрационен център за развитие на инфраструктурата в областта на киберсигурността и създаването на нови услуги в областта на киберсигурността, включително изпитвателни лаборатории и тренажори за атаки срещу киберсигурността, както и разработването на сертифициране на етикети за киберсигурност. 3) Създаване на международен център за киберсигурност с цел стимулиране на сектора в Европа чрез активно участие в Европейската мрежа на центровете за киберсигурност. Това включва стартирането на огледалния център на Европейския експертен център (ERCC).</w:t>
      </w:r>
    </w:p>
    <w:p>
      <w:pPr>
        <w:spacing w:after="0" w:line="240" w:lineRule="auto"/>
        <w:rPr>
          <w:rFonts w:ascii="Times New Roman" w:eastAsia="Calibri" w:hAnsi="Times New Roman" w:cs="Times New Roman"/>
          <w:noProof/>
          <w:sz w:val="24"/>
          <w:szCs w:val="24"/>
        </w:rPr>
      </w:pPr>
      <w:r>
        <w:rPr>
          <w:rFonts w:ascii="Times New Roman" w:hAnsi="Times New Roman"/>
          <w:noProof/>
          <w:sz w:val="24"/>
          <w:szCs w:val="24"/>
        </w:rPr>
        <w:t xml:space="preserve">Изпълнението на инвестицията приключва до 30 юни 2026 г. </w:t>
      </w:r>
    </w:p>
    <w:p>
      <w:pPr>
        <w:spacing w:before="120" w:after="120" w:line="240" w:lineRule="auto"/>
        <w:ind w:left="709"/>
        <w:jc w:val="both"/>
        <w:rPr>
          <w:rFonts w:ascii="Times New Roman" w:hAnsi="Times New Roman" w:cs="Times New Roman"/>
          <w:b/>
          <w:noProof/>
          <w:sz w:val="24"/>
          <w:szCs w:val="24"/>
          <w:u w:val="single"/>
        </w:rPr>
      </w:pPr>
      <w:r>
        <w:rPr>
          <w:rFonts w:ascii="Times New Roman" w:hAnsi="Times New Roman"/>
          <w:b/>
          <w:noProof/>
          <w:sz w:val="24"/>
          <w:szCs w:val="24"/>
          <w:u w:val="single"/>
        </w:rPr>
        <w:t xml:space="preserve">O.2. </w:t>
      </w:r>
      <w:r>
        <w:rPr>
          <w:rFonts w:ascii="Times New Roman" w:hAnsi="Times New Roman"/>
          <w:b/>
          <w:noProof/>
          <w:sz w:val="24"/>
          <w:u w:val="single"/>
        </w:rPr>
        <w:tab/>
      </w:r>
      <w:r>
        <w:rPr>
          <w:rFonts w:ascii="Times New Roman" w:hAnsi="Times New Roman"/>
          <w:b/>
          <w:noProof/>
          <w:sz w:val="24"/>
          <w:szCs w:val="24"/>
          <w:u w:val="single"/>
        </w:rPr>
        <w:t>Ключови етапи, цели, показатели и график за мониторинг и изпълнение на безвъзмездната финансова подкрепа</w:t>
      </w:r>
    </w:p>
    <w:p>
      <w:pPr>
        <w:spacing w:before="120" w:after="120" w:line="240" w:lineRule="auto"/>
        <w:jc w:val="both"/>
        <w:rPr>
          <w:rFonts w:ascii="Times New Roman" w:hAnsi="Times New Roman" w:cs="Times New Roman"/>
          <w:noProof/>
          <w:color w:val="1F497D"/>
        </w:rPr>
      </w:pPr>
      <w:r>
        <w:rPr>
          <w:rFonts w:ascii="Times New Roman" w:hAnsi="Times New Roman"/>
          <w:i/>
          <w:noProof/>
          <w:color w:val="000000"/>
          <w:sz w:val="24"/>
          <w:szCs w:val="24"/>
        </w:rPr>
        <w:t>Вж. таблицата по-долу.</w:t>
      </w:r>
      <w:r>
        <w:rPr>
          <w:rFonts w:ascii="Times New Roman" w:hAnsi="Times New Roman"/>
          <w:noProof/>
          <w:color w:val="1F497D"/>
          <w:sz w:val="24"/>
          <w:szCs w:val="24"/>
        </w:rPr>
        <w:t xml:space="preserve"> </w:t>
      </w:r>
      <w:r>
        <w:rPr>
          <w:rFonts w:ascii="Times New Roman" w:hAnsi="Times New Roman"/>
          <w:i/>
          <w:noProof/>
          <w:color w:val="000000"/>
          <w:sz w:val="24"/>
          <w:szCs w:val="24"/>
        </w:rPr>
        <w:t>Датата на базовата линия за всички показатели е 1 февруари 2020 г., освен ако не е посочено друго в описанието на действието. Сумите в таблицата не включват ДДС.</w:t>
      </w:r>
    </w:p>
    <w:p>
      <w:pPr>
        <w:spacing w:before="120" w:after="120" w:line="240" w:lineRule="auto"/>
        <w:jc w:val="both"/>
        <w:rPr>
          <w:rFonts w:ascii="Times New Roman" w:hAnsi="Times New Roman" w:cs="Times New Roman"/>
          <w:b/>
          <w:bCs/>
          <w:noProof/>
          <w:sz w:val="24"/>
          <w:u w:val="single"/>
          <w:lang w:val="en-IE"/>
        </w:rPr>
      </w:pPr>
    </w:p>
    <w:p>
      <w:pPr>
        <w:spacing w:before="120" w:after="120" w:line="240" w:lineRule="auto"/>
        <w:ind w:left="709"/>
        <w:jc w:val="both"/>
        <w:rPr>
          <w:rFonts w:ascii="Times New Roman" w:hAnsi="Times New Roman" w:cs="Times New Roman"/>
          <w:noProof/>
          <w:sz w:val="24"/>
          <w:lang w:val="en-IE"/>
        </w:rPr>
      </w:pPr>
    </w:p>
    <w:p>
      <w:pPr>
        <w:spacing w:before="120" w:after="120" w:line="240" w:lineRule="auto"/>
        <w:ind w:left="709"/>
        <w:jc w:val="both"/>
        <w:rPr>
          <w:rFonts w:ascii="Times New Roman" w:hAnsi="Times New Roman" w:cs="Times New Roman"/>
          <w:noProof/>
          <w:sz w:val="24"/>
          <w:lang w:val="en-IE"/>
        </w:rPr>
        <w:sectPr>
          <w:headerReference w:type="even" r:id="rId187"/>
          <w:headerReference w:type="default" r:id="rId188"/>
          <w:footerReference w:type="even" r:id="rId189"/>
          <w:footerReference w:type="default" r:id="rId190"/>
          <w:headerReference w:type="first" r:id="rId191"/>
          <w:footerReference w:type="first" r:id="rId192"/>
          <w:pgSz w:w="11907" w:h="16839"/>
          <w:pgMar w:top="1134" w:right="1417" w:bottom="1134" w:left="1417" w:header="709" w:footer="709" w:gutter="0"/>
          <w:cols w:space="720"/>
          <w:docGrid w:linePitch="360"/>
        </w:sectPr>
      </w:pPr>
    </w:p>
    <w:tbl>
      <w:tblPr>
        <w:tblW w:w="15310"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09"/>
        <w:gridCol w:w="851"/>
        <w:gridCol w:w="850"/>
        <w:gridCol w:w="2694"/>
        <w:gridCol w:w="1275"/>
        <w:gridCol w:w="783"/>
        <w:gridCol w:w="635"/>
        <w:gridCol w:w="709"/>
        <w:gridCol w:w="276"/>
        <w:gridCol w:w="716"/>
        <w:gridCol w:w="5812"/>
      </w:tblGrid>
      <w:tr>
        <w:trPr>
          <w:trHeight w:val="309"/>
          <w:tblHeader/>
        </w:trPr>
        <w:tc>
          <w:tcPr>
            <w:tcW w:w="709" w:type="dxa"/>
            <w:tcBorders>
              <w:top w:val="single" w:sz="4" w:space="0" w:color="auto"/>
              <w:left w:val="single" w:sz="4" w:space="0" w:color="auto"/>
              <w:bottom w:val="nil"/>
              <w:right w:val="single" w:sz="4" w:space="0" w:color="auto"/>
            </w:tcBorders>
            <w:shd w:val="clear" w:color="auto" w:fill="C6D9F1" w:themeFill="text2" w:themeFillTint="33"/>
            <w:noWrap/>
            <w:vAlign w:val="center"/>
            <w:hideMark/>
          </w:tcPr>
          <w:p>
            <w:pPr>
              <w:spacing w:after="0"/>
              <w:jc w:val="center"/>
              <w:rPr>
                <w:rFonts w:ascii="Times New Roman" w:hAnsi="Times New Roman" w:cs="Times New Roman"/>
                <w:b/>
                <w:bCs/>
                <w:noProof/>
                <w:color w:val="000000" w:themeColor="text1"/>
                <w:sz w:val="18"/>
                <w:szCs w:val="18"/>
              </w:rPr>
            </w:pPr>
            <w:r>
              <w:rPr>
                <w:rFonts w:ascii="Times New Roman" w:hAnsi="Times New Roman"/>
                <w:b/>
                <w:bCs/>
                <w:noProof/>
                <w:color w:val="000000" w:themeColor="text1"/>
                <w:sz w:val="18"/>
                <w:szCs w:val="18"/>
              </w:rPr>
              <w:t>Номер</w:t>
            </w:r>
          </w:p>
        </w:tc>
        <w:tc>
          <w:tcPr>
            <w:tcW w:w="851" w:type="dxa"/>
            <w:tcBorders>
              <w:top w:val="single" w:sz="4" w:space="0" w:color="auto"/>
              <w:left w:val="single" w:sz="4" w:space="0" w:color="auto"/>
              <w:bottom w:val="nil"/>
              <w:right w:val="single" w:sz="4" w:space="0" w:color="auto"/>
            </w:tcBorders>
            <w:shd w:val="clear" w:color="auto" w:fill="C6D9F1" w:themeFill="text2" w:themeFillTint="33"/>
            <w:noWrap/>
            <w:vAlign w:val="center"/>
            <w:hideMark/>
          </w:tcPr>
          <w:p>
            <w:pPr>
              <w:spacing w:after="0"/>
              <w:jc w:val="center"/>
              <w:rPr>
                <w:rFonts w:ascii="Times New Roman" w:hAnsi="Times New Roman" w:cs="Times New Roman"/>
                <w:b/>
                <w:bCs/>
                <w:noProof/>
                <w:color w:val="000000" w:themeColor="text1"/>
                <w:sz w:val="18"/>
                <w:szCs w:val="18"/>
              </w:rPr>
            </w:pPr>
            <w:r>
              <w:rPr>
                <w:rFonts w:ascii="Times New Roman" w:hAnsi="Times New Roman"/>
                <w:b/>
                <w:bCs/>
                <w:noProof/>
                <w:color w:val="000000" w:themeColor="text1"/>
                <w:sz w:val="18"/>
                <w:szCs w:val="18"/>
              </w:rPr>
              <w:t>Мярка</w:t>
            </w:r>
          </w:p>
        </w:tc>
        <w:tc>
          <w:tcPr>
            <w:tcW w:w="850" w:type="dxa"/>
            <w:tcBorders>
              <w:top w:val="single" w:sz="4" w:space="0" w:color="auto"/>
              <w:left w:val="single" w:sz="4" w:space="0" w:color="auto"/>
              <w:bottom w:val="nil"/>
              <w:right w:val="single" w:sz="4" w:space="0" w:color="auto"/>
            </w:tcBorders>
            <w:shd w:val="clear" w:color="auto" w:fill="C6D9F1" w:themeFill="text2" w:themeFillTint="33"/>
            <w:noWrap/>
            <w:vAlign w:val="center"/>
            <w:hideMark/>
          </w:tcPr>
          <w:p>
            <w:pPr>
              <w:spacing w:after="0"/>
              <w:jc w:val="center"/>
              <w:rPr>
                <w:rFonts w:ascii="Times New Roman" w:hAnsi="Times New Roman" w:cs="Times New Roman"/>
                <w:b/>
                <w:bCs/>
                <w:noProof/>
                <w:color w:val="000000" w:themeColor="text1"/>
                <w:sz w:val="18"/>
                <w:szCs w:val="18"/>
              </w:rPr>
            </w:pPr>
            <w:r>
              <w:rPr>
                <w:rFonts w:ascii="Times New Roman" w:hAnsi="Times New Roman"/>
                <w:b/>
                <w:bCs/>
                <w:noProof/>
                <w:color w:val="000000" w:themeColor="text1"/>
                <w:sz w:val="18"/>
                <w:szCs w:val="18"/>
              </w:rPr>
              <w:t>Ключов етап /Цел</w:t>
            </w:r>
          </w:p>
        </w:tc>
        <w:tc>
          <w:tcPr>
            <w:tcW w:w="2694" w:type="dxa"/>
            <w:tcBorders>
              <w:top w:val="single" w:sz="4" w:space="0" w:color="auto"/>
              <w:left w:val="single" w:sz="4" w:space="0" w:color="auto"/>
              <w:bottom w:val="nil"/>
              <w:right w:val="single" w:sz="4" w:space="0" w:color="auto"/>
            </w:tcBorders>
            <w:shd w:val="clear" w:color="auto" w:fill="C6D9F1" w:themeFill="text2" w:themeFillTint="33"/>
            <w:noWrap/>
            <w:vAlign w:val="center"/>
            <w:hideMark/>
          </w:tcPr>
          <w:p>
            <w:pPr>
              <w:spacing w:after="0"/>
              <w:jc w:val="center"/>
              <w:rPr>
                <w:rFonts w:ascii="Times New Roman" w:hAnsi="Times New Roman" w:cs="Times New Roman"/>
                <w:b/>
                <w:bCs/>
                <w:noProof/>
                <w:color w:val="000000" w:themeColor="text1"/>
                <w:sz w:val="18"/>
                <w:szCs w:val="18"/>
              </w:rPr>
            </w:pPr>
            <w:r>
              <w:rPr>
                <w:rFonts w:ascii="Times New Roman" w:hAnsi="Times New Roman"/>
                <w:b/>
                <w:bCs/>
                <w:noProof/>
                <w:color w:val="000000" w:themeColor="text1"/>
                <w:sz w:val="18"/>
                <w:szCs w:val="18"/>
              </w:rPr>
              <w:t>Наименование</w:t>
            </w:r>
          </w:p>
        </w:tc>
        <w:tc>
          <w:tcPr>
            <w:tcW w:w="1275" w:type="dxa"/>
            <w:tcBorders>
              <w:top w:val="single" w:sz="4" w:space="0" w:color="auto"/>
              <w:left w:val="single" w:sz="4" w:space="0" w:color="auto"/>
              <w:bottom w:val="nil"/>
              <w:right w:val="single" w:sz="4" w:space="0" w:color="auto"/>
            </w:tcBorders>
            <w:shd w:val="clear" w:color="auto" w:fill="C6D9F1" w:themeFill="text2" w:themeFillTint="33"/>
            <w:noWrap/>
            <w:vAlign w:val="center"/>
            <w:hideMark/>
          </w:tcPr>
          <w:p>
            <w:pPr>
              <w:spacing w:after="0"/>
              <w:jc w:val="center"/>
              <w:rPr>
                <w:rFonts w:ascii="Times New Roman" w:hAnsi="Times New Roman" w:cs="Times New Roman"/>
                <w:b/>
                <w:bCs/>
                <w:noProof/>
                <w:color w:val="000000" w:themeColor="text1"/>
                <w:sz w:val="18"/>
                <w:szCs w:val="18"/>
              </w:rPr>
            </w:pPr>
            <w:r>
              <w:rPr>
                <w:rFonts w:ascii="Times New Roman" w:hAnsi="Times New Roman"/>
                <w:b/>
                <w:bCs/>
                <w:noProof/>
                <w:color w:val="000000" w:themeColor="text1"/>
                <w:sz w:val="18"/>
                <w:szCs w:val="18"/>
              </w:rPr>
              <w:t>Качествени показатели за ключовите етапи</w:t>
            </w:r>
          </w:p>
        </w:tc>
        <w:tc>
          <w:tcPr>
            <w:tcW w:w="2127"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pPr>
              <w:spacing w:after="0"/>
              <w:jc w:val="center"/>
              <w:rPr>
                <w:rFonts w:ascii="Times New Roman" w:hAnsi="Times New Roman" w:cs="Times New Roman"/>
                <w:b/>
                <w:bCs/>
                <w:noProof/>
                <w:color w:val="000000" w:themeColor="text1"/>
                <w:sz w:val="18"/>
                <w:szCs w:val="18"/>
              </w:rPr>
            </w:pPr>
            <w:r>
              <w:rPr>
                <w:rFonts w:ascii="Times New Roman" w:hAnsi="Times New Roman"/>
                <w:b/>
                <w:bCs/>
                <w:noProof/>
                <w:color w:val="000000" w:themeColor="text1"/>
                <w:sz w:val="18"/>
                <w:szCs w:val="18"/>
              </w:rPr>
              <w:t>Количествени показатели за целите</w:t>
            </w:r>
          </w:p>
        </w:tc>
        <w:tc>
          <w:tcPr>
            <w:tcW w:w="992"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pPr>
              <w:spacing w:after="0"/>
              <w:jc w:val="center"/>
              <w:rPr>
                <w:rFonts w:ascii="Times New Roman" w:hAnsi="Times New Roman" w:cs="Times New Roman"/>
                <w:b/>
                <w:bCs/>
                <w:noProof/>
                <w:color w:val="000000" w:themeColor="text1"/>
                <w:sz w:val="18"/>
                <w:szCs w:val="18"/>
              </w:rPr>
            </w:pPr>
            <w:r>
              <w:rPr>
                <w:rFonts w:ascii="Times New Roman" w:hAnsi="Times New Roman"/>
                <w:b/>
                <w:bCs/>
                <w:noProof/>
                <w:color w:val="000000" w:themeColor="text1"/>
                <w:sz w:val="18"/>
                <w:szCs w:val="18"/>
              </w:rPr>
              <w:t>Време</w:t>
            </w:r>
          </w:p>
        </w:tc>
        <w:tc>
          <w:tcPr>
            <w:tcW w:w="5812" w:type="dxa"/>
            <w:tcBorders>
              <w:top w:val="single" w:sz="4" w:space="0" w:color="auto"/>
              <w:left w:val="single" w:sz="4" w:space="0" w:color="auto"/>
              <w:bottom w:val="nil"/>
              <w:right w:val="single" w:sz="4" w:space="0" w:color="auto"/>
            </w:tcBorders>
            <w:shd w:val="clear" w:color="auto" w:fill="C6D9F1" w:themeFill="text2" w:themeFillTint="33"/>
            <w:noWrap/>
            <w:vAlign w:val="center"/>
            <w:hideMark/>
          </w:tcPr>
          <w:p>
            <w:pPr>
              <w:spacing w:after="0"/>
              <w:jc w:val="center"/>
              <w:rPr>
                <w:rFonts w:ascii="Times New Roman" w:hAnsi="Times New Roman" w:cs="Times New Roman"/>
                <w:b/>
                <w:bCs/>
                <w:noProof/>
                <w:color w:val="000000" w:themeColor="text1"/>
                <w:sz w:val="18"/>
                <w:szCs w:val="18"/>
              </w:rPr>
            </w:pPr>
            <w:r>
              <w:rPr>
                <w:rFonts w:ascii="Times New Roman" w:hAnsi="Times New Roman"/>
                <w:b/>
                <w:bCs/>
                <w:noProof/>
                <w:sz w:val="18"/>
                <w:szCs w:val="18"/>
              </w:rPr>
              <w:t>Описание на всеки ключов етап и всяка цел</w:t>
            </w:r>
          </w:p>
        </w:tc>
      </w:tr>
      <w:tr>
        <w:trPr>
          <w:trHeight w:val="309"/>
          <w:tblHeader/>
        </w:trPr>
        <w:tc>
          <w:tcPr>
            <w:tcW w:w="709" w:type="dxa"/>
            <w:tcBorders>
              <w:top w:val="nil"/>
              <w:left w:val="single" w:sz="4" w:space="0" w:color="auto"/>
              <w:bottom w:val="single" w:sz="4" w:space="0" w:color="auto"/>
              <w:right w:val="single" w:sz="4" w:space="0" w:color="auto"/>
            </w:tcBorders>
            <w:shd w:val="clear" w:color="auto" w:fill="C6D9F1" w:themeFill="text2" w:themeFillTint="33"/>
            <w:noWrap/>
          </w:tcPr>
          <w:p>
            <w:pPr>
              <w:spacing w:after="0"/>
              <w:jc w:val="center"/>
              <w:rPr>
                <w:rFonts w:ascii="Times New Roman" w:hAnsi="Times New Roman" w:cs="Times New Roman"/>
                <w:b/>
                <w:noProof/>
                <w:color w:val="000000"/>
                <w:sz w:val="18"/>
                <w:szCs w:val="18"/>
              </w:rPr>
            </w:pPr>
          </w:p>
        </w:tc>
        <w:tc>
          <w:tcPr>
            <w:tcW w:w="851" w:type="dxa"/>
            <w:tcBorders>
              <w:top w:val="nil"/>
              <w:left w:val="single" w:sz="4" w:space="0" w:color="auto"/>
              <w:bottom w:val="single" w:sz="4" w:space="0" w:color="auto"/>
              <w:right w:val="single" w:sz="4" w:space="0" w:color="auto"/>
            </w:tcBorders>
            <w:shd w:val="clear" w:color="auto" w:fill="C6D9F1" w:themeFill="text2" w:themeFillTint="33"/>
            <w:noWrap/>
          </w:tcPr>
          <w:p>
            <w:pPr>
              <w:spacing w:after="0"/>
              <w:jc w:val="center"/>
              <w:rPr>
                <w:rFonts w:ascii="Times New Roman" w:hAnsi="Times New Roman" w:cs="Times New Roman"/>
                <w:b/>
                <w:noProof/>
                <w:color w:val="000000"/>
                <w:sz w:val="18"/>
                <w:szCs w:val="18"/>
              </w:rPr>
            </w:pPr>
          </w:p>
        </w:tc>
        <w:tc>
          <w:tcPr>
            <w:tcW w:w="850" w:type="dxa"/>
            <w:tcBorders>
              <w:top w:val="nil"/>
              <w:left w:val="single" w:sz="4" w:space="0" w:color="auto"/>
              <w:bottom w:val="single" w:sz="4" w:space="0" w:color="auto"/>
              <w:right w:val="single" w:sz="4" w:space="0" w:color="auto"/>
            </w:tcBorders>
            <w:shd w:val="clear" w:color="auto" w:fill="C6D9F1" w:themeFill="text2" w:themeFillTint="33"/>
            <w:noWrap/>
          </w:tcPr>
          <w:p>
            <w:pPr>
              <w:spacing w:after="0"/>
              <w:jc w:val="center"/>
              <w:rPr>
                <w:rFonts w:ascii="Times New Roman" w:hAnsi="Times New Roman" w:cs="Times New Roman"/>
                <w:b/>
                <w:noProof/>
                <w:color w:val="000000"/>
                <w:sz w:val="18"/>
                <w:szCs w:val="18"/>
              </w:rPr>
            </w:pPr>
          </w:p>
        </w:tc>
        <w:tc>
          <w:tcPr>
            <w:tcW w:w="2694" w:type="dxa"/>
            <w:tcBorders>
              <w:top w:val="nil"/>
              <w:left w:val="single" w:sz="4" w:space="0" w:color="auto"/>
              <w:bottom w:val="single" w:sz="4" w:space="0" w:color="auto"/>
              <w:right w:val="single" w:sz="4" w:space="0" w:color="auto"/>
            </w:tcBorders>
            <w:shd w:val="clear" w:color="auto" w:fill="C6D9F1" w:themeFill="text2" w:themeFillTint="33"/>
            <w:noWrap/>
          </w:tcPr>
          <w:p>
            <w:pPr>
              <w:spacing w:after="0"/>
              <w:rPr>
                <w:rFonts w:ascii="Times New Roman" w:hAnsi="Times New Roman" w:cs="Times New Roman"/>
                <w:b/>
                <w:noProof/>
                <w:color w:val="000000"/>
                <w:sz w:val="18"/>
                <w:szCs w:val="18"/>
              </w:rPr>
            </w:pPr>
          </w:p>
        </w:tc>
        <w:tc>
          <w:tcPr>
            <w:tcW w:w="1275" w:type="dxa"/>
            <w:tcBorders>
              <w:top w:val="nil"/>
              <w:left w:val="single" w:sz="4" w:space="0" w:color="auto"/>
              <w:bottom w:val="single" w:sz="4" w:space="0" w:color="auto"/>
              <w:right w:val="single" w:sz="4" w:space="0" w:color="auto"/>
            </w:tcBorders>
            <w:shd w:val="clear" w:color="auto" w:fill="C6D9F1" w:themeFill="text2" w:themeFillTint="33"/>
            <w:noWrap/>
          </w:tcPr>
          <w:p>
            <w:pPr>
              <w:spacing w:after="0"/>
              <w:jc w:val="center"/>
              <w:rPr>
                <w:rFonts w:ascii="Times New Roman" w:hAnsi="Times New Roman" w:cs="Times New Roman"/>
                <w:b/>
                <w:noProof/>
                <w:color w:val="000000"/>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C6D9F1" w:themeFill="text2" w:themeFillTint="33"/>
            <w:noWrap/>
            <w:hideMark/>
          </w:tcPr>
          <w:p>
            <w:pPr>
              <w:spacing w:after="0"/>
              <w:jc w:val="center"/>
              <w:rPr>
                <w:rFonts w:ascii="Times New Roman" w:hAnsi="Times New Roman" w:cs="Times New Roman"/>
                <w:b/>
                <w:bCs/>
                <w:noProof/>
                <w:color w:val="000000" w:themeColor="text1"/>
                <w:sz w:val="18"/>
                <w:szCs w:val="18"/>
              </w:rPr>
            </w:pPr>
            <w:r>
              <w:rPr>
                <w:rFonts w:ascii="Times New Roman" w:hAnsi="Times New Roman"/>
                <w:b/>
                <w:bCs/>
                <w:noProof/>
                <w:color w:val="000000" w:themeColor="text1"/>
                <w:sz w:val="18"/>
                <w:szCs w:val="18"/>
              </w:rPr>
              <w:t>Мерна единица</w:t>
            </w:r>
          </w:p>
        </w:tc>
        <w:tc>
          <w:tcPr>
            <w:tcW w:w="6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hideMark/>
          </w:tcPr>
          <w:p>
            <w:pPr>
              <w:spacing w:after="0"/>
              <w:jc w:val="center"/>
              <w:rPr>
                <w:rFonts w:ascii="Times New Roman" w:hAnsi="Times New Roman" w:cs="Times New Roman"/>
                <w:b/>
                <w:bCs/>
                <w:noProof/>
                <w:color w:val="000000" w:themeColor="text1"/>
                <w:sz w:val="18"/>
                <w:szCs w:val="18"/>
              </w:rPr>
            </w:pPr>
            <w:r>
              <w:rPr>
                <w:rFonts w:ascii="Times New Roman" w:hAnsi="Times New Roman"/>
                <w:b/>
                <w:bCs/>
                <w:noProof/>
                <w:color w:val="000000" w:themeColor="text1"/>
                <w:sz w:val="18"/>
                <w:szCs w:val="18"/>
              </w:rPr>
              <w:t>Базова линия</w:t>
            </w:r>
          </w:p>
        </w:tc>
        <w:tc>
          <w:tcPr>
            <w:tcW w:w="709" w:type="dxa"/>
            <w:tcBorders>
              <w:top w:val="single" w:sz="4" w:space="0" w:color="auto"/>
              <w:left w:val="single" w:sz="4" w:space="0" w:color="auto"/>
              <w:bottom w:val="single" w:sz="4" w:space="0" w:color="auto"/>
              <w:right w:val="single" w:sz="4" w:space="0" w:color="auto"/>
            </w:tcBorders>
            <w:shd w:val="clear" w:color="auto" w:fill="C6D9F1" w:themeFill="text2" w:themeFillTint="33"/>
            <w:noWrap/>
            <w:hideMark/>
          </w:tcPr>
          <w:p>
            <w:pPr>
              <w:spacing w:after="0"/>
              <w:jc w:val="center"/>
              <w:rPr>
                <w:rFonts w:ascii="Times New Roman" w:hAnsi="Times New Roman" w:cs="Times New Roman"/>
                <w:b/>
                <w:bCs/>
                <w:noProof/>
                <w:color w:val="000000" w:themeColor="text1"/>
                <w:sz w:val="18"/>
                <w:szCs w:val="18"/>
              </w:rPr>
            </w:pPr>
            <w:r>
              <w:rPr>
                <w:rFonts w:ascii="Times New Roman" w:hAnsi="Times New Roman"/>
                <w:b/>
                <w:bCs/>
                <w:noProof/>
                <w:color w:val="000000" w:themeColor="text1"/>
                <w:sz w:val="18"/>
                <w:szCs w:val="18"/>
              </w:rPr>
              <w:t>Цел</w:t>
            </w:r>
          </w:p>
        </w:tc>
        <w:tc>
          <w:tcPr>
            <w:tcW w:w="276" w:type="dxa"/>
            <w:tcBorders>
              <w:top w:val="single" w:sz="4" w:space="0" w:color="auto"/>
              <w:left w:val="single" w:sz="4" w:space="0" w:color="auto"/>
              <w:bottom w:val="single" w:sz="4" w:space="0" w:color="auto"/>
              <w:right w:val="single" w:sz="4" w:space="0" w:color="auto"/>
            </w:tcBorders>
            <w:shd w:val="clear" w:color="auto" w:fill="C6D9F1" w:themeFill="text2" w:themeFillTint="33"/>
            <w:noWrap/>
            <w:hideMark/>
          </w:tcPr>
          <w:p>
            <w:pPr>
              <w:spacing w:after="0"/>
              <w:jc w:val="center"/>
              <w:rPr>
                <w:rFonts w:ascii="Times New Roman" w:hAnsi="Times New Roman" w:cs="Times New Roman"/>
                <w:b/>
                <w:bCs/>
                <w:noProof/>
                <w:color w:val="000000" w:themeColor="text1"/>
                <w:sz w:val="18"/>
                <w:szCs w:val="18"/>
              </w:rPr>
            </w:pPr>
            <w:r>
              <w:rPr>
                <w:rFonts w:ascii="Times New Roman" w:hAnsi="Times New Roman"/>
                <w:b/>
                <w:bCs/>
                <w:noProof/>
                <w:color w:val="000000" w:themeColor="text1"/>
                <w:sz w:val="18"/>
                <w:szCs w:val="18"/>
              </w:rPr>
              <w:t>T</w:t>
            </w:r>
          </w:p>
        </w:tc>
        <w:tc>
          <w:tcPr>
            <w:tcW w:w="716" w:type="dxa"/>
            <w:tcBorders>
              <w:top w:val="single" w:sz="4" w:space="0" w:color="auto"/>
              <w:left w:val="single" w:sz="4" w:space="0" w:color="auto"/>
              <w:bottom w:val="single" w:sz="4" w:space="0" w:color="auto"/>
              <w:right w:val="single" w:sz="4" w:space="0" w:color="auto"/>
            </w:tcBorders>
            <w:shd w:val="clear" w:color="auto" w:fill="C6D9F1" w:themeFill="text2" w:themeFillTint="33"/>
            <w:noWrap/>
            <w:hideMark/>
          </w:tcPr>
          <w:p>
            <w:pPr>
              <w:spacing w:after="0"/>
              <w:jc w:val="center"/>
              <w:rPr>
                <w:rFonts w:ascii="Times New Roman" w:hAnsi="Times New Roman" w:cs="Times New Roman"/>
                <w:b/>
                <w:bCs/>
                <w:noProof/>
                <w:color w:val="000000" w:themeColor="text1"/>
                <w:sz w:val="18"/>
                <w:szCs w:val="18"/>
              </w:rPr>
            </w:pPr>
            <w:r>
              <w:rPr>
                <w:rFonts w:ascii="Times New Roman" w:hAnsi="Times New Roman"/>
                <w:b/>
                <w:bCs/>
                <w:noProof/>
                <w:color w:val="000000" w:themeColor="text1"/>
                <w:sz w:val="18"/>
                <w:szCs w:val="18"/>
              </w:rPr>
              <w:t>Година</w:t>
            </w:r>
          </w:p>
        </w:tc>
        <w:tc>
          <w:tcPr>
            <w:tcW w:w="5812" w:type="dxa"/>
            <w:tcBorders>
              <w:top w:val="nil"/>
              <w:left w:val="single" w:sz="4" w:space="0" w:color="auto"/>
              <w:bottom w:val="single" w:sz="4" w:space="0" w:color="auto"/>
              <w:right w:val="single" w:sz="4" w:space="0" w:color="auto"/>
            </w:tcBorders>
            <w:shd w:val="clear" w:color="auto" w:fill="C6D9F1" w:themeFill="text2" w:themeFillTint="33"/>
            <w:noWrap/>
          </w:tcPr>
          <w:p>
            <w:pPr>
              <w:spacing w:after="0"/>
              <w:rPr>
                <w:rFonts w:ascii="Times New Roman" w:hAnsi="Times New Roman" w:cs="Times New Roman"/>
                <w:b/>
                <w:noProof/>
                <w:color w:val="000000"/>
                <w:sz w:val="18"/>
                <w:szCs w:val="18"/>
                <w:lang w:val="en-IE"/>
              </w:rPr>
            </w:pPr>
          </w:p>
        </w:tc>
      </w:tr>
      <w:tr>
        <w:trPr>
          <w:trHeight w:val="309"/>
        </w:trPr>
        <w:tc>
          <w:tcPr>
            <w:tcW w:w="709"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229</w:t>
            </w:r>
          </w:p>
        </w:tc>
        <w:tc>
          <w:tcPr>
            <w:tcW w:w="851"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C15.R1</w:t>
            </w:r>
          </w:p>
        </w:tc>
        <w:tc>
          <w:tcPr>
            <w:tcW w:w="850"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2694" w:type="dxa"/>
            <w:tcBorders>
              <w:top w:val="single" w:sz="4" w:space="0" w:color="auto"/>
              <w:left w:val="single" w:sz="4" w:space="0" w:color="auto"/>
              <w:bottom w:val="single" w:sz="4" w:space="0" w:color="auto"/>
              <w:right w:val="single" w:sz="4" w:space="0" w:color="auto"/>
            </w:tcBorders>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szCs w:val="18"/>
              </w:rPr>
              <w:t>Влизане в сила на Закона за далекосъобщенията</w:t>
            </w:r>
          </w:p>
        </w:tc>
        <w:tc>
          <w:tcPr>
            <w:tcW w:w="1275"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Разпоредба от закона, указваща влизането в сила на закона </w:t>
            </w:r>
          </w:p>
        </w:tc>
        <w:tc>
          <w:tcPr>
            <w:tcW w:w="783"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 </w:t>
            </w:r>
          </w:p>
        </w:tc>
        <w:tc>
          <w:tcPr>
            <w:tcW w:w="635"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276"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T2</w:t>
            </w:r>
          </w:p>
        </w:tc>
        <w:tc>
          <w:tcPr>
            <w:tcW w:w="716"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2022</w:t>
            </w:r>
          </w:p>
        </w:tc>
        <w:tc>
          <w:tcPr>
            <w:tcW w:w="5812" w:type="dxa"/>
            <w:tcBorders>
              <w:top w:val="single" w:sz="4" w:space="0" w:color="auto"/>
              <w:left w:val="single" w:sz="4" w:space="0" w:color="auto"/>
              <w:bottom w:val="single" w:sz="4" w:space="0" w:color="auto"/>
              <w:right w:val="single" w:sz="4" w:space="0" w:color="auto"/>
            </w:tcBorders>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szCs w:val="18"/>
              </w:rPr>
              <w:t>Законът за далекосъобщенията транспонира и Директива 2018/1972 на Европейския кодекс за електронните съобщения (ЕКЕС). Законът включва също така препоръките относно инструментариума на ЕС за свързаност, който трябва да бъде в закон съгласно испанската правна рамка. Освен транспонирането на Директива 2018/1972 на Европейския кодекс за електронни съобщения, законът включва: i) разпоредби за описа на подводни кабели и ТИП/центрове за данни; ii) както и опростена фискална схема за местни данъци върху разгръщането на мрежата; и iii) въвеждането на единно звено за контакт за прилагането на лицензите и разрешенията, предоставени от различни равнища на управление за разгръщането на мрежи.</w:t>
            </w:r>
          </w:p>
        </w:tc>
      </w:tr>
      <w:tr>
        <w:trPr>
          <w:trHeight w:val="309"/>
        </w:trPr>
        <w:tc>
          <w:tcPr>
            <w:tcW w:w="709"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230</w:t>
            </w:r>
          </w:p>
        </w:tc>
        <w:tc>
          <w:tcPr>
            <w:tcW w:w="851"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C15.R2</w:t>
            </w:r>
          </w:p>
        </w:tc>
        <w:tc>
          <w:tcPr>
            <w:tcW w:w="850"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2694" w:type="dxa"/>
            <w:tcBorders>
              <w:top w:val="single" w:sz="4" w:space="0" w:color="auto"/>
              <w:left w:val="single" w:sz="4" w:space="0" w:color="auto"/>
              <w:bottom w:val="single" w:sz="4" w:space="0" w:color="auto"/>
              <w:right w:val="single" w:sz="4" w:space="0" w:color="auto"/>
            </w:tcBorders>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szCs w:val="18"/>
              </w:rPr>
              <w:t>План и стратегия за насърчаване на 5G технологията „Цифрова Испания“ 2025 г.</w:t>
            </w:r>
          </w:p>
        </w:tc>
        <w:tc>
          <w:tcPr>
            <w:tcW w:w="1275"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Публикуване</w:t>
            </w:r>
          </w:p>
        </w:tc>
        <w:tc>
          <w:tcPr>
            <w:tcW w:w="783"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 </w:t>
            </w:r>
          </w:p>
        </w:tc>
        <w:tc>
          <w:tcPr>
            <w:tcW w:w="635"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276"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716"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2020</w:t>
            </w:r>
          </w:p>
        </w:tc>
        <w:tc>
          <w:tcPr>
            <w:tcW w:w="5812" w:type="dxa"/>
            <w:tcBorders>
              <w:top w:val="single" w:sz="4" w:space="0" w:color="auto"/>
              <w:left w:val="single" w:sz="4" w:space="0" w:color="auto"/>
              <w:bottom w:val="single" w:sz="4" w:space="0" w:color="auto"/>
              <w:right w:val="single" w:sz="4" w:space="0" w:color="auto"/>
            </w:tcBorders>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szCs w:val="18"/>
              </w:rPr>
              <w:t>Публикуване на плана до 2025 г. „Цифрова Испания„и одобрение от Министерския съвет на „Стратегия за насърчаване на 5G технологията“</w:t>
            </w:r>
          </w:p>
        </w:tc>
      </w:tr>
      <w:tr>
        <w:trPr>
          <w:trHeight w:val="309"/>
        </w:trPr>
        <w:tc>
          <w:tcPr>
            <w:tcW w:w="709"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231</w:t>
            </w:r>
          </w:p>
        </w:tc>
        <w:tc>
          <w:tcPr>
            <w:tcW w:w="851"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C15.R2</w:t>
            </w:r>
          </w:p>
        </w:tc>
        <w:tc>
          <w:tcPr>
            <w:tcW w:w="850"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2694" w:type="dxa"/>
            <w:tcBorders>
              <w:top w:val="single" w:sz="4" w:space="0" w:color="auto"/>
              <w:left w:val="single" w:sz="4" w:space="0" w:color="auto"/>
              <w:bottom w:val="single" w:sz="4" w:space="0" w:color="auto"/>
              <w:right w:val="single" w:sz="4" w:space="0" w:color="auto"/>
            </w:tcBorders>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szCs w:val="18"/>
              </w:rPr>
              <w:t>Освобождаване на радиочестотната лента 700 MHz</w:t>
            </w:r>
          </w:p>
        </w:tc>
        <w:tc>
          <w:tcPr>
            <w:tcW w:w="1275"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Уведомяване на ЕК;</w:t>
            </w:r>
          </w:p>
        </w:tc>
        <w:tc>
          <w:tcPr>
            <w:tcW w:w="783"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 </w:t>
            </w:r>
          </w:p>
        </w:tc>
        <w:tc>
          <w:tcPr>
            <w:tcW w:w="635"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276"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716"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2020</w:t>
            </w:r>
          </w:p>
        </w:tc>
        <w:tc>
          <w:tcPr>
            <w:tcW w:w="5812" w:type="dxa"/>
            <w:tcBorders>
              <w:top w:val="single" w:sz="4" w:space="0" w:color="auto"/>
              <w:left w:val="single" w:sz="4" w:space="0" w:color="auto"/>
              <w:bottom w:val="single" w:sz="4" w:space="0" w:color="auto"/>
              <w:right w:val="single" w:sz="4" w:space="0" w:color="auto"/>
            </w:tcBorders>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szCs w:val="18"/>
              </w:rPr>
              <w:t>Приключване на процеса на освобождаване на радиочестотната лента 700 MHz в съответствие с Решение (ЕС) 2017/899 на Европейския парламент и на Съвета от 17 май 2017 г. за използването на радиочестотната лента 470-790 MHz в Съюза</w:t>
            </w:r>
          </w:p>
        </w:tc>
      </w:tr>
      <w:tr>
        <w:trPr>
          <w:trHeight w:val="309"/>
        </w:trPr>
        <w:tc>
          <w:tcPr>
            <w:tcW w:w="709"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232</w:t>
            </w:r>
          </w:p>
        </w:tc>
        <w:tc>
          <w:tcPr>
            <w:tcW w:w="851"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C15.R2</w:t>
            </w:r>
          </w:p>
        </w:tc>
        <w:tc>
          <w:tcPr>
            <w:tcW w:w="850"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2694" w:type="dxa"/>
            <w:tcBorders>
              <w:top w:val="single" w:sz="4" w:space="0" w:color="auto"/>
              <w:left w:val="single" w:sz="4" w:space="0" w:color="auto"/>
              <w:bottom w:val="single" w:sz="4" w:space="0" w:color="auto"/>
              <w:right w:val="single" w:sz="4" w:space="0" w:color="auto"/>
            </w:tcBorders>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szCs w:val="18"/>
              </w:rPr>
              <w:t>Предоставяне на радиочестотната лента 700 MHz</w:t>
            </w:r>
          </w:p>
        </w:tc>
        <w:tc>
          <w:tcPr>
            <w:tcW w:w="1275"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Публикуване в Официален вестник</w:t>
            </w:r>
          </w:p>
        </w:tc>
        <w:tc>
          <w:tcPr>
            <w:tcW w:w="783"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 </w:t>
            </w:r>
          </w:p>
        </w:tc>
        <w:tc>
          <w:tcPr>
            <w:tcW w:w="635"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276"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716"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2021</w:t>
            </w:r>
          </w:p>
        </w:tc>
        <w:tc>
          <w:tcPr>
            <w:tcW w:w="5812" w:type="dxa"/>
            <w:tcBorders>
              <w:top w:val="single" w:sz="4" w:space="0" w:color="auto"/>
              <w:left w:val="single" w:sz="4" w:space="0" w:color="auto"/>
              <w:bottom w:val="single" w:sz="4" w:space="0" w:color="auto"/>
              <w:right w:val="single" w:sz="4" w:space="0" w:color="auto"/>
            </w:tcBorders>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Публикуване в Официален вестник на възлагането на радиочестотната лента около 700 MHz в резултат на търга </w:t>
            </w:r>
          </w:p>
        </w:tc>
      </w:tr>
      <w:tr>
        <w:trPr>
          <w:trHeight w:val="309"/>
        </w:trPr>
        <w:tc>
          <w:tcPr>
            <w:tcW w:w="709"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233</w:t>
            </w:r>
          </w:p>
        </w:tc>
        <w:tc>
          <w:tcPr>
            <w:tcW w:w="851"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C15.R2</w:t>
            </w:r>
          </w:p>
        </w:tc>
        <w:tc>
          <w:tcPr>
            <w:tcW w:w="850"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2694" w:type="dxa"/>
            <w:tcBorders>
              <w:top w:val="single" w:sz="4" w:space="0" w:color="auto"/>
              <w:left w:val="single" w:sz="4" w:space="0" w:color="auto"/>
              <w:bottom w:val="single" w:sz="4" w:space="0" w:color="auto"/>
              <w:right w:val="single" w:sz="4" w:space="0" w:color="auto"/>
            </w:tcBorders>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szCs w:val="18"/>
              </w:rPr>
              <w:t>Влизане в сила на правен акт за намаляване на данъчното облагане на радиочестотния спектър от пето поколение (5G)</w:t>
            </w:r>
          </w:p>
        </w:tc>
        <w:tc>
          <w:tcPr>
            <w:tcW w:w="1275"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Разпоредба в правния акт относно влизането в сила</w:t>
            </w:r>
          </w:p>
        </w:tc>
        <w:tc>
          <w:tcPr>
            <w:tcW w:w="783"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 </w:t>
            </w:r>
          </w:p>
        </w:tc>
        <w:tc>
          <w:tcPr>
            <w:tcW w:w="635"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szCs w:val="18"/>
              </w:rPr>
              <w:t> </w:t>
            </w:r>
          </w:p>
        </w:tc>
        <w:tc>
          <w:tcPr>
            <w:tcW w:w="276"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716"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2021</w:t>
            </w:r>
          </w:p>
        </w:tc>
        <w:tc>
          <w:tcPr>
            <w:tcW w:w="5812" w:type="dxa"/>
            <w:tcBorders>
              <w:top w:val="single" w:sz="4" w:space="0" w:color="auto"/>
              <w:left w:val="single" w:sz="4" w:space="0" w:color="auto"/>
              <w:bottom w:val="single" w:sz="4" w:space="0" w:color="auto"/>
              <w:right w:val="single" w:sz="4" w:space="0" w:color="auto"/>
            </w:tcBorders>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szCs w:val="18"/>
              </w:rPr>
              <w:t>Приемане на правен акт за намаляване на данъчното облагане на радиочестотния спектър за 5G, за да се ускори разгръщането на 5G, като се определи съответното ускоряване на разгръщането на 5G, което се очаква от всеки бенефициер. В правния акт се определят необходимите правни и регулаторни мерки за изпълнението на проекта. </w:t>
            </w:r>
          </w:p>
        </w:tc>
      </w:tr>
      <w:tr>
        <w:trPr>
          <w:trHeight w:val="309"/>
        </w:trPr>
        <w:tc>
          <w:tcPr>
            <w:tcW w:w="709"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234</w:t>
            </w:r>
          </w:p>
        </w:tc>
        <w:tc>
          <w:tcPr>
            <w:tcW w:w="851"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C15.R2</w:t>
            </w:r>
          </w:p>
        </w:tc>
        <w:tc>
          <w:tcPr>
            <w:tcW w:w="850"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2694" w:type="dxa"/>
            <w:tcBorders>
              <w:top w:val="single" w:sz="4" w:space="0" w:color="auto"/>
              <w:left w:val="single" w:sz="4" w:space="0" w:color="auto"/>
              <w:bottom w:val="single" w:sz="4" w:space="0" w:color="auto"/>
              <w:right w:val="single" w:sz="4" w:space="0" w:color="auto"/>
            </w:tcBorders>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szCs w:val="18"/>
              </w:rPr>
              <w:t>Предоставяне на 26-гигахерцовия честотен обхват</w:t>
            </w:r>
          </w:p>
        </w:tc>
        <w:tc>
          <w:tcPr>
            <w:tcW w:w="1275"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Публикуване в Официален вестник</w:t>
            </w:r>
          </w:p>
        </w:tc>
        <w:tc>
          <w:tcPr>
            <w:tcW w:w="783"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 </w:t>
            </w:r>
          </w:p>
        </w:tc>
        <w:tc>
          <w:tcPr>
            <w:tcW w:w="635"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276"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716"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2022</w:t>
            </w:r>
          </w:p>
        </w:tc>
        <w:tc>
          <w:tcPr>
            <w:tcW w:w="5812"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56"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Публикуване в Официален вестник на възлагането на радиочестотната лента около 26 GHz в резултат на търга </w:t>
            </w:r>
          </w:p>
        </w:tc>
      </w:tr>
      <w:tr>
        <w:trPr>
          <w:trHeight w:val="309"/>
        </w:trPr>
        <w:tc>
          <w:tcPr>
            <w:tcW w:w="709"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235</w:t>
            </w:r>
          </w:p>
        </w:tc>
        <w:tc>
          <w:tcPr>
            <w:tcW w:w="851"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C15.R2</w:t>
            </w:r>
          </w:p>
        </w:tc>
        <w:tc>
          <w:tcPr>
            <w:tcW w:w="850"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2694" w:type="dxa"/>
            <w:tcBorders>
              <w:top w:val="single" w:sz="4" w:space="0" w:color="auto"/>
              <w:left w:val="single" w:sz="4" w:space="0" w:color="auto"/>
              <w:bottom w:val="single" w:sz="4" w:space="0" w:color="auto"/>
              <w:right w:val="single" w:sz="4" w:space="0" w:color="auto"/>
            </w:tcBorders>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Влизане в сила на Закона за киберсигурността в областта на 5G </w:t>
            </w:r>
          </w:p>
        </w:tc>
        <w:tc>
          <w:tcPr>
            <w:tcW w:w="1275"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Разпоредба от Закона за кибер-сигурността на 5G мрежите относно влизането му в сила </w:t>
            </w:r>
          </w:p>
        </w:tc>
        <w:tc>
          <w:tcPr>
            <w:tcW w:w="783"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 </w:t>
            </w:r>
          </w:p>
        </w:tc>
        <w:tc>
          <w:tcPr>
            <w:tcW w:w="635"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276"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716"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2022</w:t>
            </w:r>
          </w:p>
        </w:tc>
        <w:tc>
          <w:tcPr>
            <w:tcW w:w="5812" w:type="dxa"/>
            <w:tcBorders>
              <w:top w:val="single" w:sz="4" w:space="0" w:color="auto"/>
              <w:left w:val="single" w:sz="4" w:space="0" w:color="auto"/>
              <w:bottom w:val="single" w:sz="4" w:space="0" w:color="auto"/>
              <w:right w:val="single" w:sz="4" w:space="0" w:color="auto"/>
            </w:tcBorders>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szCs w:val="18"/>
              </w:rPr>
              <w:t>Законът за киберсигурността в областта на 5G включва и изпълнява препоръката относно инструментариума на ЕС за киберсигурността на 5G. Законът съдържа най-малко следните характеристики:  —Задължения за диверсификация на веригата на доставки, за да се избегне технологична зависимост;   Задължения за диверсификация на веригата на доставки, за да се избегне технологична зависимост;  —Средства за идентифициране на високорискови и среднорискови търговци и възможни ограничения за тяхното използване.</w:t>
            </w:r>
          </w:p>
        </w:tc>
      </w:tr>
      <w:tr>
        <w:trPr>
          <w:trHeight w:val="309"/>
        </w:trPr>
        <w:tc>
          <w:tcPr>
            <w:tcW w:w="709"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236</w:t>
            </w:r>
          </w:p>
        </w:tc>
        <w:tc>
          <w:tcPr>
            <w:tcW w:w="851"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C15.I1</w:t>
            </w:r>
          </w:p>
        </w:tc>
        <w:tc>
          <w:tcPr>
            <w:tcW w:w="850"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2694" w:type="dxa"/>
            <w:tcBorders>
              <w:top w:val="single" w:sz="4" w:space="0" w:color="auto"/>
              <w:left w:val="single" w:sz="4" w:space="0" w:color="auto"/>
              <w:bottom w:val="single" w:sz="4" w:space="0" w:color="auto"/>
              <w:right w:val="single" w:sz="4" w:space="0" w:color="auto"/>
            </w:tcBorders>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szCs w:val="18"/>
              </w:rPr>
              <w:t>Разгръщане на свръхвисокоскоростен широколентов достъп: възлагане;</w:t>
            </w:r>
          </w:p>
        </w:tc>
        <w:tc>
          <w:tcPr>
            <w:tcW w:w="1275"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Възлагане на проекти</w:t>
            </w:r>
          </w:p>
        </w:tc>
        <w:tc>
          <w:tcPr>
            <w:tcW w:w="783"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 </w:t>
            </w:r>
          </w:p>
        </w:tc>
        <w:tc>
          <w:tcPr>
            <w:tcW w:w="635"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276"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716"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2023</w:t>
            </w:r>
          </w:p>
        </w:tc>
        <w:tc>
          <w:tcPr>
            <w:tcW w:w="5812" w:type="dxa"/>
            <w:tcBorders>
              <w:top w:val="single" w:sz="4" w:space="0" w:color="auto"/>
              <w:left w:val="single" w:sz="4" w:space="0" w:color="auto"/>
              <w:bottom w:val="single" w:sz="4" w:space="0" w:color="auto"/>
              <w:right w:val="single" w:sz="4" w:space="0" w:color="auto"/>
            </w:tcBorders>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szCs w:val="18"/>
              </w:rPr>
              <w:t>Възлагане на всички договори и безвъзмездни средства (общ бюджет в размер на 812 000 000 EUR) и прехвърляне на средства за изпълнение на действия за осигуряване на свръхвисокоскоростна широколентова връзка в бели и сиви райони със симетрична скорост от 300 Mbps, с възможност за надграждане до симетрични 1 Gbps, с изключение на отдалечените селски райони, които се нуждаят от специфични проекти, за които ще бъдат гарантирани поне 100 Mbps.</w:t>
            </w:r>
          </w:p>
        </w:tc>
      </w:tr>
      <w:tr>
        <w:trPr>
          <w:trHeight w:val="309"/>
        </w:trPr>
        <w:tc>
          <w:tcPr>
            <w:tcW w:w="709"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237</w:t>
            </w:r>
          </w:p>
        </w:tc>
        <w:tc>
          <w:tcPr>
            <w:tcW w:w="851"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C15.I1</w:t>
            </w:r>
          </w:p>
        </w:tc>
        <w:tc>
          <w:tcPr>
            <w:tcW w:w="850"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2694" w:type="dxa"/>
            <w:tcBorders>
              <w:top w:val="single" w:sz="4" w:space="0" w:color="auto"/>
              <w:left w:val="single" w:sz="4" w:space="0" w:color="auto"/>
              <w:bottom w:val="single" w:sz="4" w:space="0" w:color="auto"/>
              <w:right w:val="single" w:sz="4" w:space="0" w:color="auto"/>
            </w:tcBorders>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szCs w:val="18"/>
              </w:rPr>
              <w:t>Разгръщане на свръхвисокоскоростен широколентов достъп: Приключване на проект.</w:t>
            </w:r>
          </w:p>
        </w:tc>
        <w:tc>
          <w:tcPr>
            <w:tcW w:w="1275"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Приключване на възложени проекти</w:t>
            </w:r>
          </w:p>
        </w:tc>
        <w:tc>
          <w:tcPr>
            <w:tcW w:w="783"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 </w:t>
            </w:r>
          </w:p>
        </w:tc>
        <w:tc>
          <w:tcPr>
            <w:tcW w:w="635"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276"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716"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2025</w:t>
            </w:r>
          </w:p>
        </w:tc>
        <w:tc>
          <w:tcPr>
            <w:tcW w:w="5812"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56" w:lineRule="auto"/>
              <w:rPr>
                <w:rFonts w:ascii="Times New Roman" w:hAnsi="Times New Roman" w:cs="Times New Roman"/>
                <w:noProof/>
                <w:color w:val="000000" w:themeColor="text1"/>
                <w:sz w:val="18"/>
                <w:szCs w:val="18"/>
              </w:rPr>
            </w:pPr>
            <w:r>
              <w:rPr>
                <w:rFonts w:ascii="Times New Roman" w:hAnsi="Times New Roman"/>
                <w:noProof/>
                <w:color w:val="000000"/>
                <w:sz w:val="18"/>
                <w:szCs w:val="18"/>
              </w:rPr>
              <w:t>Приключване на проектите за разгръщане на свръхвисокоскоростен широколентов достъп в съответствие с критериите, определени при възлагането на програмата (етап #236).</w:t>
            </w:r>
          </w:p>
        </w:tc>
      </w:tr>
      <w:tr>
        <w:trPr>
          <w:trHeight w:val="309"/>
        </w:trPr>
        <w:tc>
          <w:tcPr>
            <w:tcW w:w="709"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238</w:t>
            </w:r>
          </w:p>
        </w:tc>
        <w:tc>
          <w:tcPr>
            <w:tcW w:w="851"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C15.I2</w:t>
            </w:r>
          </w:p>
        </w:tc>
        <w:tc>
          <w:tcPr>
            <w:tcW w:w="850"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T</w:t>
            </w:r>
          </w:p>
        </w:tc>
        <w:tc>
          <w:tcPr>
            <w:tcW w:w="2694" w:type="dxa"/>
            <w:tcBorders>
              <w:top w:val="single" w:sz="4" w:space="0" w:color="auto"/>
              <w:left w:val="single" w:sz="4" w:space="0" w:color="auto"/>
              <w:bottom w:val="single" w:sz="4" w:space="0" w:color="auto"/>
              <w:right w:val="single" w:sz="4" w:space="0" w:color="auto"/>
            </w:tcBorders>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Подобряване на свързаността в ключови центрове и сектори </w:t>
            </w:r>
          </w:p>
        </w:tc>
        <w:tc>
          <w:tcPr>
            <w:tcW w:w="1275"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w:t>
            </w:r>
          </w:p>
        </w:tc>
        <w:tc>
          <w:tcPr>
            <w:tcW w:w="783"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Номер</w:t>
            </w:r>
          </w:p>
        </w:tc>
        <w:tc>
          <w:tcPr>
            <w:tcW w:w="635"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szCs w:val="18"/>
              </w:rPr>
              <w:t>ex 2207 16 100</w:t>
            </w:r>
          </w:p>
        </w:tc>
        <w:tc>
          <w:tcPr>
            <w:tcW w:w="276"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716"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2023</w:t>
            </w:r>
          </w:p>
        </w:tc>
        <w:tc>
          <w:tcPr>
            <w:tcW w:w="5812" w:type="dxa"/>
            <w:tcBorders>
              <w:top w:val="single" w:sz="4" w:space="0" w:color="auto"/>
              <w:left w:val="single" w:sz="4" w:space="0" w:color="auto"/>
              <w:bottom w:val="single" w:sz="4" w:space="0" w:color="auto"/>
              <w:right w:val="single" w:sz="4" w:space="0" w:color="auto"/>
            </w:tcBorders>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szCs w:val="18"/>
              </w:rPr>
              <w:t>Брой на субектите, които са модернизирани до скорост на 1-гигабитова свързаност:</w:t>
            </w:r>
            <w:r>
              <w:rPr>
                <w:rFonts w:ascii="Times New Roman" w:hAnsi="Times New Roman"/>
                <w:noProof/>
                <w:color w:val="000000"/>
                <w:sz w:val="18"/>
                <w:szCs w:val="18"/>
              </w:rPr>
              <w:br/>
              <w:t>— най-малко 9 000 обществени центъра и служби, като например центрове за обществено здравеопазване, центрове за образование и обучение и центрове за научноизследователска и развойна дейност;</w:t>
            </w:r>
            <w:r>
              <w:rPr>
                <w:rFonts w:ascii="Times New Roman" w:hAnsi="Times New Roman"/>
                <w:noProof/>
                <w:color w:val="000000"/>
                <w:sz w:val="18"/>
                <w:szCs w:val="18"/>
              </w:rPr>
              <w:br/>
              <w:t>— най-малко 1 600 малки промишлени и стопански обекта;</w:t>
            </w:r>
            <w:r>
              <w:rPr>
                <w:rFonts w:ascii="Times New Roman" w:hAnsi="Times New Roman"/>
                <w:noProof/>
                <w:color w:val="000000"/>
                <w:sz w:val="18"/>
                <w:szCs w:val="18"/>
              </w:rPr>
              <w:br/>
              <w:t>— най-малко 5 500 проекта за цифровизация (здравеопазване, хранително-вкусова промишленост, мобилност, туризъм, промишленост, търговия и др.).</w:t>
            </w:r>
          </w:p>
        </w:tc>
      </w:tr>
      <w:tr>
        <w:trPr>
          <w:trHeight w:val="309"/>
        </w:trPr>
        <w:tc>
          <w:tcPr>
            <w:tcW w:w="709"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239</w:t>
            </w:r>
          </w:p>
        </w:tc>
        <w:tc>
          <w:tcPr>
            <w:tcW w:w="851"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C15.I3</w:t>
            </w:r>
          </w:p>
        </w:tc>
        <w:tc>
          <w:tcPr>
            <w:tcW w:w="850"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T</w:t>
            </w:r>
          </w:p>
        </w:tc>
        <w:tc>
          <w:tcPr>
            <w:tcW w:w="2694" w:type="dxa"/>
            <w:tcBorders>
              <w:top w:val="single" w:sz="4" w:space="0" w:color="auto"/>
              <w:left w:val="single" w:sz="4" w:space="0" w:color="auto"/>
              <w:bottom w:val="single" w:sz="4" w:space="0" w:color="auto"/>
              <w:right w:val="single" w:sz="4" w:space="0" w:color="auto"/>
            </w:tcBorders>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Ваучери за свързаност за МСП и уязвимите групи </w:t>
            </w:r>
          </w:p>
        </w:tc>
        <w:tc>
          <w:tcPr>
            <w:tcW w:w="1275"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w:t>
            </w:r>
          </w:p>
        </w:tc>
        <w:tc>
          <w:tcPr>
            <w:tcW w:w="783"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Номер</w:t>
            </w:r>
          </w:p>
        </w:tc>
        <w:tc>
          <w:tcPr>
            <w:tcW w:w="635"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szCs w:val="18"/>
              </w:rPr>
              <w:t>136 000</w:t>
            </w:r>
          </w:p>
        </w:tc>
        <w:tc>
          <w:tcPr>
            <w:tcW w:w="276"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716"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2023</w:t>
            </w:r>
          </w:p>
        </w:tc>
        <w:tc>
          <w:tcPr>
            <w:tcW w:w="5812" w:type="dxa"/>
            <w:tcBorders>
              <w:top w:val="single" w:sz="4" w:space="0" w:color="auto"/>
              <w:left w:val="single" w:sz="4" w:space="0" w:color="auto"/>
              <w:bottom w:val="single" w:sz="4" w:space="0" w:color="auto"/>
              <w:right w:val="single" w:sz="4" w:space="0" w:color="auto"/>
            </w:tcBorders>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szCs w:val="18"/>
              </w:rPr>
              <w:t>Най-малко 125 000 ваучера за свързаност за физически лица или семейства, определени като „уязвими“ (за придобиване на пакет за широколентова връзка с най-подходящата технология) и най-малко 11 000 ваучера за свързаност за МСП (ваучерите се състоят от два отделни елемента – свързаност със скорост 100 Mbps и набор от услуги с добавена стойност – VPN, киберсигурност).</w:t>
            </w:r>
          </w:p>
        </w:tc>
      </w:tr>
      <w:tr>
        <w:trPr>
          <w:trHeight w:val="309"/>
        </w:trPr>
        <w:tc>
          <w:tcPr>
            <w:tcW w:w="709"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240</w:t>
            </w:r>
          </w:p>
        </w:tc>
        <w:tc>
          <w:tcPr>
            <w:tcW w:w="851"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C15.I4</w:t>
            </w:r>
          </w:p>
        </w:tc>
        <w:tc>
          <w:tcPr>
            <w:tcW w:w="850"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T</w:t>
            </w:r>
          </w:p>
        </w:tc>
        <w:tc>
          <w:tcPr>
            <w:tcW w:w="2694" w:type="dxa"/>
            <w:tcBorders>
              <w:top w:val="single" w:sz="4" w:space="0" w:color="auto"/>
              <w:left w:val="single" w:sz="4" w:space="0" w:color="auto"/>
              <w:bottom w:val="single" w:sz="4" w:space="0" w:color="auto"/>
              <w:right w:val="single" w:sz="4" w:space="0" w:color="auto"/>
            </w:tcBorders>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szCs w:val="18"/>
              </w:rPr>
              <w:t>Адаптиране на телекомуникационната инфраструктура в сградите</w:t>
            </w:r>
          </w:p>
        </w:tc>
        <w:tc>
          <w:tcPr>
            <w:tcW w:w="1275"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w:t>
            </w:r>
          </w:p>
        </w:tc>
        <w:tc>
          <w:tcPr>
            <w:tcW w:w="783"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Номер</w:t>
            </w:r>
          </w:p>
        </w:tc>
        <w:tc>
          <w:tcPr>
            <w:tcW w:w="635"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szCs w:val="18"/>
              </w:rPr>
              <w:t>13 600</w:t>
            </w:r>
          </w:p>
        </w:tc>
        <w:tc>
          <w:tcPr>
            <w:tcW w:w="276"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716"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2023</w:t>
            </w:r>
          </w:p>
        </w:tc>
        <w:tc>
          <w:tcPr>
            <w:tcW w:w="5812" w:type="dxa"/>
            <w:tcBorders>
              <w:top w:val="single" w:sz="4" w:space="0" w:color="auto"/>
              <w:left w:val="single" w:sz="4" w:space="0" w:color="auto"/>
              <w:bottom w:val="single" w:sz="4" w:space="0" w:color="auto"/>
              <w:right w:val="single" w:sz="4" w:space="0" w:color="auto"/>
            </w:tcBorders>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szCs w:val="18"/>
              </w:rPr>
              <w:t>Работи, завършени в най-малко 13 600 сгради за подобряване на тяхната обща мрежова инфраструктура на равнището на мрежи с много голям капацитет.</w:t>
            </w:r>
          </w:p>
        </w:tc>
      </w:tr>
      <w:tr>
        <w:trPr>
          <w:trHeight w:val="309"/>
        </w:trPr>
        <w:tc>
          <w:tcPr>
            <w:tcW w:w="709"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241</w:t>
            </w:r>
          </w:p>
        </w:tc>
        <w:tc>
          <w:tcPr>
            <w:tcW w:w="851"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C15.I5</w:t>
            </w:r>
          </w:p>
        </w:tc>
        <w:tc>
          <w:tcPr>
            <w:tcW w:w="850"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2694" w:type="dxa"/>
            <w:tcBorders>
              <w:top w:val="single" w:sz="4" w:space="0" w:color="auto"/>
              <w:left w:val="single" w:sz="4" w:space="0" w:color="auto"/>
              <w:bottom w:val="single" w:sz="4" w:space="0" w:color="auto"/>
              <w:right w:val="single" w:sz="4" w:space="0" w:color="auto"/>
            </w:tcBorders>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szCs w:val="18"/>
              </w:rPr>
              <w:t>Подобряване на трансграничната цифрова инфраструктура: възлагане;</w:t>
            </w:r>
          </w:p>
        </w:tc>
        <w:tc>
          <w:tcPr>
            <w:tcW w:w="1275"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Официално публикуване на възлагането на проектите  </w:t>
            </w:r>
          </w:p>
        </w:tc>
        <w:tc>
          <w:tcPr>
            <w:tcW w:w="783"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 </w:t>
            </w:r>
          </w:p>
        </w:tc>
        <w:tc>
          <w:tcPr>
            <w:tcW w:w="635"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276"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T2</w:t>
            </w:r>
          </w:p>
        </w:tc>
        <w:tc>
          <w:tcPr>
            <w:tcW w:w="716"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2023</w:t>
            </w:r>
          </w:p>
        </w:tc>
        <w:tc>
          <w:tcPr>
            <w:tcW w:w="5812" w:type="dxa"/>
            <w:tcBorders>
              <w:top w:val="single" w:sz="4" w:space="0" w:color="auto"/>
              <w:left w:val="single" w:sz="4" w:space="0" w:color="auto"/>
              <w:bottom w:val="single" w:sz="4" w:space="0" w:color="auto"/>
              <w:right w:val="single" w:sz="4" w:space="0" w:color="auto"/>
            </w:tcBorders>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Възлагане на всички договори и безвъзмездни средства за проектите (общ бюджет на поканата за представяне на проекти в размер на 500 000 000 EUR) и прехвърляне на средства за изпълнение на дейностите за: а) за подводни кабели и свързване на инфраструктурата за изчисления в облак/данни; б) относно проекти за ново поколение инфраструктури и услуги „в облак„и „Edge“; в) относно проекти за усъвършенстван процесор и полупроводници; и г) относно проекти за научноизследователска и развойна дейност (R &amp; amp);D &amp;I за укрепване на способностите за квантови комуникации и сигурни сателитни комуникации </w:t>
            </w:r>
          </w:p>
        </w:tc>
      </w:tr>
      <w:tr>
        <w:trPr>
          <w:trHeight w:val="309"/>
        </w:trPr>
        <w:tc>
          <w:tcPr>
            <w:tcW w:w="709"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242</w:t>
            </w:r>
          </w:p>
        </w:tc>
        <w:tc>
          <w:tcPr>
            <w:tcW w:w="851"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C15.I5</w:t>
            </w:r>
          </w:p>
        </w:tc>
        <w:tc>
          <w:tcPr>
            <w:tcW w:w="850"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2694" w:type="dxa"/>
            <w:tcBorders>
              <w:top w:val="single" w:sz="4" w:space="0" w:color="auto"/>
              <w:left w:val="single" w:sz="4" w:space="0" w:color="auto"/>
              <w:bottom w:val="single" w:sz="4" w:space="0" w:color="auto"/>
              <w:right w:val="single" w:sz="4" w:space="0" w:color="auto"/>
            </w:tcBorders>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szCs w:val="18"/>
              </w:rPr>
              <w:t>Подобряване на трансграничната цифрова инфраструктура: приключване на проекта</w:t>
            </w:r>
          </w:p>
        </w:tc>
        <w:tc>
          <w:tcPr>
            <w:tcW w:w="1275"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Приключване на възложени проекти</w:t>
            </w:r>
          </w:p>
        </w:tc>
        <w:tc>
          <w:tcPr>
            <w:tcW w:w="783"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 </w:t>
            </w:r>
          </w:p>
        </w:tc>
        <w:tc>
          <w:tcPr>
            <w:tcW w:w="635"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276"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716"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2025</w:t>
            </w:r>
          </w:p>
        </w:tc>
        <w:tc>
          <w:tcPr>
            <w:tcW w:w="5812" w:type="dxa"/>
            <w:tcBorders>
              <w:top w:val="single" w:sz="4" w:space="0" w:color="auto"/>
              <w:left w:val="single" w:sz="4" w:space="0" w:color="auto"/>
              <w:bottom w:val="single" w:sz="4" w:space="0" w:color="auto"/>
              <w:right w:val="single" w:sz="4" w:space="0" w:color="auto"/>
            </w:tcBorders>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Приключване на проектите (възложено на етап #241) за а) за подводни кабели и свързване на инфраструктурата за изчисления в облак/данни; б) относно проекти „Ново поколение инфраструктури и услуги в облак„и „Edge“; в) относно проекти за усъвършенстван процесор и полупроводници; и г) относно проекти за научноизследователска и развойна дейност (R &amp; amp);D &amp;I за укрепване на способностите за квантови комуникации и сигурни сателитни комуникации </w:t>
            </w:r>
          </w:p>
        </w:tc>
      </w:tr>
      <w:tr>
        <w:trPr>
          <w:trHeight w:val="309"/>
        </w:trPr>
        <w:tc>
          <w:tcPr>
            <w:tcW w:w="709"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243</w:t>
            </w:r>
          </w:p>
        </w:tc>
        <w:tc>
          <w:tcPr>
            <w:tcW w:w="851"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C15.I6</w:t>
            </w:r>
          </w:p>
        </w:tc>
        <w:tc>
          <w:tcPr>
            <w:tcW w:w="850"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2694" w:type="dxa"/>
            <w:tcBorders>
              <w:top w:val="single" w:sz="4" w:space="0" w:color="auto"/>
              <w:left w:val="single" w:sz="4" w:space="0" w:color="auto"/>
              <w:bottom w:val="single" w:sz="4" w:space="0" w:color="auto"/>
              <w:right w:val="single" w:sz="4" w:space="0" w:color="auto"/>
            </w:tcBorders>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szCs w:val="18"/>
              </w:rPr>
              <w:t>Внедряване на 5G технология: възлагане;</w:t>
            </w:r>
          </w:p>
        </w:tc>
        <w:tc>
          <w:tcPr>
            <w:tcW w:w="1275"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Официално публикуване на възлагането на проектите</w:t>
            </w:r>
          </w:p>
        </w:tc>
        <w:tc>
          <w:tcPr>
            <w:tcW w:w="783"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szCs w:val="18"/>
              </w:rPr>
              <w:t> </w:t>
            </w:r>
          </w:p>
        </w:tc>
        <w:tc>
          <w:tcPr>
            <w:tcW w:w="635"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276"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716"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2023</w:t>
            </w:r>
          </w:p>
        </w:tc>
        <w:tc>
          <w:tcPr>
            <w:tcW w:w="5812" w:type="dxa"/>
            <w:tcBorders>
              <w:top w:val="single" w:sz="4" w:space="0" w:color="auto"/>
              <w:left w:val="single" w:sz="4" w:space="0" w:color="auto"/>
              <w:bottom w:val="single" w:sz="4" w:space="0" w:color="auto"/>
              <w:right w:val="single" w:sz="4" w:space="0" w:color="auto"/>
            </w:tcBorders>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Възлагане на всички договори и безвъзмездни средства за проектите (общ бюджет на проектите в размер на 1 405 000 000 EUR) и прехвърляне на средства за изпълнение на дейностите за: а) разгръщане на 5G по основните национални (в определени области) и трансгранични транспортни коридори (4 000 обекта); б) разгръщане на 5G в определени райони с цел постигане на 75 % покритие на населението до 2025 г. в преференциалните ленти 5G (7 000 нови 5G обекта и 3 500 обекта, модернизирани до 5G свързаност); в) внедряване на 5G в ключови икономически дейности – основни услуги (43 проекта за свързаност); и г) подкрепа за свързаните с 5G и 6G научни изследвания и развойна дейност за иновационни екосистеми (200 проекта) и 5G екосистеми за киберсигурност. </w:t>
            </w:r>
          </w:p>
        </w:tc>
      </w:tr>
      <w:tr>
        <w:trPr>
          <w:trHeight w:val="309"/>
        </w:trPr>
        <w:tc>
          <w:tcPr>
            <w:tcW w:w="709"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244</w:t>
            </w:r>
          </w:p>
        </w:tc>
        <w:tc>
          <w:tcPr>
            <w:tcW w:w="851"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C15.I6</w:t>
            </w:r>
          </w:p>
        </w:tc>
        <w:tc>
          <w:tcPr>
            <w:tcW w:w="850"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2694" w:type="dxa"/>
            <w:tcBorders>
              <w:top w:val="single" w:sz="4" w:space="0" w:color="auto"/>
              <w:left w:val="single" w:sz="4" w:space="0" w:color="auto"/>
              <w:bottom w:val="single" w:sz="4" w:space="0" w:color="auto"/>
              <w:right w:val="single" w:sz="4" w:space="0" w:color="auto"/>
            </w:tcBorders>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szCs w:val="18"/>
              </w:rPr>
              <w:t>Внедряване на 5G технология: Приключване на проект.</w:t>
            </w:r>
          </w:p>
        </w:tc>
        <w:tc>
          <w:tcPr>
            <w:tcW w:w="1275"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Приключване на възложени проекти</w:t>
            </w:r>
          </w:p>
        </w:tc>
        <w:tc>
          <w:tcPr>
            <w:tcW w:w="783"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635"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276"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716"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2025</w:t>
            </w:r>
          </w:p>
        </w:tc>
        <w:tc>
          <w:tcPr>
            <w:tcW w:w="5812"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56" w:lineRule="auto"/>
              <w:rPr>
                <w:rFonts w:ascii="Times New Roman" w:hAnsi="Times New Roman" w:cs="Times New Roman"/>
                <w:noProof/>
                <w:color w:val="000000" w:themeColor="text1"/>
                <w:sz w:val="18"/>
                <w:szCs w:val="18"/>
              </w:rPr>
            </w:pPr>
            <w:r>
              <w:rPr>
                <w:rFonts w:ascii="Times New Roman" w:hAnsi="Times New Roman"/>
                <w:noProof/>
                <w:color w:val="000000"/>
                <w:sz w:val="18"/>
                <w:szCs w:val="18"/>
              </w:rPr>
              <w:t>Приключване на проектите за а) внедряване на 5G на основната национална територия (в определени райони) и трансгранични транспортни коридори (4 000 обекта); б) разгръщане на 5G в определени райони с цел постигане на 75 % покритие на населението до 2025 г. в преференциалните ленти 5G (7 000 нови 5G обекта и 3 500 обекта, модернизирани до 5G свързаност); в) внедряване на 5G в ключови икономически дейности – основни услуги (43 проекта за свързаност); и г) подкрепа за свързаните с 5G и 6G научни изследвания и развойна дейност за иновационни екосистеми (200 проекта) и 5G екосистеми за киберсигурност. Проектите се изпълняват в съответствие с критериите, определени при възлагането на програмата (етап 243).</w:t>
            </w:r>
          </w:p>
        </w:tc>
      </w:tr>
      <w:tr>
        <w:trPr>
          <w:trHeight w:val="309"/>
        </w:trPr>
        <w:tc>
          <w:tcPr>
            <w:tcW w:w="709"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245</w:t>
            </w:r>
          </w:p>
        </w:tc>
        <w:tc>
          <w:tcPr>
            <w:tcW w:w="851"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C15.I7</w:t>
            </w:r>
          </w:p>
        </w:tc>
        <w:tc>
          <w:tcPr>
            <w:tcW w:w="850"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2694" w:type="dxa"/>
            <w:tcBorders>
              <w:top w:val="single" w:sz="4" w:space="0" w:color="auto"/>
              <w:left w:val="single" w:sz="4" w:space="0" w:color="auto"/>
              <w:bottom w:val="single" w:sz="4" w:space="0" w:color="auto"/>
              <w:right w:val="single" w:sz="4" w:space="0" w:color="auto"/>
            </w:tcBorders>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szCs w:val="18"/>
              </w:rPr>
              <w:t>Стартиране на националната програма за подкрепа на сектора на киберсигурността, Програмата за иновации в областта на глобалната сигурност и свързаните с нея действия.</w:t>
            </w:r>
          </w:p>
        </w:tc>
        <w:tc>
          <w:tcPr>
            <w:tcW w:w="1275"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Публикуване на програмите</w:t>
            </w:r>
          </w:p>
        </w:tc>
        <w:tc>
          <w:tcPr>
            <w:tcW w:w="783"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szCs w:val="18"/>
              </w:rPr>
              <w:t> </w:t>
            </w:r>
          </w:p>
        </w:tc>
        <w:tc>
          <w:tcPr>
            <w:tcW w:w="635"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szCs w:val="18"/>
              </w:rPr>
              <w:t> </w:t>
            </w:r>
          </w:p>
        </w:tc>
        <w:tc>
          <w:tcPr>
            <w:tcW w:w="276"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Q4</w:t>
            </w:r>
          </w:p>
        </w:tc>
        <w:tc>
          <w:tcPr>
            <w:tcW w:w="716"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2022</w:t>
            </w:r>
          </w:p>
        </w:tc>
        <w:tc>
          <w:tcPr>
            <w:tcW w:w="5812" w:type="dxa"/>
            <w:tcBorders>
              <w:top w:val="single" w:sz="4" w:space="0" w:color="auto"/>
              <w:left w:val="single" w:sz="4" w:space="0" w:color="auto"/>
              <w:bottom w:val="single" w:sz="4" w:space="0" w:color="auto"/>
              <w:right w:val="single" w:sz="4" w:space="0" w:color="auto"/>
            </w:tcBorders>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szCs w:val="18"/>
              </w:rPr>
              <w:t>Стартиране на националната програма за подкрепа на сектора на киберсигурността и на Програмата за иновации в областта на киберсигурността и други свързани с нея действия (с общ бюджет в размер на 418 000 000 EUR), които действат по ключови аспекти на сектора, като например</w:t>
            </w:r>
            <w:r>
              <w:rPr>
                <w:rFonts w:ascii="Times New Roman" w:hAnsi="Times New Roman"/>
                <w:noProof/>
                <w:color w:val="000000"/>
                <w:sz w:val="18"/>
                <w:szCs w:val="18"/>
              </w:rPr>
              <w:br/>
              <w:t>– насърчаване на националния сектор на киберсигурността с цел създаване, растеж и развитие на предприятия в този сектор</w:t>
            </w:r>
            <w:r>
              <w:rPr>
                <w:rFonts w:ascii="Times New Roman" w:hAnsi="Times New Roman"/>
                <w:noProof/>
                <w:color w:val="000000"/>
                <w:sz w:val="18"/>
                <w:szCs w:val="18"/>
              </w:rPr>
              <w:br/>
              <w:t>– разработване на решения и услуги с висока добавена стойност в областта на киберсигурността</w:t>
            </w:r>
            <w:r>
              <w:rPr>
                <w:rFonts w:ascii="Times New Roman" w:hAnsi="Times New Roman"/>
                <w:noProof/>
                <w:color w:val="000000"/>
                <w:sz w:val="18"/>
                <w:szCs w:val="18"/>
              </w:rPr>
              <w:br/>
              <w:t>– обучение и развитие на таланти, специализирани в областта на киберсигурността</w:t>
            </w:r>
            <w:r>
              <w:rPr>
                <w:rFonts w:ascii="Times New Roman" w:hAnsi="Times New Roman"/>
                <w:noProof/>
                <w:color w:val="000000"/>
                <w:sz w:val="18"/>
                <w:szCs w:val="18"/>
              </w:rPr>
              <w:br/>
              <w:t>– действия за интернационализация в областта на киберсигурността</w:t>
            </w:r>
            <w:r>
              <w:rPr>
                <w:rFonts w:ascii="Times New Roman" w:hAnsi="Times New Roman"/>
                <w:noProof/>
                <w:color w:val="000000"/>
                <w:sz w:val="18"/>
                <w:szCs w:val="18"/>
              </w:rPr>
              <w:br/>
              <w:t>– създаване на демонстрационен център за развитие на инфраструктурата в областта на киберсигурността и създаване на нови услуги в областта на киберсигурността, включително лаборатории за изпитвания и симулатори на атаки в областта на киберсигурността</w:t>
            </w:r>
            <w:r>
              <w:rPr>
                <w:rFonts w:ascii="Times New Roman" w:hAnsi="Times New Roman"/>
                <w:noProof/>
                <w:color w:val="000000"/>
                <w:sz w:val="18"/>
                <w:szCs w:val="18"/>
              </w:rPr>
              <w:br/>
              <w:t>– разработване на сертификати за маркировка за киберсигурност.</w:t>
            </w:r>
          </w:p>
        </w:tc>
      </w:tr>
      <w:tr>
        <w:trPr>
          <w:trHeight w:val="309"/>
        </w:trPr>
        <w:tc>
          <w:tcPr>
            <w:tcW w:w="709"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246</w:t>
            </w:r>
          </w:p>
        </w:tc>
        <w:tc>
          <w:tcPr>
            <w:tcW w:w="851"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C15.I7</w:t>
            </w:r>
          </w:p>
        </w:tc>
        <w:tc>
          <w:tcPr>
            <w:tcW w:w="850"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T</w:t>
            </w:r>
          </w:p>
        </w:tc>
        <w:tc>
          <w:tcPr>
            <w:tcW w:w="2694" w:type="dxa"/>
            <w:tcBorders>
              <w:top w:val="single" w:sz="4" w:space="0" w:color="auto"/>
              <w:left w:val="single" w:sz="4" w:space="0" w:color="auto"/>
              <w:bottom w:val="single" w:sz="4" w:space="0" w:color="auto"/>
              <w:right w:val="single" w:sz="4" w:space="0" w:color="auto"/>
            </w:tcBorders>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szCs w:val="18"/>
              </w:rPr>
              <w:t>Укрепване и подобряване на капацитета за киберсигурност: Ресурси</w:t>
            </w:r>
          </w:p>
        </w:tc>
        <w:tc>
          <w:tcPr>
            <w:tcW w:w="1275"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w:t>
            </w:r>
          </w:p>
        </w:tc>
        <w:tc>
          <w:tcPr>
            <w:tcW w:w="783"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szCs w:val="18"/>
              </w:rPr>
              <w:t>Номер</w:t>
            </w:r>
          </w:p>
        </w:tc>
        <w:tc>
          <w:tcPr>
            <w:tcW w:w="635"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szCs w:val="18"/>
              </w:rPr>
              <w:t>100</w:t>
            </w:r>
          </w:p>
        </w:tc>
        <w:tc>
          <w:tcPr>
            <w:tcW w:w="276"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716"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2023</w:t>
            </w:r>
          </w:p>
        </w:tc>
        <w:tc>
          <w:tcPr>
            <w:tcW w:w="5812" w:type="dxa"/>
            <w:tcBorders>
              <w:top w:val="single" w:sz="4" w:space="0" w:color="auto"/>
              <w:left w:val="single" w:sz="4" w:space="0" w:color="auto"/>
              <w:bottom w:val="single" w:sz="4" w:space="0" w:color="auto"/>
              <w:right w:val="single" w:sz="4" w:space="0" w:color="auto"/>
            </w:tcBorders>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szCs w:val="18"/>
              </w:rPr>
              <w:t>Укрепване и подобряване на капацитета за киберсигурност чрез предоставяне на най-малко 100 ресурса за действия за повишаване на осведомеността и комуникация в областта на киберсигурността. Цифровите умения в областта на киберсигурността се развиват на всички образователни равнища чрез разработването на специфични ресурси, инструменти и материали. Освен това се създава международен център в областта на киберсигурността, който участва в Европейската мрежа на центровете за киберсигурност.</w:t>
            </w:r>
          </w:p>
        </w:tc>
      </w:tr>
      <w:tr>
        <w:trPr>
          <w:trHeight w:val="309"/>
        </w:trPr>
        <w:tc>
          <w:tcPr>
            <w:tcW w:w="709"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cs="Times New Roman"/>
                <w:noProof/>
                <w:color w:val="000000" w:themeColor="text1"/>
                <w:sz w:val="18"/>
                <w:szCs w:val="18"/>
              </w:rPr>
            </w:pPr>
            <w:r>
              <w:rPr>
                <w:rFonts w:ascii="Times New Roman" w:hAnsi="Times New Roman"/>
                <w:noProof/>
                <w:color w:val="000000"/>
                <w:sz w:val="18"/>
                <w:szCs w:val="18"/>
              </w:rPr>
              <w:t>247</w:t>
            </w:r>
          </w:p>
        </w:tc>
        <w:tc>
          <w:tcPr>
            <w:tcW w:w="851"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cs="Times New Roman"/>
                <w:noProof/>
                <w:color w:val="000000" w:themeColor="text1"/>
                <w:sz w:val="18"/>
                <w:szCs w:val="18"/>
              </w:rPr>
            </w:pPr>
            <w:r>
              <w:rPr>
                <w:rFonts w:ascii="Times New Roman" w:hAnsi="Times New Roman"/>
                <w:noProof/>
                <w:color w:val="000000"/>
                <w:sz w:val="18"/>
                <w:szCs w:val="18"/>
              </w:rPr>
              <w:t>C15.I7</w:t>
            </w:r>
          </w:p>
        </w:tc>
        <w:tc>
          <w:tcPr>
            <w:tcW w:w="850"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cs="Times New Roman"/>
                <w:noProof/>
                <w:color w:val="000000" w:themeColor="text1"/>
                <w:sz w:val="18"/>
                <w:szCs w:val="18"/>
              </w:rPr>
            </w:pPr>
            <w:r>
              <w:rPr>
                <w:rFonts w:ascii="Times New Roman" w:hAnsi="Times New Roman"/>
                <w:noProof/>
                <w:color w:val="000000"/>
                <w:sz w:val="18"/>
                <w:szCs w:val="18"/>
              </w:rPr>
              <w:t>T</w:t>
            </w:r>
          </w:p>
        </w:tc>
        <w:tc>
          <w:tcPr>
            <w:tcW w:w="2694" w:type="dxa"/>
            <w:tcBorders>
              <w:top w:val="single" w:sz="4" w:space="0" w:color="auto"/>
              <w:left w:val="single" w:sz="4" w:space="0" w:color="auto"/>
              <w:bottom w:val="single" w:sz="4" w:space="0" w:color="auto"/>
              <w:right w:val="single" w:sz="4" w:space="0" w:color="auto"/>
            </w:tcBorders>
            <w:shd w:val="clear" w:color="auto" w:fill="C6EFCE"/>
            <w:noWrap/>
          </w:tcPr>
          <w:p>
            <w:pPr>
              <w:spacing w:after="0"/>
              <w:rPr>
                <w:rFonts w:ascii="Times New Roman" w:hAnsi="Times New Roman" w:cs="Times New Roman"/>
                <w:noProof/>
                <w:color w:val="000000" w:themeColor="text1"/>
                <w:sz w:val="18"/>
                <w:szCs w:val="18"/>
              </w:rPr>
            </w:pPr>
            <w:r>
              <w:rPr>
                <w:rFonts w:ascii="Times New Roman" w:hAnsi="Times New Roman"/>
                <w:noProof/>
                <w:color w:val="000000"/>
                <w:sz w:val="18"/>
                <w:szCs w:val="18"/>
              </w:rPr>
              <w:t>Укрепване и подобряване на капацитета за киберсигурност: Линия за помощ в областта на киберсигурността</w:t>
            </w:r>
          </w:p>
        </w:tc>
        <w:tc>
          <w:tcPr>
            <w:tcW w:w="1275"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cs="Times New Roman"/>
                <w:noProof/>
                <w:color w:val="000000" w:themeColor="text1"/>
                <w:sz w:val="18"/>
                <w:szCs w:val="18"/>
              </w:rPr>
            </w:pPr>
            <w:r>
              <w:rPr>
                <w:rFonts w:ascii="Times New Roman" w:hAnsi="Times New Roman"/>
                <w:noProof/>
                <w:color w:val="000000"/>
                <w:sz w:val="18"/>
                <w:szCs w:val="18"/>
              </w:rPr>
              <w:t> </w:t>
            </w:r>
          </w:p>
        </w:tc>
        <w:tc>
          <w:tcPr>
            <w:tcW w:w="783"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right"/>
              <w:rPr>
                <w:rFonts w:ascii="Times New Roman" w:hAnsi="Times New Roman" w:cs="Times New Roman"/>
                <w:noProof/>
                <w:color w:val="000000"/>
                <w:sz w:val="18"/>
                <w:szCs w:val="18"/>
              </w:rPr>
            </w:pPr>
            <w:r>
              <w:rPr>
                <w:rFonts w:ascii="Times New Roman" w:hAnsi="Times New Roman"/>
                <w:noProof/>
                <w:color w:val="000000"/>
                <w:sz w:val="18"/>
                <w:szCs w:val="18"/>
              </w:rPr>
              <w:t>Номер</w:t>
            </w:r>
          </w:p>
        </w:tc>
        <w:tc>
          <w:tcPr>
            <w:tcW w:w="635"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right"/>
              <w:rPr>
                <w:rFonts w:ascii="Times New Roman" w:hAnsi="Times New Roman" w:cs="Times New Roman"/>
                <w:noProof/>
                <w:color w:val="000000"/>
                <w:sz w:val="18"/>
                <w:szCs w:val="18"/>
              </w:rPr>
            </w:pPr>
            <w:r>
              <w:rPr>
                <w:rFonts w:ascii="Times New Roman" w:hAnsi="Times New Roman"/>
                <w:noProof/>
                <w:color w:val="000000"/>
                <w:sz w:val="18"/>
                <w:szCs w:val="18"/>
              </w:rPr>
              <w:t>5 000</w:t>
            </w:r>
          </w:p>
        </w:tc>
        <w:tc>
          <w:tcPr>
            <w:tcW w:w="709"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right"/>
              <w:rPr>
                <w:rFonts w:ascii="Times New Roman" w:hAnsi="Times New Roman" w:cs="Times New Roman"/>
                <w:noProof/>
                <w:color w:val="000000"/>
                <w:sz w:val="18"/>
                <w:szCs w:val="18"/>
              </w:rPr>
            </w:pPr>
            <w:r>
              <w:rPr>
                <w:rFonts w:ascii="Times New Roman" w:hAnsi="Times New Roman"/>
                <w:noProof/>
                <w:color w:val="000000"/>
                <w:sz w:val="18"/>
                <w:szCs w:val="18"/>
              </w:rPr>
              <w:t>20 000</w:t>
            </w:r>
          </w:p>
        </w:tc>
        <w:tc>
          <w:tcPr>
            <w:tcW w:w="276"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cs="Times New Roman"/>
                <w:noProof/>
                <w:color w:val="000000" w:themeColor="text1"/>
                <w:sz w:val="18"/>
                <w:szCs w:val="18"/>
              </w:rPr>
            </w:pPr>
            <w:r>
              <w:rPr>
                <w:rFonts w:ascii="Times New Roman" w:hAnsi="Times New Roman"/>
                <w:noProof/>
                <w:color w:val="000000"/>
                <w:sz w:val="18"/>
                <w:szCs w:val="18"/>
              </w:rPr>
              <w:t>T4</w:t>
            </w:r>
          </w:p>
        </w:tc>
        <w:tc>
          <w:tcPr>
            <w:tcW w:w="716"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cs="Times New Roman"/>
                <w:noProof/>
                <w:color w:val="000000" w:themeColor="text1"/>
                <w:sz w:val="18"/>
                <w:szCs w:val="18"/>
              </w:rPr>
            </w:pPr>
            <w:r>
              <w:rPr>
                <w:rFonts w:ascii="Times New Roman" w:hAnsi="Times New Roman"/>
                <w:noProof/>
                <w:color w:val="000000"/>
                <w:sz w:val="18"/>
                <w:szCs w:val="18"/>
              </w:rPr>
              <w:t>2023</w:t>
            </w:r>
          </w:p>
        </w:tc>
        <w:tc>
          <w:tcPr>
            <w:tcW w:w="5812" w:type="dxa"/>
            <w:tcBorders>
              <w:top w:val="single" w:sz="4" w:space="0" w:color="auto"/>
              <w:left w:val="single" w:sz="4" w:space="0" w:color="auto"/>
              <w:bottom w:val="single" w:sz="4" w:space="0" w:color="auto"/>
              <w:right w:val="single" w:sz="4" w:space="0" w:color="auto"/>
            </w:tcBorders>
            <w:shd w:val="clear" w:color="auto" w:fill="C6EFCE"/>
            <w:noWrap/>
          </w:tcPr>
          <w:p>
            <w:pPr>
              <w:spacing w:after="0"/>
              <w:rPr>
                <w:rFonts w:ascii="Times New Roman" w:hAnsi="Times New Roman" w:cs="Times New Roman"/>
                <w:noProof/>
                <w:color w:val="000000" w:themeColor="text1"/>
                <w:sz w:val="18"/>
                <w:szCs w:val="18"/>
              </w:rPr>
            </w:pPr>
            <w:r>
              <w:rPr>
                <w:rFonts w:ascii="Times New Roman" w:hAnsi="Times New Roman"/>
                <w:noProof/>
                <w:color w:val="000000"/>
                <w:sz w:val="18"/>
                <w:szCs w:val="18"/>
              </w:rPr>
              <w:t>Укрепване на капацитета за киберсигурност чрез подобряване на линията за оказване на помощ в областта на киберсигурността на Националния институт за киберсигурност (INCIBE), с месечен капацитет от най-малко 20 000 обаждания, обработвани месечно. Тази линия за помощ също така подкрепя премахването на материали, показващи сексуално насилие над деца, за уеб ресурси (CSAM).</w:t>
            </w:r>
          </w:p>
        </w:tc>
      </w:tr>
      <w:tr>
        <w:trPr>
          <w:trHeight w:val="309"/>
        </w:trPr>
        <w:tc>
          <w:tcPr>
            <w:tcW w:w="709"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cs="Times New Roman"/>
                <w:noProof/>
                <w:color w:val="000000" w:themeColor="text1"/>
                <w:sz w:val="18"/>
                <w:szCs w:val="18"/>
                <w:highlight w:val="yellow"/>
              </w:rPr>
            </w:pPr>
            <w:r>
              <w:rPr>
                <w:rFonts w:ascii="Times New Roman" w:hAnsi="Times New Roman"/>
                <w:noProof/>
                <w:color w:val="000000"/>
                <w:sz w:val="18"/>
                <w:szCs w:val="18"/>
              </w:rPr>
              <w:t>248</w:t>
            </w:r>
          </w:p>
        </w:tc>
        <w:tc>
          <w:tcPr>
            <w:tcW w:w="851"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cs="Times New Roman"/>
                <w:noProof/>
                <w:color w:val="000000" w:themeColor="text1"/>
                <w:sz w:val="18"/>
                <w:szCs w:val="18"/>
              </w:rPr>
            </w:pPr>
            <w:r>
              <w:rPr>
                <w:rFonts w:ascii="Times New Roman" w:hAnsi="Times New Roman"/>
                <w:noProof/>
                <w:color w:val="000000"/>
                <w:sz w:val="18"/>
                <w:szCs w:val="18"/>
              </w:rPr>
              <w:t>C15.I7</w:t>
            </w:r>
          </w:p>
        </w:tc>
        <w:tc>
          <w:tcPr>
            <w:tcW w:w="850"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cs="Times New Roman"/>
                <w:noProof/>
                <w:color w:val="000000" w:themeColor="text1"/>
                <w:sz w:val="18"/>
                <w:szCs w:val="18"/>
              </w:rPr>
            </w:pPr>
            <w:r>
              <w:rPr>
                <w:rFonts w:ascii="Times New Roman" w:hAnsi="Times New Roman"/>
                <w:noProof/>
                <w:color w:val="000000"/>
                <w:sz w:val="18"/>
                <w:szCs w:val="18"/>
              </w:rPr>
              <w:t>M</w:t>
            </w:r>
          </w:p>
        </w:tc>
        <w:tc>
          <w:tcPr>
            <w:tcW w:w="2694" w:type="dxa"/>
            <w:tcBorders>
              <w:top w:val="single" w:sz="4" w:space="0" w:color="auto"/>
              <w:left w:val="single" w:sz="4" w:space="0" w:color="auto"/>
              <w:bottom w:val="single" w:sz="4" w:space="0" w:color="auto"/>
              <w:right w:val="single" w:sz="4" w:space="0" w:color="auto"/>
            </w:tcBorders>
            <w:shd w:val="clear" w:color="auto" w:fill="C6EFCE"/>
            <w:noWrap/>
          </w:tcPr>
          <w:p>
            <w:pPr>
              <w:spacing w:after="0"/>
              <w:rPr>
                <w:rFonts w:ascii="Times New Roman" w:hAnsi="Times New Roman" w:cs="Times New Roman"/>
                <w:noProof/>
                <w:color w:val="000000" w:themeColor="text1"/>
                <w:sz w:val="18"/>
                <w:szCs w:val="18"/>
              </w:rPr>
            </w:pPr>
            <w:r>
              <w:rPr>
                <w:rFonts w:ascii="Times New Roman" w:hAnsi="Times New Roman"/>
                <w:noProof/>
                <w:color w:val="000000"/>
                <w:sz w:val="18"/>
                <w:szCs w:val="18"/>
              </w:rPr>
              <w:t>Приключване на проектите в рамките на националната програма за подкрепа на сектора на киберсигурността, Програмата за иновации в областта на глобалната сигурност и свързаните с нея действия.</w:t>
            </w:r>
          </w:p>
        </w:tc>
        <w:tc>
          <w:tcPr>
            <w:tcW w:w="1275"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cs="Times New Roman"/>
                <w:noProof/>
                <w:color w:val="000000" w:themeColor="text1"/>
                <w:sz w:val="18"/>
                <w:szCs w:val="18"/>
              </w:rPr>
            </w:pPr>
            <w:r>
              <w:rPr>
                <w:rFonts w:ascii="Times New Roman" w:hAnsi="Times New Roman"/>
                <w:noProof/>
                <w:color w:val="000000"/>
                <w:sz w:val="18"/>
                <w:szCs w:val="18"/>
              </w:rPr>
              <w:t>Уведомление за приключване на инвестиционни проекти</w:t>
            </w:r>
          </w:p>
        </w:tc>
        <w:tc>
          <w:tcPr>
            <w:tcW w:w="783"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right"/>
              <w:rPr>
                <w:rFonts w:ascii="Times New Roman" w:hAnsi="Times New Roman" w:cs="Times New Roman"/>
                <w:noProof/>
                <w:color w:val="000000"/>
                <w:sz w:val="18"/>
                <w:szCs w:val="18"/>
              </w:rPr>
            </w:pPr>
            <w:r>
              <w:rPr>
                <w:rFonts w:ascii="Times New Roman" w:hAnsi="Times New Roman"/>
                <w:noProof/>
                <w:color w:val="000000"/>
                <w:sz w:val="18"/>
                <w:szCs w:val="18"/>
              </w:rPr>
              <w:t> </w:t>
            </w:r>
          </w:p>
        </w:tc>
        <w:tc>
          <w:tcPr>
            <w:tcW w:w="635"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right"/>
              <w:rPr>
                <w:rFonts w:ascii="Times New Roman" w:hAnsi="Times New Roman" w:cs="Times New Roman"/>
                <w:noProof/>
                <w:color w:val="000000"/>
                <w:sz w:val="18"/>
                <w:szCs w:val="18"/>
              </w:rPr>
            </w:pPr>
            <w:r>
              <w:rPr>
                <w:rFonts w:ascii="Times New Roman" w:hAnsi="Times New Roman"/>
                <w:noProof/>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right"/>
              <w:rPr>
                <w:rFonts w:ascii="Times New Roman" w:hAnsi="Times New Roman" w:cs="Times New Roman"/>
                <w:noProof/>
                <w:color w:val="000000"/>
                <w:sz w:val="18"/>
                <w:szCs w:val="18"/>
              </w:rPr>
            </w:pPr>
            <w:r>
              <w:rPr>
                <w:rFonts w:ascii="Times New Roman" w:hAnsi="Times New Roman"/>
                <w:noProof/>
                <w:color w:val="000000"/>
                <w:sz w:val="18"/>
                <w:szCs w:val="18"/>
              </w:rPr>
              <w:t> </w:t>
            </w:r>
          </w:p>
        </w:tc>
        <w:tc>
          <w:tcPr>
            <w:tcW w:w="276"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cs="Times New Roman"/>
                <w:noProof/>
                <w:color w:val="000000" w:themeColor="text1"/>
                <w:sz w:val="18"/>
                <w:szCs w:val="18"/>
              </w:rPr>
            </w:pPr>
            <w:r>
              <w:rPr>
                <w:rFonts w:ascii="Times New Roman" w:hAnsi="Times New Roman"/>
                <w:noProof/>
                <w:color w:val="000000"/>
                <w:sz w:val="18"/>
                <w:szCs w:val="18"/>
              </w:rPr>
              <w:t>T2</w:t>
            </w:r>
          </w:p>
        </w:tc>
        <w:tc>
          <w:tcPr>
            <w:tcW w:w="716"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cs="Times New Roman"/>
                <w:noProof/>
                <w:color w:val="000000" w:themeColor="text1"/>
                <w:sz w:val="18"/>
                <w:szCs w:val="18"/>
              </w:rPr>
            </w:pPr>
            <w:r>
              <w:rPr>
                <w:rFonts w:ascii="Times New Roman" w:hAnsi="Times New Roman"/>
                <w:noProof/>
                <w:color w:val="000000"/>
                <w:sz w:val="18"/>
                <w:szCs w:val="18"/>
              </w:rPr>
              <w:t>2026</w:t>
            </w:r>
          </w:p>
        </w:tc>
        <w:tc>
          <w:tcPr>
            <w:tcW w:w="5812" w:type="dxa"/>
            <w:tcBorders>
              <w:top w:val="single" w:sz="4" w:space="0" w:color="auto"/>
              <w:left w:val="single" w:sz="4" w:space="0" w:color="auto"/>
              <w:bottom w:val="single" w:sz="4" w:space="0" w:color="auto"/>
              <w:right w:val="single" w:sz="4" w:space="0" w:color="auto"/>
            </w:tcBorders>
            <w:shd w:val="clear" w:color="auto" w:fill="C6EFCE"/>
            <w:noWrap/>
          </w:tcPr>
          <w:p>
            <w:pPr>
              <w:spacing w:after="0"/>
              <w:rPr>
                <w:rFonts w:ascii="Times New Roman" w:hAnsi="Times New Roman" w:cs="Times New Roman"/>
                <w:noProof/>
                <w:color w:val="000000" w:themeColor="text1"/>
                <w:sz w:val="18"/>
                <w:szCs w:val="18"/>
              </w:rPr>
            </w:pPr>
            <w:r>
              <w:rPr>
                <w:rFonts w:ascii="Times New Roman" w:hAnsi="Times New Roman"/>
                <w:noProof/>
                <w:color w:val="000000"/>
                <w:sz w:val="18"/>
                <w:szCs w:val="18"/>
              </w:rPr>
              <w:t>Приключване на проектите, включени в националната програма за подкрепа на сектора на киберсигурността и Програмата за иновации в областта на глобалната сигурност, както и други свързани действия в следните области (възложено на етап 245):</w:t>
            </w:r>
            <w:r>
              <w:rPr>
                <w:rFonts w:ascii="Times New Roman" w:hAnsi="Times New Roman"/>
                <w:noProof/>
                <w:color w:val="000000"/>
                <w:sz w:val="18"/>
                <w:szCs w:val="18"/>
              </w:rPr>
              <w:br/>
              <w:t>- стимулиране на националния сектор на киберсигурността с цел създаване, растеж и развитие на предприятия в този сектор</w:t>
            </w:r>
            <w:r>
              <w:rPr>
                <w:rFonts w:ascii="Times New Roman" w:hAnsi="Times New Roman"/>
                <w:noProof/>
                <w:color w:val="000000"/>
                <w:sz w:val="18"/>
                <w:szCs w:val="18"/>
              </w:rPr>
              <w:br/>
              <w:t>– разработване на решения и услуги с висока добавена стойност в областта на киберсигурността</w:t>
            </w:r>
            <w:r>
              <w:rPr>
                <w:rFonts w:ascii="Times New Roman" w:hAnsi="Times New Roman"/>
                <w:noProof/>
                <w:color w:val="000000"/>
                <w:sz w:val="18"/>
                <w:szCs w:val="18"/>
              </w:rPr>
              <w:br/>
              <w:t>– обучение и развитие на таланти в областта на киберсигурността</w:t>
            </w:r>
            <w:r>
              <w:rPr>
                <w:rFonts w:ascii="Times New Roman" w:hAnsi="Times New Roman"/>
                <w:noProof/>
                <w:color w:val="000000"/>
                <w:sz w:val="18"/>
                <w:szCs w:val="18"/>
              </w:rPr>
              <w:br/>
              <w:t>– действия за интернационализация в областта на киберсигурността</w:t>
            </w:r>
            <w:r>
              <w:rPr>
                <w:rFonts w:ascii="Times New Roman" w:hAnsi="Times New Roman"/>
                <w:noProof/>
                <w:color w:val="000000"/>
                <w:sz w:val="18"/>
                <w:szCs w:val="18"/>
              </w:rPr>
              <w:br/>
              <w:t>– създаване на демонстрационен център за развитие на инфраструктурата в областта на киберсигурността и създаване на нови услуги в областта на киберсигурността, включително лаборатории за изпитвания и симулатори на атаки в областта на киберсигурността</w:t>
            </w:r>
            <w:r>
              <w:rPr>
                <w:rFonts w:ascii="Times New Roman" w:hAnsi="Times New Roman"/>
                <w:noProof/>
                <w:color w:val="000000"/>
                <w:sz w:val="18"/>
                <w:szCs w:val="18"/>
              </w:rPr>
              <w:br/>
              <w:t>– разработване на сертификати за маркировка за киберсигурност</w:t>
            </w:r>
          </w:p>
        </w:tc>
      </w:tr>
    </w:tbl>
    <w:p>
      <w:pPr>
        <w:spacing w:before="120" w:after="120" w:line="240" w:lineRule="auto"/>
        <w:ind w:left="709"/>
        <w:jc w:val="both"/>
        <w:rPr>
          <w:rFonts w:ascii="Times New Roman" w:hAnsi="Times New Roman" w:cs="Times New Roman"/>
          <w:noProof/>
          <w:sz w:val="24"/>
          <w:szCs w:val="24"/>
        </w:rPr>
        <w:sectPr>
          <w:headerReference w:type="even" r:id="rId193"/>
          <w:headerReference w:type="default" r:id="rId194"/>
          <w:footerReference w:type="even" r:id="rId195"/>
          <w:footerReference w:type="default" r:id="rId196"/>
          <w:headerReference w:type="first" r:id="rId197"/>
          <w:footerReference w:type="first" r:id="rId198"/>
          <w:pgSz w:w="16839" w:h="11907" w:orient="landscape"/>
          <w:pgMar w:top="1417" w:right="1134" w:bottom="1417" w:left="1134" w:header="709" w:footer="709" w:gutter="0"/>
          <w:cols w:space="720"/>
          <w:docGrid w:linePitch="360"/>
        </w:sectPr>
      </w:pPr>
    </w:p>
    <w:p>
      <w:pPr>
        <w:pStyle w:val="Heading1"/>
        <w:rPr>
          <w:noProof/>
        </w:rPr>
      </w:pPr>
      <w:r>
        <w:rPr>
          <w:noProof/>
        </w:rPr>
        <w:t>П. КОМПОНЕНТ 16: Изкуствен интелект</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Изкуственият интелект (ИИ) има значителен потенциал за трансформация от технологична, икономическа и социална гледна точка, като се има предвид неговото междусекторно проникване, силно въздействие, бърз растеж и принос за подобряване на производителността и конкурентоспособността. </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Основните предизвикателства, обхванати от този компонент на испанския план за възстановяване и устойчивост, са свързани с: </w:t>
      </w:r>
      <w:r>
        <w:rPr>
          <w:rFonts w:ascii="Times New Roman" w:hAnsi="Times New Roman"/>
          <w:noProof/>
          <w:sz w:val="24"/>
          <w:lang w:val="en-US"/>
        </w:rPr>
        <w:t>i</w:t>
      </w:r>
      <w:r>
        <w:rPr>
          <w:rFonts w:ascii="Times New Roman" w:hAnsi="Times New Roman"/>
          <w:noProof/>
          <w:sz w:val="24"/>
        </w:rPr>
        <w:t>) ограниченото използване на ИИ в дружествата, особено в МСП, ii) създаването на широко достъпни хранилища на данни и iii) насърчаването на публични и частни инвестиции в иновации в областта на ИИ. Компонентът е структуриран около Националната стратегия за изкуствения интелект (ENIA), която е един от основните планове на програмата на испанското правителство в областта на цифровите технологии (</w:t>
      </w:r>
      <w:r>
        <w:rPr>
          <w:rFonts w:ascii="Times New Roman" w:hAnsi="Times New Roman"/>
          <w:i/>
          <w:noProof/>
          <w:sz w:val="24"/>
        </w:rPr>
        <w:t>España Digital 2025</w:t>
      </w:r>
      <w:r>
        <w:rPr>
          <w:rFonts w:ascii="Times New Roman" w:hAnsi="Times New Roman"/>
          <w:noProof/>
          <w:sz w:val="24"/>
        </w:rPr>
        <w:t xml:space="preserve">). Този компонент допринася също така за справяне с предизвикателствата пред обществото, по-специално за намаляване на неравнопоставеността между половете (чрез действия, насочени към жените), цифровото разделение, екологичния преход, както и териториалното сближаване. </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От тази гледна точка целта на този компонент е: </w:t>
      </w:r>
    </w:p>
    <w:p>
      <w:pPr>
        <w:numPr>
          <w:ilvl w:val="0"/>
          <w:numId w:val="83"/>
        </w:numPr>
        <w:spacing w:before="120" w:after="120" w:line="240" w:lineRule="auto"/>
        <w:ind w:left="426" w:hanging="426"/>
        <w:jc w:val="both"/>
        <w:rPr>
          <w:rFonts w:ascii="Times New Roman" w:hAnsi="Times New Roman" w:cs="Times New Roman"/>
          <w:noProof/>
          <w:sz w:val="24"/>
        </w:rPr>
      </w:pPr>
      <w:r>
        <w:rPr>
          <w:rFonts w:ascii="Times New Roman" w:hAnsi="Times New Roman"/>
          <w:noProof/>
          <w:sz w:val="24"/>
        </w:rPr>
        <w:t>да позиционира Испания като водеща държава по отношение на високите научни постижения и иновациите в областта на ИИ по интердисциплинарен начин;</w:t>
      </w:r>
    </w:p>
    <w:p>
      <w:pPr>
        <w:numPr>
          <w:ilvl w:val="0"/>
          <w:numId w:val="83"/>
        </w:numPr>
        <w:spacing w:before="120" w:after="120" w:line="240" w:lineRule="auto"/>
        <w:ind w:left="426" w:hanging="426"/>
        <w:jc w:val="both"/>
        <w:rPr>
          <w:rFonts w:ascii="Times New Roman" w:hAnsi="Times New Roman" w:cs="Times New Roman"/>
          <w:noProof/>
          <w:sz w:val="24"/>
        </w:rPr>
      </w:pPr>
      <w:r>
        <w:rPr>
          <w:rFonts w:ascii="Times New Roman" w:hAnsi="Times New Roman"/>
          <w:noProof/>
          <w:sz w:val="24"/>
        </w:rPr>
        <w:t>водеща роля в световен мащаб в разработването на инструменти, технологии и приложения за прожектиране и използване на испанския език в ИИ;</w:t>
      </w:r>
    </w:p>
    <w:p>
      <w:pPr>
        <w:numPr>
          <w:ilvl w:val="0"/>
          <w:numId w:val="83"/>
        </w:numPr>
        <w:spacing w:before="120" w:after="120" w:line="240" w:lineRule="auto"/>
        <w:ind w:left="426" w:hanging="426"/>
        <w:jc w:val="both"/>
        <w:rPr>
          <w:rFonts w:ascii="Times New Roman" w:hAnsi="Times New Roman" w:cs="Times New Roman"/>
          <w:noProof/>
          <w:sz w:val="24"/>
        </w:rPr>
      </w:pPr>
      <w:r>
        <w:rPr>
          <w:rFonts w:ascii="Times New Roman" w:hAnsi="Times New Roman"/>
          <w:noProof/>
          <w:sz w:val="24"/>
        </w:rPr>
        <w:t>насърчаване на създаването на квалифицирани работни места, стимулиране на обучението и образованието, стимулиране на талантите в Испания и привличане на таланти в световен мащаб;</w:t>
      </w:r>
    </w:p>
    <w:p>
      <w:pPr>
        <w:numPr>
          <w:ilvl w:val="0"/>
          <w:numId w:val="83"/>
        </w:numPr>
        <w:spacing w:before="120" w:after="120" w:line="240" w:lineRule="auto"/>
        <w:ind w:left="426" w:hanging="426"/>
        <w:jc w:val="both"/>
        <w:rPr>
          <w:rFonts w:ascii="Times New Roman" w:hAnsi="Times New Roman" w:cs="Times New Roman"/>
          <w:noProof/>
          <w:sz w:val="24"/>
        </w:rPr>
      </w:pPr>
      <w:r>
        <w:rPr>
          <w:rFonts w:ascii="Times New Roman" w:hAnsi="Times New Roman"/>
          <w:noProof/>
          <w:sz w:val="24"/>
        </w:rPr>
        <w:t>включване на ИИ като фактор за подобряване на производителността на испанския частен сектор, ефективността на публичната администрация и като двигател за устойчив и приобщаващ икономически растеж;</w:t>
      </w:r>
    </w:p>
    <w:p>
      <w:pPr>
        <w:numPr>
          <w:ilvl w:val="0"/>
          <w:numId w:val="83"/>
        </w:numPr>
        <w:spacing w:before="120" w:after="120" w:line="240" w:lineRule="auto"/>
        <w:ind w:left="426" w:hanging="426"/>
        <w:jc w:val="both"/>
        <w:rPr>
          <w:rFonts w:ascii="Times New Roman" w:hAnsi="Times New Roman" w:cs="Times New Roman"/>
          <w:noProof/>
          <w:sz w:val="24"/>
        </w:rPr>
      </w:pPr>
      <w:r>
        <w:rPr>
          <w:rFonts w:ascii="Times New Roman" w:hAnsi="Times New Roman"/>
          <w:noProof/>
          <w:sz w:val="24"/>
        </w:rPr>
        <w:t>създаване на среда на доверие по отношение на ИИ, както по отношение на технологичното развитие, така и по отношение на регулирането и социалното въздействие;</w:t>
      </w:r>
    </w:p>
    <w:p>
      <w:pPr>
        <w:numPr>
          <w:ilvl w:val="0"/>
          <w:numId w:val="83"/>
        </w:numPr>
        <w:spacing w:before="120" w:after="120" w:line="240" w:lineRule="auto"/>
        <w:ind w:left="426" w:hanging="426"/>
        <w:jc w:val="both"/>
        <w:rPr>
          <w:rFonts w:ascii="Times New Roman" w:hAnsi="Times New Roman" w:cs="Times New Roman"/>
          <w:noProof/>
          <w:sz w:val="24"/>
        </w:rPr>
      </w:pPr>
      <w:r>
        <w:rPr>
          <w:rFonts w:ascii="Times New Roman" w:hAnsi="Times New Roman"/>
          <w:noProof/>
          <w:sz w:val="24"/>
        </w:rPr>
        <w:t>стимулиране на глобалния дебат относно технологичния хуманизъм чрез създаване и участие във форуми и информационни дейности за разработването на етична рамка, гарантираща индивидуалните и колективните права на гражданите;</w:t>
      </w:r>
    </w:p>
    <w:p>
      <w:pPr>
        <w:numPr>
          <w:ilvl w:val="0"/>
          <w:numId w:val="83"/>
        </w:numPr>
        <w:spacing w:before="120" w:after="120" w:line="240" w:lineRule="auto"/>
        <w:ind w:left="426" w:hanging="426"/>
        <w:jc w:val="both"/>
        <w:rPr>
          <w:rFonts w:ascii="Times New Roman" w:hAnsi="Times New Roman" w:cs="Times New Roman"/>
          <w:noProof/>
          <w:sz w:val="24"/>
        </w:rPr>
      </w:pPr>
      <w:r>
        <w:rPr>
          <w:rFonts w:ascii="Times New Roman" w:hAnsi="Times New Roman"/>
          <w:noProof/>
          <w:sz w:val="24"/>
        </w:rPr>
        <w:t>да се даде възможност на ИИ като междусекторен фактор за справяне с големите предизвикателства на обществото и по-специално за намаляване на неравнопоставеността между половете, цифровото разделение, в подкрепа на екологичния преход и териториалното сближаване.</w:t>
      </w:r>
    </w:p>
    <w:p>
      <w:pPr>
        <w:spacing w:before="120" w:after="120" w:line="240" w:lineRule="auto"/>
        <w:jc w:val="both"/>
        <w:rPr>
          <w:rFonts w:ascii="Times New Roman" w:hAnsi="Times New Roman" w:cs="Times New Roman"/>
          <w:noProof/>
          <w:sz w:val="24"/>
        </w:rPr>
      </w:pPr>
      <w:r>
        <w:rPr>
          <w:rFonts w:ascii="Times New Roman" w:hAnsi="Times New Roman"/>
          <w:noProof/>
          <w:sz w:val="24"/>
        </w:rPr>
        <w:t>Този компонент е насочен към специфичните за всяка държава препоръки за насърчаване на инвестициите в иновации (специфична за държавата препоръка № 3 от 2019 г.), за подобряване на достъпа до цифрово обучение (специфична за държавата препоръка 2) и за насърчаване на публичните и частните инвестиции и за насърчаване на цифровия преход (специфична за държавата препоръка № 3 от 2020 г.).</w:t>
      </w:r>
    </w:p>
    <w:p>
      <w:pPr>
        <w:spacing w:before="120" w:after="120" w:line="240" w:lineRule="auto"/>
        <w:jc w:val="both"/>
        <w:rPr>
          <w:rFonts w:ascii="Times New Roman" w:hAnsi="Times New Roman" w:cs="Times New Roman"/>
          <w:noProof/>
          <w:sz w:val="24"/>
        </w:rPr>
      </w:pPr>
      <w:r>
        <w:rPr>
          <w:rFonts w:ascii="Times New Roman" w:hAnsi="Times New Roman"/>
          <w:noProof/>
          <w:color w:val="000000" w:themeColor="text1"/>
          <w:sz w:val="24"/>
          <w:szCs w:val="24"/>
        </w:rPr>
        <w:t>Очаква се, че нито една мярка в този компонент не вреди в значителна степен на екологичните цели по смисъла на член 17 от Регламент (ЕС) 2020/852, като се вземат предвид описанието на мерките и стъпките за смекчаване на последиците, определени в плана за възстановяване и устойчивост в съответствие с Техническите насоки за спазването на „принципа за ненанасяне на съществена вреда“ (2021/C58/01).</w:t>
      </w:r>
      <w:r>
        <w:rPr>
          <w:rFonts w:ascii="Times New Roman" w:hAnsi="Times New Roman"/>
          <w:noProof/>
          <w:sz w:val="24"/>
        </w:rPr>
        <w:t xml:space="preserve"> </w:t>
      </w:r>
    </w:p>
    <w:p>
      <w:pPr>
        <w:keepNext/>
        <w:spacing w:before="120" w:after="120" w:line="240" w:lineRule="auto"/>
        <w:jc w:val="both"/>
        <w:rPr>
          <w:rFonts w:ascii="Times New Roman" w:hAnsi="Times New Roman" w:cs="Times New Roman"/>
          <w:b/>
          <w:i/>
          <w:noProof/>
          <w:color w:val="4F81BD" w:themeColor="accent1"/>
          <w:sz w:val="24"/>
        </w:rPr>
      </w:pPr>
      <w:r>
        <w:rPr>
          <w:rFonts w:ascii="Times New Roman" w:hAnsi="Times New Roman"/>
          <w:b/>
          <w:bCs/>
          <w:noProof/>
          <w:sz w:val="24"/>
          <w:u w:val="single"/>
        </w:rPr>
        <w:t xml:space="preserve">П.1. </w:t>
      </w:r>
      <w:r>
        <w:rPr>
          <w:rFonts w:ascii="Times New Roman" w:hAnsi="Times New Roman"/>
          <w:b/>
          <w:noProof/>
          <w:sz w:val="24"/>
          <w:u w:val="single"/>
        </w:rPr>
        <w:tab/>
      </w:r>
      <w:r>
        <w:rPr>
          <w:rFonts w:ascii="Times New Roman" w:hAnsi="Times New Roman"/>
          <w:b/>
          <w:bCs/>
          <w:noProof/>
          <w:sz w:val="24"/>
          <w:u w:val="single"/>
        </w:rPr>
        <w:t>Описание на реформите и инвестициите за безвъзмездна финансова подкрепа</w:t>
      </w:r>
    </w:p>
    <w:p>
      <w:pPr>
        <w:keepNext/>
        <w:spacing w:before="120" w:after="120" w:line="240" w:lineRule="auto"/>
        <w:jc w:val="both"/>
        <w:rPr>
          <w:rFonts w:ascii="Times New Roman" w:hAnsi="Times New Roman" w:cs="Times New Roman"/>
          <w:noProof/>
          <w:sz w:val="24"/>
          <w:u w:val="single"/>
        </w:rPr>
      </w:pPr>
      <w:r>
        <w:rPr>
          <w:rFonts w:ascii="Times New Roman" w:hAnsi="Times New Roman"/>
          <w:noProof/>
          <w:sz w:val="24"/>
          <w:u w:val="single"/>
        </w:rPr>
        <w:t>Реформа 1 (C16.R1) – Национална стратегия за ИИ</w:t>
      </w:r>
    </w:p>
    <w:p>
      <w:pPr>
        <w:keepNext/>
        <w:spacing w:before="120" w:after="120" w:line="240" w:lineRule="auto"/>
        <w:jc w:val="both"/>
        <w:rPr>
          <w:rFonts w:ascii="Times New Roman" w:hAnsi="Times New Roman" w:cs="Times New Roman"/>
          <w:noProof/>
          <w:sz w:val="24"/>
        </w:rPr>
      </w:pPr>
      <w:r>
        <w:rPr>
          <w:rFonts w:ascii="Times New Roman" w:hAnsi="Times New Roman"/>
          <w:noProof/>
          <w:sz w:val="24"/>
        </w:rPr>
        <w:t xml:space="preserve">Целта на тази всеобхватна мярка е да се определи рамката за изпълнението на надеждна, прозрачна и приобщаваща национална стратегия за ИИ, която да гарантира спазването на основните принципи и ценности и да отчита колективните стремежи на гражданите. За тази цел мярката включва три законодателни реформи за определяне на регулаторната и етичната рамка за ИИ и девет инвестиционни проекта за подкрепа на разработването и внедряването на технологии, основани на ИИ, в испанската икономика и общество, като например проекти в областта на уменията, талантите и инфраструктурата. </w:t>
      </w:r>
    </w:p>
    <w:p>
      <w:pPr>
        <w:spacing w:before="120" w:after="120" w:line="240" w:lineRule="auto"/>
        <w:jc w:val="both"/>
        <w:rPr>
          <w:rFonts w:ascii="Times New Roman" w:hAnsi="Times New Roman" w:cs="Times New Roman"/>
          <w:noProof/>
          <w:sz w:val="24"/>
        </w:rPr>
      </w:pPr>
      <w:r>
        <w:rPr>
          <w:rFonts w:ascii="Times New Roman" w:hAnsi="Times New Roman"/>
          <w:noProof/>
          <w:sz w:val="24"/>
        </w:rPr>
        <w:t>Тези действия са групирани в пет лоста на политиката:</w:t>
      </w:r>
    </w:p>
    <w:p>
      <w:pPr>
        <w:numPr>
          <w:ilvl w:val="0"/>
          <w:numId w:val="79"/>
        </w:numPr>
        <w:spacing w:before="120" w:after="120" w:line="240" w:lineRule="auto"/>
        <w:ind w:left="426" w:hanging="426"/>
        <w:contextualSpacing/>
        <w:jc w:val="both"/>
        <w:rPr>
          <w:rFonts w:ascii="Times New Roman" w:hAnsi="Times New Roman" w:cs="Times New Roman"/>
          <w:noProof/>
          <w:sz w:val="24"/>
          <w:szCs w:val="24"/>
        </w:rPr>
      </w:pPr>
      <w:r>
        <w:rPr>
          <w:rFonts w:ascii="Times New Roman" w:hAnsi="Times New Roman"/>
          <w:noProof/>
          <w:sz w:val="24"/>
          <w:szCs w:val="24"/>
        </w:rPr>
        <w:t xml:space="preserve">Регулаторна и етична рамка (правни актове): </w:t>
      </w:r>
    </w:p>
    <w:p>
      <w:pPr>
        <w:numPr>
          <w:ilvl w:val="0"/>
          <w:numId w:val="80"/>
        </w:numPr>
        <w:spacing w:before="120" w:after="120" w:line="240" w:lineRule="auto"/>
        <w:ind w:left="851" w:hanging="425"/>
        <w:contextualSpacing/>
        <w:jc w:val="both"/>
        <w:rPr>
          <w:rFonts w:ascii="Times New Roman" w:hAnsi="Times New Roman" w:cs="Times New Roman"/>
          <w:noProof/>
          <w:sz w:val="24"/>
          <w:szCs w:val="24"/>
        </w:rPr>
      </w:pPr>
      <w:r>
        <w:rPr>
          <w:rFonts w:ascii="Times New Roman" w:hAnsi="Times New Roman"/>
          <w:noProof/>
          <w:sz w:val="24"/>
          <w:szCs w:val="24"/>
        </w:rPr>
        <w:t>национална стратегия за ИИ (ENIA): национален план за действие и реформи за въвеждането и разширяването на основани на ИИ технологии в испанската икономика и общество чрез създаването на Консултативен съвет по въпросите на изкуствения интелект;</w:t>
      </w:r>
    </w:p>
    <w:p>
      <w:pPr>
        <w:numPr>
          <w:ilvl w:val="0"/>
          <w:numId w:val="80"/>
        </w:numPr>
        <w:spacing w:before="120" w:after="120" w:line="240" w:lineRule="auto"/>
        <w:ind w:left="851" w:hanging="425"/>
        <w:contextualSpacing/>
        <w:jc w:val="both"/>
        <w:rPr>
          <w:rFonts w:ascii="Times New Roman" w:hAnsi="Times New Roman" w:cs="Times New Roman"/>
          <w:noProof/>
          <w:sz w:val="24"/>
          <w:szCs w:val="24"/>
        </w:rPr>
      </w:pPr>
      <w:r>
        <w:rPr>
          <w:rFonts w:ascii="Times New Roman" w:hAnsi="Times New Roman"/>
          <w:noProof/>
          <w:sz w:val="24"/>
          <w:szCs w:val="24"/>
        </w:rPr>
        <w:t>регулаторни лаборатории: разработване на необходимите законодателни актове, за да се даде възможност за регулаторни лаборатории за прилагането на ИИ. За въвеждането на нови процеси и услуги, основани на данни, както в публичната, така и в частната сфера, се използват безопасни среди или пясъчници. Безопасна среда и пясъчници могат да бъдат използвани от правителствени агенции, потребители на ИИ и от създателите на хранилища на данни, евентуално като част от мрежата от цифрови иновационни центрове за въвеждане и регулиране на нови продукти и приложения;</w:t>
      </w:r>
    </w:p>
    <w:p>
      <w:pPr>
        <w:numPr>
          <w:ilvl w:val="0"/>
          <w:numId w:val="80"/>
        </w:numPr>
        <w:spacing w:before="120" w:after="120" w:line="240" w:lineRule="auto"/>
        <w:ind w:left="851" w:hanging="425"/>
        <w:contextualSpacing/>
        <w:jc w:val="both"/>
        <w:rPr>
          <w:rFonts w:ascii="Times New Roman" w:hAnsi="Times New Roman" w:cs="Times New Roman"/>
          <w:noProof/>
          <w:sz w:val="24"/>
          <w:szCs w:val="24"/>
        </w:rPr>
      </w:pPr>
      <w:r>
        <w:rPr>
          <w:rFonts w:ascii="Times New Roman" w:hAnsi="Times New Roman"/>
          <w:noProof/>
          <w:sz w:val="24"/>
          <w:szCs w:val="24"/>
        </w:rPr>
        <w:t xml:space="preserve">орган за наблюдение на ИИ и сертифициране на доверието: включително разработването на план за </w:t>
      </w:r>
      <w:r>
        <w:rPr>
          <w:rFonts w:ascii="Times New Roman" w:hAnsi="Times New Roman"/>
          <w:noProof/>
          <w:sz w:val="24"/>
          <w:szCs w:val="24"/>
          <w:lang w:val="en-US"/>
        </w:rPr>
        <w:t>i</w:t>
      </w:r>
      <w:r>
        <w:rPr>
          <w:rFonts w:ascii="Times New Roman" w:hAnsi="Times New Roman"/>
          <w:noProof/>
          <w:sz w:val="24"/>
          <w:szCs w:val="24"/>
        </w:rPr>
        <w:t>) защита на уязвимите групи в областта на ИИ, включително трудовите и социалните права и потребностите на жените, ii) план за повишаване на осведомеността и доверието в ИИ, iii) обсерватории относно етичното и регулаторното въздействие на алгоритмите, включващи ИИ, iv) надеждно сертифициране на ИИ и архитектура на печат за продукти и услуги с ИИ, както и v) изготвяне и популяризиране на Хартата за цифровите права.</w:t>
      </w:r>
    </w:p>
    <w:p>
      <w:pPr>
        <w:numPr>
          <w:ilvl w:val="0"/>
          <w:numId w:val="81"/>
        </w:numPr>
        <w:spacing w:before="120" w:after="120" w:line="240" w:lineRule="auto"/>
        <w:ind w:left="426" w:hanging="426"/>
        <w:contextualSpacing/>
        <w:jc w:val="both"/>
        <w:rPr>
          <w:rFonts w:ascii="Times New Roman" w:hAnsi="Times New Roman" w:cs="Times New Roman"/>
          <w:noProof/>
          <w:sz w:val="24"/>
          <w:szCs w:val="24"/>
        </w:rPr>
      </w:pPr>
      <w:r>
        <w:rPr>
          <w:rFonts w:ascii="Times New Roman" w:hAnsi="Times New Roman"/>
          <w:noProof/>
          <w:sz w:val="24"/>
          <w:szCs w:val="24"/>
        </w:rPr>
        <w:t xml:space="preserve">Насърчаване на научноизследователската и развойна дейност и иновациите в областта на ИИ (проекти): </w:t>
      </w:r>
    </w:p>
    <w:p>
      <w:pPr>
        <w:numPr>
          <w:ilvl w:val="0"/>
          <w:numId w:val="80"/>
        </w:numPr>
        <w:spacing w:before="120" w:after="120" w:line="240" w:lineRule="auto"/>
        <w:ind w:left="851" w:hanging="425"/>
        <w:contextualSpacing/>
        <w:jc w:val="both"/>
        <w:rPr>
          <w:rFonts w:ascii="Times New Roman" w:hAnsi="Times New Roman" w:cs="Times New Roman"/>
          <w:noProof/>
          <w:sz w:val="24"/>
          <w:szCs w:val="24"/>
        </w:rPr>
      </w:pPr>
      <w:r>
        <w:rPr>
          <w:rFonts w:ascii="Times New Roman" w:hAnsi="Times New Roman"/>
          <w:noProof/>
          <w:sz w:val="24"/>
          <w:szCs w:val="24"/>
        </w:rPr>
        <w:t>Мисии НИРД: финансиране на промишлени научни изследвания или проекти за експериментално развитие в областта на ИИ с цел справяне с основните обществени предизвикателства или мисии по държави, посочени в ENIA (т.е. неравнопоставеност между половете, екологичен преход, териториална структура и цифрово разделение) в сектори с голямо значение и висок капацитет за прекъсване и въздействие (т.е. енергетика, мобилност, биомедицина, климат, хранително-вкусова промишленост, здравеопазване, туризъм и хотелиерство);</w:t>
      </w:r>
    </w:p>
    <w:p>
      <w:pPr>
        <w:numPr>
          <w:ilvl w:val="0"/>
          <w:numId w:val="80"/>
        </w:numPr>
        <w:spacing w:before="120" w:after="120" w:line="240" w:lineRule="auto"/>
        <w:ind w:left="851" w:hanging="425"/>
        <w:contextualSpacing/>
        <w:jc w:val="both"/>
        <w:rPr>
          <w:rFonts w:ascii="Times New Roman" w:hAnsi="Times New Roman" w:cs="Times New Roman"/>
          <w:noProof/>
          <w:sz w:val="24"/>
          <w:szCs w:val="24"/>
        </w:rPr>
      </w:pPr>
      <w:r>
        <w:rPr>
          <w:rFonts w:ascii="Times New Roman" w:hAnsi="Times New Roman"/>
          <w:noProof/>
          <w:sz w:val="24"/>
          <w:szCs w:val="24"/>
        </w:rPr>
        <w:t>мултидисциплинарен институт за ИИ: създаването на мултидисциплинарен изследователски център, който интегрира ИИ заедно с други науки, с особен акцент върху невротехнологиите;</w:t>
      </w:r>
    </w:p>
    <w:p>
      <w:pPr>
        <w:numPr>
          <w:ilvl w:val="0"/>
          <w:numId w:val="80"/>
        </w:numPr>
        <w:spacing w:before="120" w:after="120" w:line="240" w:lineRule="auto"/>
        <w:ind w:left="851" w:hanging="425"/>
        <w:contextualSpacing/>
        <w:jc w:val="both"/>
        <w:rPr>
          <w:rFonts w:ascii="Times New Roman" w:hAnsi="Times New Roman" w:cs="Times New Roman"/>
          <w:noProof/>
          <w:sz w:val="24"/>
          <w:szCs w:val="24"/>
        </w:rPr>
      </w:pPr>
      <w:r>
        <w:rPr>
          <w:rFonts w:ascii="Times New Roman" w:hAnsi="Times New Roman"/>
          <w:noProof/>
          <w:sz w:val="24"/>
          <w:szCs w:val="24"/>
        </w:rPr>
        <w:t>мрежа за високи постижения в областта на ИИ: създаване на испанска мрежа за високи постижения в областта на ИИ с програми за интердисциплинарно обучение и висока степен на специализация и механизми за набиране и задържане на таланти, които работят по интегриран начин за координиране на научните изследвания на национално равнище.</w:t>
      </w:r>
    </w:p>
    <w:p>
      <w:pPr>
        <w:numPr>
          <w:ilvl w:val="0"/>
          <w:numId w:val="82"/>
        </w:numPr>
        <w:spacing w:before="120" w:after="120" w:line="240" w:lineRule="auto"/>
        <w:ind w:left="426" w:hanging="426"/>
        <w:contextualSpacing/>
        <w:jc w:val="both"/>
        <w:rPr>
          <w:rFonts w:ascii="Times New Roman" w:hAnsi="Times New Roman" w:cs="Times New Roman"/>
          <w:noProof/>
          <w:sz w:val="24"/>
          <w:szCs w:val="24"/>
        </w:rPr>
      </w:pPr>
      <w:r>
        <w:rPr>
          <w:rFonts w:ascii="Times New Roman" w:hAnsi="Times New Roman"/>
          <w:noProof/>
          <w:sz w:val="24"/>
          <w:szCs w:val="24"/>
        </w:rPr>
        <w:t xml:space="preserve">Привличане на таланти (проекти): </w:t>
      </w:r>
    </w:p>
    <w:p>
      <w:pPr>
        <w:numPr>
          <w:ilvl w:val="0"/>
          <w:numId w:val="80"/>
        </w:numPr>
        <w:spacing w:before="120" w:after="120" w:line="240" w:lineRule="auto"/>
        <w:ind w:left="851" w:hanging="426"/>
        <w:contextualSpacing/>
        <w:jc w:val="both"/>
        <w:rPr>
          <w:rFonts w:ascii="Times New Roman" w:hAnsi="Times New Roman" w:cs="Times New Roman"/>
          <w:noProof/>
          <w:sz w:val="24"/>
          <w:szCs w:val="24"/>
        </w:rPr>
      </w:pPr>
      <w:r>
        <w:rPr>
          <w:rFonts w:ascii="Times New Roman" w:hAnsi="Times New Roman"/>
          <w:noProof/>
          <w:sz w:val="24"/>
          <w:szCs w:val="24"/>
        </w:rPr>
        <w:t>Испания Talent Hub: създаването на информационен възел за привличане и задържане на таланти в областта на ИИ – испанския център Talent, който се очаква да служи като център за набиране и повишаване на талантите и чуждестранните инвестиции, като се обръща специално внимание на нуждите на жените, както и на инвестициите със социално въздействие;</w:t>
      </w:r>
    </w:p>
    <w:p>
      <w:pPr>
        <w:numPr>
          <w:ilvl w:val="0"/>
          <w:numId w:val="80"/>
        </w:numPr>
        <w:spacing w:before="120" w:after="120" w:line="240" w:lineRule="auto"/>
        <w:ind w:left="851" w:hanging="426"/>
        <w:contextualSpacing/>
        <w:jc w:val="both"/>
        <w:rPr>
          <w:rFonts w:ascii="Times New Roman" w:hAnsi="Times New Roman" w:cs="Times New Roman"/>
          <w:noProof/>
          <w:sz w:val="24"/>
          <w:szCs w:val="24"/>
        </w:rPr>
      </w:pPr>
      <w:r>
        <w:rPr>
          <w:rFonts w:ascii="Times New Roman" w:hAnsi="Times New Roman"/>
          <w:noProof/>
          <w:sz w:val="24"/>
          <w:szCs w:val="24"/>
        </w:rPr>
        <w:t>Академични катедри: финансиране на създаването на 10—15 временни академични катедри между 1 януари 2021 г. и 31 декември 2023 г., с акцент върху основни теми като въздействието на ИИ върху демокрацията, нововъзникващите тенденции в областта на ИИ, оценките на системите с ИИ, хибридизацията на мозъка с ИИ и биомедицинския ИИ.</w:t>
      </w:r>
    </w:p>
    <w:p>
      <w:pPr>
        <w:numPr>
          <w:ilvl w:val="0"/>
          <w:numId w:val="82"/>
        </w:numPr>
        <w:spacing w:before="120" w:after="120" w:line="240" w:lineRule="auto"/>
        <w:ind w:left="426" w:hanging="426"/>
        <w:contextualSpacing/>
        <w:jc w:val="both"/>
        <w:rPr>
          <w:rFonts w:ascii="Times New Roman" w:hAnsi="Times New Roman" w:cs="Times New Roman"/>
          <w:noProof/>
          <w:sz w:val="24"/>
          <w:szCs w:val="24"/>
        </w:rPr>
      </w:pPr>
      <w:r>
        <w:rPr>
          <w:rFonts w:ascii="Times New Roman" w:hAnsi="Times New Roman"/>
          <w:noProof/>
          <w:sz w:val="24"/>
          <w:szCs w:val="24"/>
        </w:rPr>
        <w:t xml:space="preserve">Инфраструктури за данни и технологии (проекти): </w:t>
      </w:r>
    </w:p>
    <w:p>
      <w:pPr>
        <w:numPr>
          <w:ilvl w:val="0"/>
          <w:numId w:val="80"/>
        </w:numPr>
        <w:spacing w:before="120" w:after="120" w:line="240" w:lineRule="auto"/>
        <w:ind w:left="851" w:hanging="425"/>
        <w:contextualSpacing/>
        <w:jc w:val="both"/>
        <w:rPr>
          <w:rFonts w:ascii="Times New Roman" w:hAnsi="Times New Roman" w:cs="Times New Roman"/>
          <w:noProof/>
          <w:sz w:val="24"/>
          <w:szCs w:val="24"/>
        </w:rPr>
      </w:pPr>
      <w:r>
        <w:rPr>
          <w:rFonts w:ascii="Times New Roman" w:hAnsi="Times New Roman"/>
          <w:noProof/>
          <w:sz w:val="24"/>
          <w:szCs w:val="24"/>
        </w:rPr>
        <w:t>План за естествени езикови технологии: целта е да се развие секторът за обработка на естествени езици, както и системи за машинен превод и разговори в Испания, особено на испански и втори официални езици;</w:t>
      </w:r>
    </w:p>
    <w:p>
      <w:pPr>
        <w:numPr>
          <w:ilvl w:val="0"/>
          <w:numId w:val="80"/>
        </w:numPr>
        <w:spacing w:before="120" w:after="120" w:line="240" w:lineRule="auto"/>
        <w:ind w:left="851" w:hanging="425"/>
        <w:contextualSpacing/>
        <w:jc w:val="both"/>
        <w:rPr>
          <w:rFonts w:ascii="Times New Roman" w:hAnsi="Times New Roman" w:cs="Times New Roman"/>
          <w:noProof/>
          <w:sz w:val="24"/>
          <w:szCs w:val="24"/>
        </w:rPr>
      </w:pPr>
      <w:r>
        <w:rPr>
          <w:rFonts w:ascii="Times New Roman" w:hAnsi="Times New Roman"/>
          <w:noProof/>
          <w:sz w:val="24"/>
          <w:szCs w:val="24"/>
        </w:rPr>
        <w:t>укрепване на стратегическия капацитет за суперкомпютри: разработване на програма за улесняване на достъпа и използването от МСП и бизнес структурата на суперкомпютърните центрове в различни региони (като Естремадура, Галисия и Арагон), както и приемането на квантови изчисления в проекти от различни теми, включително мобилност и изменение на климата.</w:t>
      </w:r>
    </w:p>
    <w:p>
      <w:pPr>
        <w:numPr>
          <w:ilvl w:val="0"/>
          <w:numId w:val="84"/>
        </w:numPr>
        <w:spacing w:before="120" w:after="120" w:line="260" w:lineRule="exact"/>
        <w:ind w:left="426" w:hanging="426"/>
        <w:contextualSpacing/>
        <w:jc w:val="both"/>
        <w:rPr>
          <w:rFonts w:ascii="Times New Roman" w:hAnsi="Times New Roman" w:cs="Times New Roman"/>
          <w:noProof/>
          <w:sz w:val="24"/>
          <w:szCs w:val="24"/>
        </w:rPr>
      </w:pPr>
      <w:r>
        <w:rPr>
          <w:rFonts w:ascii="Times New Roman" w:hAnsi="Times New Roman"/>
          <w:noProof/>
          <w:sz w:val="24"/>
          <w:szCs w:val="24"/>
        </w:rPr>
        <w:t>Интегриране на ИИ във веригите за създаване на стойност (проекти):</w:t>
      </w:r>
    </w:p>
    <w:p>
      <w:pPr>
        <w:numPr>
          <w:ilvl w:val="0"/>
          <w:numId w:val="80"/>
        </w:numPr>
        <w:spacing w:before="120" w:after="120" w:line="260" w:lineRule="exact"/>
        <w:ind w:left="851" w:hanging="425"/>
        <w:contextualSpacing/>
        <w:jc w:val="both"/>
        <w:rPr>
          <w:rFonts w:ascii="Times New Roman" w:hAnsi="Times New Roman" w:cs="Times New Roman"/>
          <w:noProof/>
          <w:sz w:val="24"/>
          <w:szCs w:val="24"/>
        </w:rPr>
      </w:pPr>
      <w:r>
        <w:rPr>
          <w:rFonts w:ascii="Times New Roman" w:hAnsi="Times New Roman"/>
          <w:noProof/>
          <w:sz w:val="24"/>
          <w:szCs w:val="24"/>
        </w:rPr>
        <w:t>покана за отпускане на безвъзмездни средства за интегриране на ИИ във веригите за създаване на стойност: програма за помощ, с която се финансират проекти за експериментално развитие, чиято технологична зрялост съответства на равнища 6, 7 и 8 на TRL. Финансирането на проекти на тези равнища на технологична зрялост представлява силна подкрепа за продукти, които биха могли да бъдат близо до навлизането на пазара и по този начин да бъдат прехвърлени към веригата за създаване на стойност;</w:t>
      </w:r>
    </w:p>
    <w:p>
      <w:pPr>
        <w:numPr>
          <w:ilvl w:val="0"/>
          <w:numId w:val="80"/>
        </w:numPr>
        <w:spacing w:before="120" w:after="120" w:line="260" w:lineRule="exact"/>
        <w:ind w:left="851" w:hanging="425"/>
        <w:contextualSpacing/>
        <w:jc w:val="both"/>
        <w:rPr>
          <w:rFonts w:ascii="Times New Roman" w:hAnsi="Times New Roman" w:cs="Times New Roman"/>
          <w:noProof/>
          <w:sz w:val="24"/>
          <w:szCs w:val="24"/>
        </w:rPr>
      </w:pPr>
      <w:r>
        <w:rPr>
          <w:rFonts w:ascii="Times New Roman" w:hAnsi="Times New Roman"/>
          <w:noProof/>
          <w:sz w:val="24"/>
          <w:szCs w:val="24"/>
        </w:rPr>
        <w:t>Национална програма за „зелени“ алгоритми: програма за подкрепа за разработването на екологични алгоритми за максимално увеличаване на енергийната ефективност и намаляване на въздействието на моделите на ИИ върху околната среда, като същевременно се подкрепя използването на тази технология в отговор на различни екологични предизвикателства.</w:t>
      </w:r>
    </w:p>
    <w:p>
      <w:pPr>
        <w:spacing w:before="120" w:after="120" w:line="260" w:lineRule="exact"/>
        <w:jc w:val="both"/>
        <w:rPr>
          <w:rFonts w:ascii="Times New Roman" w:hAnsi="Times New Roman" w:cs="Times New Roman"/>
          <w:noProof/>
          <w:sz w:val="24"/>
        </w:rPr>
      </w:pPr>
      <w:r>
        <w:rPr>
          <w:rFonts w:ascii="Times New Roman" w:hAnsi="Times New Roman"/>
          <w:noProof/>
          <w:sz w:val="24"/>
        </w:rPr>
        <w:t xml:space="preserve">Реформите и инвестициите се осъществяват чрез i) покани за представяне на предложения за безвъзмездни средства, за мисии за научни изследвания и развойна дейност и за интегриране на ИИ във веригите за създаване на стойност; </w:t>
      </w:r>
      <w:r>
        <w:rPr>
          <w:rFonts w:ascii="Times New Roman" w:hAnsi="Times New Roman"/>
          <w:noProof/>
          <w:sz w:val="24"/>
          <w:lang w:val="en-US"/>
        </w:rPr>
        <w:t>ii</w:t>
      </w:r>
      <w:r>
        <w:rPr>
          <w:rFonts w:ascii="Times New Roman" w:hAnsi="Times New Roman"/>
          <w:noProof/>
          <w:sz w:val="24"/>
        </w:rPr>
        <w:t xml:space="preserve">) конвенциите, отнасящи се до инфраструктурите за данни и технологии; iii) обществени поръчки за регулаторната и етичната рамка, Националната програма „Зелени алгоритми“ и Плана за природен език; и iv) консорциуми за мултидисциплинарния институт за ИИ. </w:t>
      </w:r>
    </w:p>
    <w:p>
      <w:pPr>
        <w:spacing w:before="120" w:after="120" w:line="260" w:lineRule="exact"/>
        <w:jc w:val="both"/>
        <w:rPr>
          <w:rFonts w:ascii="Times New Roman" w:hAnsi="Times New Roman" w:cs="Times New Roman"/>
          <w:noProof/>
          <w:sz w:val="24"/>
        </w:rPr>
      </w:pPr>
      <w:r>
        <w:rPr>
          <w:rFonts w:ascii="Times New Roman" w:hAnsi="Times New Roman"/>
          <w:noProof/>
          <w:sz w:val="24"/>
        </w:rPr>
        <w:t xml:space="preserve">Изпълнението на реформата приключва до 31 март 2026 г. </w:t>
      </w:r>
    </w:p>
    <w:p>
      <w:pPr>
        <w:spacing w:before="120" w:after="120" w:line="260" w:lineRule="exact"/>
        <w:jc w:val="both"/>
        <w:rPr>
          <w:rFonts w:ascii="Times New Roman" w:hAnsi="Times New Roman" w:cs="Times New Roman"/>
          <w:b/>
          <w:bCs/>
          <w:noProof/>
          <w:sz w:val="24"/>
          <w:u w:val="single"/>
        </w:rPr>
      </w:pPr>
      <w:r>
        <w:rPr>
          <w:rFonts w:ascii="Times New Roman" w:hAnsi="Times New Roman"/>
          <w:b/>
          <w:bCs/>
          <w:noProof/>
          <w:sz w:val="24"/>
          <w:u w:val="single"/>
        </w:rPr>
        <w:t xml:space="preserve">П.2. </w:t>
      </w:r>
      <w:r>
        <w:rPr>
          <w:rFonts w:ascii="Times New Roman" w:hAnsi="Times New Roman"/>
          <w:b/>
          <w:noProof/>
          <w:sz w:val="24"/>
          <w:u w:val="single"/>
        </w:rPr>
        <w:tab/>
      </w:r>
      <w:r>
        <w:rPr>
          <w:rFonts w:ascii="Times New Roman" w:hAnsi="Times New Roman"/>
          <w:b/>
          <w:bCs/>
          <w:noProof/>
          <w:sz w:val="24"/>
          <w:u w:val="single"/>
        </w:rPr>
        <w:t>Ключови етапи, цели, показатели и график за мониторинг и изпълнение на безвъзмездната финансова подкрепа</w:t>
      </w:r>
    </w:p>
    <w:p>
      <w:pPr>
        <w:spacing w:before="120" w:after="0" w:line="260" w:lineRule="exact"/>
        <w:jc w:val="both"/>
        <w:rPr>
          <w:rFonts w:ascii="Times New Roman" w:hAnsi="Times New Roman" w:cs="Times New Roman"/>
          <w:noProof/>
          <w:color w:val="1F497D"/>
        </w:rPr>
      </w:pPr>
      <w:r>
        <w:rPr>
          <w:rFonts w:ascii="Times New Roman" w:hAnsi="Times New Roman"/>
          <w:i/>
          <w:iCs/>
          <w:noProof/>
          <w:color w:val="000000"/>
          <w:sz w:val="24"/>
        </w:rPr>
        <w:t>Вж. таблицата по-долу.</w:t>
      </w:r>
      <w:r>
        <w:rPr>
          <w:rFonts w:ascii="Times New Roman" w:hAnsi="Times New Roman"/>
          <w:noProof/>
          <w:color w:val="1F497D"/>
          <w:sz w:val="24"/>
        </w:rPr>
        <w:t xml:space="preserve"> </w:t>
      </w:r>
      <w:r>
        <w:rPr>
          <w:rFonts w:ascii="Times New Roman" w:hAnsi="Times New Roman"/>
          <w:i/>
          <w:iCs/>
          <w:noProof/>
          <w:color w:val="000000"/>
          <w:sz w:val="24"/>
        </w:rPr>
        <w:t>Датата на базовата линия за всички показатели е 1 февруари 2020 г., освен ако не е посочено друго в описанието на действието. Сумите в таблицата не включват ДДС.</w:t>
      </w:r>
    </w:p>
    <w:p>
      <w:pPr>
        <w:spacing w:before="120" w:after="120" w:line="240" w:lineRule="auto"/>
        <w:jc w:val="both"/>
        <w:rPr>
          <w:rFonts w:ascii="Times New Roman" w:hAnsi="Times New Roman" w:cs="Times New Roman"/>
          <w:b/>
          <w:noProof/>
          <w:sz w:val="24"/>
          <w:u w:val="single"/>
          <w:lang w:val="en-IE"/>
        </w:rPr>
      </w:pPr>
    </w:p>
    <w:p>
      <w:pPr>
        <w:spacing w:before="120" w:after="120" w:line="240" w:lineRule="auto"/>
        <w:ind w:left="709"/>
        <w:jc w:val="both"/>
        <w:rPr>
          <w:rFonts w:ascii="Times New Roman" w:hAnsi="Times New Roman" w:cs="Times New Roman"/>
          <w:noProof/>
          <w:sz w:val="24"/>
          <w:lang w:val="en-IE"/>
        </w:rPr>
        <w:sectPr>
          <w:headerReference w:type="even" r:id="rId199"/>
          <w:headerReference w:type="default" r:id="rId200"/>
          <w:footerReference w:type="even" r:id="rId201"/>
          <w:footerReference w:type="default" r:id="rId202"/>
          <w:headerReference w:type="first" r:id="rId203"/>
          <w:footerReference w:type="first" r:id="rId204"/>
          <w:pgSz w:w="11907" w:h="16839"/>
          <w:pgMar w:top="1134" w:right="1417" w:bottom="1134" w:left="1417" w:header="709" w:footer="709" w:gutter="0"/>
          <w:cols w:space="720"/>
          <w:docGrid w:linePitch="360"/>
        </w:sectPr>
      </w:pPr>
    </w:p>
    <w:tbl>
      <w:tblPr>
        <w:tblW w:w="15310"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09"/>
        <w:gridCol w:w="851"/>
        <w:gridCol w:w="850"/>
        <w:gridCol w:w="2694"/>
        <w:gridCol w:w="1275"/>
        <w:gridCol w:w="851"/>
        <w:gridCol w:w="652"/>
        <w:gridCol w:w="482"/>
        <w:gridCol w:w="418"/>
        <w:gridCol w:w="716"/>
        <w:gridCol w:w="5812"/>
      </w:tblGrid>
      <w:tr>
        <w:trPr>
          <w:trHeight w:val="309"/>
          <w:tblHeader/>
        </w:trPr>
        <w:tc>
          <w:tcPr>
            <w:tcW w:w="709" w:type="dxa"/>
            <w:tcBorders>
              <w:bottom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szCs w:val="18"/>
              </w:rPr>
              <w:t>Номер</w:t>
            </w:r>
          </w:p>
        </w:tc>
        <w:tc>
          <w:tcPr>
            <w:tcW w:w="851" w:type="dxa"/>
            <w:tcBorders>
              <w:bottom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szCs w:val="18"/>
              </w:rPr>
              <w:t>Мярка</w:t>
            </w:r>
          </w:p>
        </w:tc>
        <w:tc>
          <w:tcPr>
            <w:tcW w:w="850" w:type="dxa"/>
            <w:tcBorders>
              <w:bottom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szCs w:val="18"/>
              </w:rPr>
              <w:t>Ключов етап / Цел</w:t>
            </w:r>
          </w:p>
        </w:tc>
        <w:tc>
          <w:tcPr>
            <w:tcW w:w="2694" w:type="dxa"/>
            <w:tcBorders>
              <w:bottom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szCs w:val="18"/>
              </w:rPr>
              <w:t>Наименование</w:t>
            </w:r>
          </w:p>
        </w:tc>
        <w:tc>
          <w:tcPr>
            <w:tcW w:w="1275" w:type="dxa"/>
            <w:tcBorders>
              <w:bottom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szCs w:val="18"/>
              </w:rPr>
              <w:t>Качествени показатели за ключовите етапи</w:t>
            </w:r>
          </w:p>
        </w:tc>
        <w:tc>
          <w:tcPr>
            <w:tcW w:w="1985" w:type="dxa"/>
            <w:gridSpan w:val="3"/>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szCs w:val="18"/>
              </w:rPr>
              <w:t>Количествени показатели за целите</w:t>
            </w:r>
          </w:p>
        </w:tc>
        <w:tc>
          <w:tcPr>
            <w:tcW w:w="1134" w:type="dxa"/>
            <w:gridSpan w:val="2"/>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szCs w:val="18"/>
              </w:rPr>
              <w:t>Време</w:t>
            </w:r>
          </w:p>
        </w:tc>
        <w:tc>
          <w:tcPr>
            <w:tcW w:w="5812" w:type="dxa"/>
            <w:tcBorders>
              <w:bottom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r>
              <w:rPr>
                <w:rFonts w:ascii="Times New Roman" w:hAnsi="Times New Roman"/>
                <w:b/>
                <w:bCs/>
                <w:noProof/>
                <w:sz w:val="18"/>
                <w:szCs w:val="18"/>
              </w:rPr>
              <w:t>Описание на всеки ключов етап и всяка цел</w:t>
            </w:r>
          </w:p>
        </w:tc>
      </w:tr>
      <w:tr>
        <w:trPr>
          <w:trHeight w:val="309"/>
          <w:tblHeader/>
        </w:trPr>
        <w:tc>
          <w:tcPr>
            <w:tcW w:w="709"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851"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850"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2694" w:type="dxa"/>
            <w:tcBorders>
              <w:top w:val="nil"/>
            </w:tcBorders>
            <w:shd w:val="clear" w:color="auto" w:fill="C6D9F1" w:themeFill="text2" w:themeFillTint="33"/>
            <w:noWrap/>
          </w:tcPr>
          <w:p>
            <w:pPr>
              <w:spacing w:after="0" w:line="240" w:lineRule="auto"/>
              <w:rPr>
                <w:rFonts w:ascii="Times New Roman" w:hAnsi="Times New Roman" w:cs="Times New Roman"/>
                <w:b/>
                <w:noProof/>
                <w:color w:val="000000"/>
                <w:sz w:val="18"/>
                <w:szCs w:val="18"/>
              </w:rPr>
            </w:pPr>
          </w:p>
        </w:tc>
        <w:tc>
          <w:tcPr>
            <w:tcW w:w="1275"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851" w:type="dxa"/>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szCs w:val="18"/>
              </w:rPr>
              <w:t>Мерна единица</w:t>
            </w:r>
          </w:p>
        </w:tc>
        <w:tc>
          <w:tcPr>
            <w:tcW w:w="652" w:type="dxa"/>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szCs w:val="18"/>
              </w:rPr>
              <w:t>Базова линия</w:t>
            </w:r>
          </w:p>
        </w:tc>
        <w:tc>
          <w:tcPr>
            <w:tcW w:w="482" w:type="dxa"/>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szCs w:val="18"/>
              </w:rPr>
              <w:t>Цел</w:t>
            </w:r>
          </w:p>
        </w:tc>
        <w:tc>
          <w:tcPr>
            <w:tcW w:w="418" w:type="dxa"/>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szCs w:val="18"/>
              </w:rPr>
              <w:t>T</w:t>
            </w:r>
          </w:p>
        </w:tc>
        <w:tc>
          <w:tcPr>
            <w:tcW w:w="716" w:type="dxa"/>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szCs w:val="18"/>
              </w:rPr>
              <w:t>Година</w:t>
            </w:r>
          </w:p>
        </w:tc>
        <w:tc>
          <w:tcPr>
            <w:tcW w:w="5812" w:type="dxa"/>
            <w:tcBorders>
              <w:top w:val="nil"/>
            </w:tcBorders>
            <w:shd w:val="clear" w:color="auto" w:fill="C6D9F1" w:themeFill="text2" w:themeFillTint="33"/>
            <w:noWrap/>
          </w:tcPr>
          <w:p>
            <w:pPr>
              <w:spacing w:after="0" w:line="240" w:lineRule="auto"/>
              <w:rPr>
                <w:rFonts w:ascii="Times New Roman" w:hAnsi="Times New Roman" w:cs="Times New Roman"/>
                <w:b/>
                <w:noProof/>
                <w:color w:val="000000"/>
                <w:sz w:val="18"/>
                <w:szCs w:val="18"/>
                <w:lang w:val="en-IE"/>
              </w:rPr>
            </w:pP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249</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C16.R1</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2694"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Национална стратегия за изкуствения интелект </w:t>
            </w:r>
          </w:p>
        </w:tc>
        <w:tc>
          <w:tcPr>
            <w:tcW w:w="127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Публикуване в ОВ:</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652"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482"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418"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T3</w:t>
            </w:r>
          </w:p>
        </w:tc>
        <w:tc>
          <w:tcPr>
            <w:tcW w:w="716"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2020</w:t>
            </w:r>
          </w:p>
        </w:tc>
        <w:tc>
          <w:tcPr>
            <w:tcW w:w="5812"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Публикуване на националната стратегия за ИИ. Стратегията има за цел:</w:t>
            </w:r>
            <w:r>
              <w:rPr>
                <w:rFonts w:ascii="Times New Roman" w:hAnsi="Times New Roman"/>
                <w:noProof/>
                <w:color w:val="000000"/>
                <w:sz w:val="18"/>
                <w:szCs w:val="18"/>
              </w:rPr>
              <w:br/>
              <w:t>1. Позициониране на Испания като държава, ангажирана с насърчаването на високите научни постижения и иновациите в областта на ИИ.</w:t>
            </w:r>
            <w:r>
              <w:rPr>
                <w:rFonts w:ascii="Times New Roman" w:hAnsi="Times New Roman"/>
                <w:noProof/>
                <w:color w:val="000000"/>
                <w:sz w:val="18"/>
                <w:szCs w:val="18"/>
              </w:rPr>
              <w:br/>
              <w:t>2. Предвиждане на ИИ с испанския език.</w:t>
            </w:r>
            <w:r>
              <w:rPr>
                <w:rFonts w:ascii="Times New Roman" w:hAnsi="Times New Roman"/>
                <w:noProof/>
                <w:color w:val="000000"/>
                <w:sz w:val="18"/>
                <w:szCs w:val="18"/>
              </w:rPr>
              <w:br/>
              <w:t>3. Създаване на квалифицирана заетост, стимулиране и привличане на таланти, със специално внимание към жените.</w:t>
            </w:r>
            <w:r>
              <w:rPr>
                <w:rFonts w:ascii="Times New Roman" w:hAnsi="Times New Roman"/>
                <w:noProof/>
                <w:color w:val="000000"/>
                <w:sz w:val="18"/>
                <w:szCs w:val="18"/>
              </w:rPr>
              <w:br/>
              <w:t>4. Включване на ИИ в производствената система за подобряване на производителността на испанския бизнес.</w:t>
            </w:r>
            <w:r>
              <w:rPr>
                <w:rFonts w:ascii="Times New Roman" w:hAnsi="Times New Roman"/>
                <w:noProof/>
                <w:color w:val="000000"/>
                <w:sz w:val="18"/>
                <w:szCs w:val="18"/>
              </w:rPr>
              <w:br/>
              <w:t>5. Създаване на надеждна среда във връзка с ИИ.</w:t>
            </w:r>
            <w:r>
              <w:rPr>
                <w:rFonts w:ascii="Times New Roman" w:hAnsi="Times New Roman"/>
                <w:noProof/>
                <w:color w:val="000000"/>
                <w:sz w:val="18"/>
                <w:szCs w:val="18"/>
              </w:rPr>
              <w:br/>
              <w:t>6. Разработване на етична рамка, гарантираща индивидуалните и колективните права на гражданите в областта на ИИ.</w:t>
            </w:r>
            <w:r>
              <w:rPr>
                <w:rFonts w:ascii="Times New Roman" w:hAnsi="Times New Roman"/>
                <w:noProof/>
                <w:color w:val="000000"/>
                <w:sz w:val="18"/>
                <w:szCs w:val="18"/>
              </w:rPr>
              <w:br/>
              <w:t>7. Укрепване на приобщаващ и устойчив ИИ; по-специално за преодоляване на неравенството между половете и цифровото разделение, както и за подкрепа на екологичния преход и териториалното сближаване.</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250</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C16.R1</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2694"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Харта за цифровите права</w:t>
            </w:r>
          </w:p>
        </w:tc>
        <w:tc>
          <w:tcPr>
            <w:tcW w:w="127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Публикуване в ОВ:</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652"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482"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418"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716"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2021</w:t>
            </w:r>
          </w:p>
        </w:tc>
        <w:tc>
          <w:tcPr>
            <w:tcW w:w="5812"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Приемане от испанското правителство и публикуване на официалната уебстраница на Хартата за цифровите права. Хартата няма нормативен характер, а има за цел да признае новите предизвикателства пред прилагането и тълкуването, които произтичат от адаптирането на правата към цифровата среда, и да предложи свързани с това принципи и политики в този контекст. Успоредно с това тя предлага и референтна рамка за действията на публичните органи, като се използват и развиват всички възможности и възможности на настоящата цифрова среда, като същевременно се избягват рисковете. </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251</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C16.R1</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2694"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Подкрепа за проекти в областта на изкуствения интелект </w:t>
            </w:r>
          </w:p>
        </w:tc>
        <w:tc>
          <w:tcPr>
            <w:tcW w:w="127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Публикуване и финансиране на безвъзмездните средства по програмата</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 </w:t>
            </w:r>
          </w:p>
        </w:tc>
        <w:tc>
          <w:tcPr>
            <w:tcW w:w="652"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w:t>
            </w:r>
          </w:p>
        </w:tc>
        <w:tc>
          <w:tcPr>
            <w:tcW w:w="482"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w:t>
            </w:r>
          </w:p>
        </w:tc>
        <w:tc>
          <w:tcPr>
            <w:tcW w:w="418"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716"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2023</w:t>
            </w:r>
          </w:p>
        </w:tc>
        <w:tc>
          <w:tcPr>
            <w:tcW w:w="5812"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Най-малко 500 000 000 EUR бюджет, заделен за безвъзмездни средства за проекти в областта на изкуствения интелект за научноизследователски и развойни проекти, испански център за таланти в областта на ИИ, стипендии за научни изследвания в областта на ИИ, мултидисциплинарен институт за ИИ, обсерватории, квантови изчислителни технологии и национални програми за екологични алгоритми. Безвъзмездните средства се отпускат чрез конкурентни покани за участие в търг. </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252</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C16.R1</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w:t>
            </w:r>
          </w:p>
        </w:tc>
        <w:tc>
          <w:tcPr>
            <w:tcW w:w="2694"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Посетени мисии по държави </w:t>
            </w:r>
          </w:p>
        </w:tc>
        <w:tc>
          <w:tcPr>
            <w:tcW w:w="127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Номер</w:t>
            </w:r>
          </w:p>
        </w:tc>
        <w:tc>
          <w:tcPr>
            <w:tcW w:w="652"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0</w:t>
            </w:r>
          </w:p>
        </w:tc>
        <w:tc>
          <w:tcPr>
            <w:tcW w:w="482"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7</w:t>
            </w:r>
          </w:p>
        </w:tc>
        <w:tc>
          <w:tcPr>
            <w:tcW w:w="418"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T1</w:t>
            </w:r>
          </w:p>
        </w:tc>
        <w:tc>
          <w:tcPr>
            <w:tcW w:w="716"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2026</w:t>
            </w:r>
          </w:p>
        </w:tc>
        <w:tc>
          <w:tcPr>
            <w:tcW w:w="5812"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Най-малко 7 проекта, финансирани за конкретни мисии на държави с иновативни решения, основани на ИИ, за справяне с установените проблеми в рамките на тези мисии: здравеопазване, промишленост, околна среда, общество, енергетика, селско стопанство и икономика. Проекти се изпълняват с финансиране на съвместни проекти в размер на около 10 000 000—15 000 000 EUR.</w:t>
            </w:r>
          </w:p>
        </w:tc>
      </w:tr>
      <w:tr>
        <w:trPr>
          <w:trHeight w:val="309"/>
        </w:trPr>
        <w:tc>
          <w:tcPr>
            <w:tcW w:w="709"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253</w:t>
            </w:r>
          </w:p>
        </w:tc>
        <w:tc>
          <w:tcPr>
            <w:tcW w:w="851"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C16.R1</w:t>
            </w:r>
          </w:p>
        </w:tc>
        <w:tc>
          <w:tcPr>
            <w:tcW w:w="850"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M</w:t>
            </w:r>
          </w:p>
        </w:tc>
        <w:tc>
          <w:tcPr>
            <w:tcW w:w="2694"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szCs w:val="18"/>
              </w:rPr>
              <w:t xml:space="preserve">Приключване на проекти в областта на изкуствения интелект </w:t>
            </w:r>
          </w:p>
        </w:tc>
        <w:tc>
          <w:tcPr>
            <w:tcW w:w="1275"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Уведомление за приключване на инвестиционни проекти</w:t>
            </w:r>
          </w:p>
        </w:tc>
        <w:tc>
          <w:tcPr>
            <w:tcW w:w="851" w:type="dxa"/>
            <w:shd w:val="clear" w:color="auto" w:fill="C6EFCE"/>
            <w:noWrap/>
          </w:tcPr>
          <w:p>
            <w:pPr>
              <w:spacing w:after="0" w:line="240" w:lineRule="auto"/>
              <w:jc w:val="center"/>
              <w:rPr>
                <w:rFonts w:ascii="Times New Roman" w:hAnsi="Times New Roman" w:cs="Times New Roman"/>
                <w:strike/>
                <w:noProof/>
                <w:color w:val="000000"/>
                <w:sz w:val="18"/>
                <w:szCs w:val="18"/>
              </w:rPr>
            </w:pPr>
            <w:r>
              <w:rPr>
                <w:rFonts w:ascii="Times New Roman" w:hAnsi="Times New Roman"/>
                <w:noProof/>
                <w:color w:val="000000"/>
                <w:sz w:val="18"/>
                <w:szCs w:val="18"/>
              </w:rPr>
              <w:t> </w:t>
            </w:r>
          </w:p>
        </w:tc>
        <w:tc>
          <w:tcPr>
            <w:tcW w:w="652" w:type="dxa"/>
            <w:shd w:val="clear" w:color="auto" w:fill="C6EFCE"/>
            <w:noWrap/>
          </w:tcPr>
          <w:p>
            <w:pPr>
              <w:spacing w:after="0" w:line="240" w:lineRule="auto"/>
              <w:jc w:val="right"/>
              <w:rPr>
                <w:rFonts w:ascii="Times New Roman" w:hAnsi="Times New Roman" w:cs="Times New Roman"/>
                <w:strike/>
                <w:noProof/>
                <w:color w:val="000000"/>
                <w:sz w:val="18"/>
                <w:szCs w:val="18"/>
              </w:rPr>
            </w:pPr>
            <w:r>
              <w:rPr>
                <w:rFonts w:ascii="Times New Roman" w:hAnsi="Times New Roman"/>
                <w:noProof/>
                <w:color w:val="000000"/>
                <w:sz w:val="18"/>
                <w:szCs w:val="18"/>
              </w:rPr>
              <w:t> </w:t>
            </w:r>
          </w:p>
        </w:tc>
        <w:tc>
          <w:tcPr>
            <w:tcW w:w="482" w:type="dxa"/>
            <w:shd w:val="clear" w:color="auto" w:fill="C6EFCE"/>
            <w:noWrap/>
          </w:tcPr>
          <w:p>
            <w:pPr>
              <w:spacing w:after="0" w:line="240" w:lineRule="auto"/>
              <w:jc w:val="right"/>
              <w:rPr>
                <w:rFonts w:ascii="Times New Roman" w:hAnsi="Times New Roman" w:cs="Times New Roman"/>
                <w:strike/>
                <w:noProof/>
                <w:color w:val="000000"/>
                <w:sz w:val="18"/>
                <w:szCs w:val="18"/>
              </w:rPr>
            </w:pPr>
            <w:r>
              <w:rPr>
                <w:rFonts w:ascii="Times New Roman" w:hAnsi="Times New Roman"/>
                <w:noProof/>
                <w:color w:val="000000"/>
                <w:sz w:val="18"/>
                <w:szCs w:val="18"/>
              </w:rPr>
              <w:t> </w:t>
            </w:r>
          </w:p>
        </w:tc>
        <w:tc>
          <w:tcPr>
            <w:tcW w:w="418"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Q1</w:t>
            </w:r>
          </w:p>
        </w:tc>
        <w:tc>
          <w:tcPr>
            <w:tcW w:w="716"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2026</w:t>
            </w:r>
          </w:p>
        </w:tc>
        <w:tc>
          <w:tcPr>
            <w:tcW w:w="5812"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szCs w:val="18"/>
              </w:rPr>
              <w:t>Приключване на проекти в областта на изкуствения интелект R&amp;D, испански център за таланти в областта на ИИ, стипендии за научни изследвания в областта на ИИ, мултидисциплинарен институт за оценка на въздействието, обсерватории, квантови изчислителни технологии и екологични алгоритми национална програма съгласно критериите, определени в поканите за представяне на оферти (етап #251).</w:t>
            </w:r>
          </w:p>
        </w:tc>
      </w:tr>
    </w:tbl>
    <w:p>
      <w:pPr>
        <w:spacing w:before="120" w:after="120" w:line="240" w:lineRule="auto"/>
        <w:ind w:left="709"/>
        <w:jc w:val="both"/>
        <w:rPr>
          <w:rFonts w:ascii="Times New Roman" w:hAnsi="Times New Roman" w:cs="Times New Roman"/>
          <w:noProof/>
          <w:sz w:val="24"/>
          <w:szCs w:val="24"/>
        </w:rPr>
        <w:sectPr>
          <w:headerReference w:type="even" r:id="rId205"/>
          <w:headerReference w:type="default" r:id="rId206"/>
          <w:footerReference w:type="even" r:id="rId207"/>
          <w:footerReference w:type="default" r:id="rId208"/>
          <w:headerReference w:type="first" r:id="rId209"/>
          <w:footerReference w:type="first" r:id="rId210"/>
          <w:pgSz w:w="16839" w:h="11907" w:orient="landscape"/>
          <w:pgMar w:top="1417" w:right="1134" w:bottom="1417" w:left="1134" w:header="709" w:footer="709" w:gutter="0"/>
          <w:cols w:space="720"/>
          <w:docGrid w:linePitch="360"/>
        </w:sectPr>
      </w:pPr>
    </w:p>
    <w:p>
      <w:pPr>
        <w:pStyle w:val="Heading1"/>
        <w:rPr>
          <w:noProof/>
        </w:rPr>
      </w:pPr>
      <w:r>
        <w:rPr>
          <w:noProof/>
        </w:rPr>
        <w:t xml:space="preserve">Р. КОМПОНЕНТ 17: Наука, технологии и иновации </w:t>
      </w:r>
    </w:p>
    <w:p>
      <w:pPr>
        <w:spacing w:before="120" w:after="120" w:line="240" w:lineRule="auto"/>
        <w:jc w:val="both"/>
        <w:rPr>
          <w:rFonts w:ascii="Times New Roman" w:hAnsi="Times New Roman" w:cs="Times New Roman"/>
          <w:noProof/>
          <w:color w:val="000000" w:themeColor="text1"/>
          <w:sz w:val="24"/>
        </w:rPr>
      </w:pPr>
      <w:r>
        <w:rPr>
          <w:rFonts w:ascii="Times New Roman" w:hAnsi="Times New Roman"/>
          <w:noProof/>
          <w:sz w:val="24"/>
          <w:szCs w:val="24"/>
        </w:rPr>
        <w:t>В стратегията на Испания за наука, технологии и иновации за периода 2021— 2027 г.</w:t>
      </w:r>
      <w:r>
        <w:rPr>
          <w:rFonts w:ascii="Times New Roman" w:hAnsi="Times New Roman"/>
          <w:noProof/>
          <w:color w:val="000000" w:themeColor="text1"/>
          <w:sz w:val="24"/>
          <w:szCs w:val="24"/>
        </w:rPr>
        <w:t xml:space="preserve"> се предвижда значителен растеж на инвестициите в научноизследователска развойна дейност и иновации (НИРД) в Испания, достигайки 2,12 % от БВП през 2027 г. В този контекст основната цел на този компонент 17 от испанския план за възстановяване и устойчивост</w:t>
      </w:r>
      <w:r>
        <w:rPr>
          <w:rFonts w:ascii="Times New Roman" w:hAnsi="Times New Roman"/>
          <w:noProof/>
          <w:sz w:val="24"/>
          <w:szCs w:val="24"/>
        </w:rPr>
        <w:t xml:space="preserve"> е да </w:t>
      </w:r>
      <w:r>
        <w:rPr>
          <w:rFonts w:ascii="Times New Roman" w:hAnsi="Times New Roman"/>
          <w:noProof/>
          <w:color w:val="000000"/>
          <w:sz w:val="24"/>
          <w:szCs w:val="24"/>
          <w:shd w:val="clear" w:color="auto" w:fill="FFFFFF"/>
        </w:rPr>
        <w:t>се</w:t>
      </w:r>
      <w:r>
        <w:rPr>
          <w:rFonts w:ascii="Times New Roman" w:hAnsi="Times New Roman"/>
          <w:noProof/>
          <w:sz w:val="24"/>
          <w:szCs w:val="24"/>
        </w:rPr>
        <w:t xml:space="preserve"> подобри испанската система за наука, технологии и иновации чрез реформиране на нейното управление, подобряване на координацията между участниците, повишаване на нейната ефективност и ускоряване на инвестициите в НИРД </w:t>
      </w:r>
      <w:r>
        <w:rPr>
          <w:rFonts w:ascii="Times New Roman" w:hAnsi="Times New Roman"/>
          <w:noProof/>
          <w:color w:val="000000" w:themeColor="text1"/>
          <w:sz w:val="24"/>
          <w:szCs w:val="24"/>
        </w:rPr>
        <w:t>чрез следните елементи</w:t>
      </w:r>
      <w:r>
        <w:rPr>
          <w:rFonts w:ascii="Times New Roman" w:hAnsi="Times New Roman"/>
          <w:noProof/>
          <w:sz w:val="24"/>
          <w:szCs w:val="24"/>
        </w:rPr>
        <w:t>:</w:t>
      </w:r>
      <w:r>
        <w:rPr>
          <w:rFonts w:ascii="Times New Roman" w:hAnsi="Times New Roman"/>
          <w:noProof/>
          <w:color w:val="000000" w:themeColor="text1"/>
          <w:sz w:val="24"/>
          <w:szCs w:val="24"/>
        </w:rPr>
        <w:t xml:space="preserve"> </w:t>
      </w:r>
    </w:p>
    <w:p>
      <w:pPr>
        <w:numPr>
          <w:ilvl w:val="0"/>
          <w:numId w:val="19"/>
        </w:numPr>
        <w:spacing w:before="120" w:after="12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разработване на ясна и предвидима регулаторна рамка, която да подобри управлението на сектора, да повиши ефективността на публичните политики в областта на научните изследвания и развойната дейност, да подобри трансфера на знания и да насърчи инвестициите в научни изследвания и развойна дейност; </w:t>
      </w:r>
    </w:p>
    <w:p>
      <w:pPr>
        <w:numPr>
          <w:ilvl w:val="0"/>
          <w:numId w:val="19"/>
        </w:numPr>
        <w:spacing w:before="120" w:after="12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инвестиции в инфраструктура, оборудване и човешки капитал; </w:t>
      </w:r>
    </w:p>
    <w:p>
      <w:pPr>
        <w:numPr>
          <w:ilvl w:val="0"/>
          <w:numId w:val="19"/>
        </w:numPr>
        <w:spacing w:before="120" w:after="12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инвестиции в трансфер на знания, регионални научноизследователски и развойни проекти, проекти в областта на НИРД и публично-частни партньорства на национално равнище; и </w:t>
      </w:r>
    </w:p>
    <w:p>
      <w:pPr>
        <w:numPr>
          <w:ilvl w:val="0"/>
          <w:numId w:val="19"/>
        </w:numPr>
        <w:spacing w:before="120" w:after="12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инвестициите в научноизследователска и развойна дейност НИРД в стратегическите сектори на здравеопазването, околната среда, изменението на климата и енергетиката, устойчивата автомобилостроене и авиокосмическата промишленост.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rPr>
        <w:t>Този компонент е насочен към специфичните за всяка държава препоръки за насърчаване на инвестициите в иновации и енергийна ефективност и за повишаване на ефективността на политиките в подкрепа на научните изследвания и иновациите (специфична препоръка за отделните държави 3 2019 г.), за насърчаване на публичните и частните инвестиции и научните изследвания и иновациите (специфична препоръка за конкретна държава 3 2020 г.) и за подобряване на координацията между всички равнища на управление (специфична препоръка за всяка държава 4 2020 г.).</w:t>
      </w:r>
    </w:p>
    <w:p>
      <w:pPr>
        <w:spacing w:before="120" w:after="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szCs w:val="24"/>
        </w:rPr>
        <w:t xml:space="preserve">Очаква се, че нито една мярка в този компонент не вреди в значителна степен на екологичните цели по смисъла на член 17 от Регламент (ЕС) 2020/852, като се вземат предвид описанието на мерките и стъпките за смекчаване на последиците, определени в плана за възстановяване и устойчивост в съответствие с Техническите насоки за спазването на „принципа за ненанасяне на съществена вреда“ (2021/C58/01). </w:t>
      </w:r>
    </w:p>
    <w:p>
      <w:pPr>
        <w:spacing w:before="120" w:after="120" w:line="240" w:lineRule="auto"/>
        <w:ind w:left="709"/>
        <w:jc w:val="both"/>
        <w:rPr>
          <w:rFonts w:ascii="Times New Roman" w:hAnsi="Times New Roman" w:cs="Times New Roman"/>
          <w:b/>
          <w:bCs/>
          <w:i/>
          <w:iCs/>
          <w:noProof/>
          <w:color w:val="4F81BD" w:themeColor="accent1"/>
          <w:sz w:val="24"/>
        </w:rPr>
      </w:pPr>
      <w:r>
        <w:rPr>
          <w:rFonts w:ascii="Times New Roman" w:hAnsi="Times New Roman"/>
          <w:b/>
          <w:bCs/>
          <w:noProof/>
          <w:sz w:val="24"/>
          <w:u w:val="single"/>
        </w:rPr>
        <w:t xml:space="preserve">Р.1. </w:t>
      </w:r>
      <w:r>
        <w:rPr>
          <w:rFonts w:ascii="Times New Roman" w:hAnsi="Times New Roman"/>
          <w:b/>
          <w:noProof/>
          <w:sz w:val="24"/>
          <w:u w:val="single"/>
        </w:rPr>
        <w:tab/>
      </w:r>
      <w:r>
        <w:rPr>
          <w:rFonts w:ascii="Times New Roman" w:hAnsi="Times New Roman"/>
          <w:b/>
          <w:bCs/>
          <w:noProof/>
          <w:sz w:val="24"/>
          <w:u w:val="single"/>
        </w:rPr>
        <w:t>Описание на реформите и инвестициите за безвъзмездна финансова подкрепа</w:t>
      </w:r>
    </w:p>
    <w:p>
      <w:pPr>
        <w:spacing w:before="120" w:after="120" w:line="240" w:lineRule="auto"/>
        <w:jc w:val="both"/>
        <w:rPr>
          <w:rFonts w:ascii="Times New Roman" w:hAnsi="Times New Roman" w:cs="Times New Roman"/>
          <w:noProof/>
          <w:color w:val="000000" w:themeColor="text1"/>
          <w:sz w:val="24"/>
          <w:u w:val="single"/>
        </w:rPr>
      </w:pPr>
      <w:r>
        <w:rPr>
          <w:rFonts w:ascii="Times New Roman" w:hAnsi="Times New Roman"/>
          <w:noProof/>
          <w:color w:val="000000" w:themeColor="text1"/>
          <w:sz w:val="24"/>
          <w:u w:val="single"/>
        </w:rPr>
        <w:t xml:space="preserve">Реформа 1 (C17.R1): </w:t>
      </w:r>
      <w:r>
        <w:rPr>
          <w:rFonts w:ascii="Times New Roman" w:hAnsi="Times New Roman"/>
          <w:noProof/>
          <w:sz w:val="24"/>
          <w:u w:val="single"/>
        </w:rPr>
        <w:t>Реформа на закона за науката, технологиите и иновациите</w:t>
      </w:r>
      <w:r>
        <w:rPr>
          <w:rFonts w:ascii="Times New Roman" w:hAnsi="Times New Roman"/>
          <w:noProof/>
          <w:color w:val="000000" w:themeColor="text1"/>
          <w:sz w:val="24"/>
          <w:u w:val="single"/>
        </w:rPr>
        <w:t xml:space="preserve"> </w:t>
      </w:r>
    </w:p>
    <w:p>
      <w:pPr>
        <w:spacing w:before="120" w:after="12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Целта на тази мярка е да се укрепи регулаторната рамка за сектора на науката, технологиите и иновациите, за да се подобри управлението и координацията на сектора, да се създаде привлекателна научна кариера и да се подобри трансферът на знания от научните изследвания към приложните продукти/услуги за обществото. </w:t>
      </w:r>
      <w:r>
        <w:rPr>
          <w:rFonts w:ascii="Times New Roman" w:hAnsi="Times New Roman"/>
          <w:noProof/>
          <w:sz w:val="24"/>
        </w:rPr>
        <w:t>По-специално Испания следва да актуализира Закон 14/2011 относно науката, технологиите и иновациите, като подобри координацията на политиките в областта на науката, научните изследвания и иновациите, подобри управлението и координацията на испанската система за научни технологии и иновации, въведе нова научна кариера и подобри трансфера на знания.</w:t>
      </w:r>
      <w:r>
        <w:rPr>
          <w:rFonts w:ascii="Times New Roman" w:hAnsi="Times New Roman"/>
          <w:noProof/>
          <w:color w:val="000000"/>
          <w:sz w:val="24"/>
        </w:rPr>
        <w:t xml:space="preserve"> </w:t>
      </w:r>
    </w:p>
    <w:p>
      <w:pPr>
        <w:spacing w:before="120" w:after="12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Тази мярка е свързана с инвестициите, включени в C17.I1, C17.I4 и C17.I5, описани по-долу.</w:t>
      </w:r>
    </w:p>
    <w:p>
      <w:pPr>
        <w:autoSpaceDE w:val="0"/>
        <w:autoSpaceDN w:val="0"/>
        <w:spacing w:before="40" w:after="40"/>
        <w:rPr>
          <w:rFonts w:ascii="Times New Roman" w:hAnsi="Times New Roman" w:cs="Times New Roman"/>
          <w:noProof/>
          <w:sz w:val="24"/>
          <w:szCs w:val="24"/>
        </w:rPr>
      </w:pPr>
      <w:r>
        <w:rPr>
          <w:rFonts w:ascii="Times New Roman" w:hAnsi="Times New Roman"/>
          <w:noProof/>
          <w:sz w:val="24"/>
          <w:szCs w:val="24"/>
        </w:rPr>
        <w:t>Изпълнението на мярката приключва до 30 юни 2022 г.</w:t>
      </w:r>
      <w:r>
        <w:rPr>
          <w:rFonts w:ascii="Times New Roman" w:hAnsi="Times New Roman"/>
          <w:noProof/>
          <w:color w:val="000000"/>
          <w:sz w:val="24"/>
          <w:szCs w:val="24"/>
        </w:rPr>
        <w:t xml:space="preserve"> </w:t>
      </w:r>
    </w:p>
    <w:p>
      <w:pPr>
        <w:spacing w:before="120" w:after="120" w:line="240" w:lineRule="auto"/>
        <w:jc w:val="both"/>
        <w:rPr>
          <w:rFonts w:ascii="Times New Roman" w:hAnsi="Times New Roman" w:cs="Times New Roman"/>
          <w:noProof/>
          <w:color w:val="000000" w:themeColor="text1"/>
          <w:sz w:val="24"/>
          <w:u w:val="single"/>
        </w:rPr>
      </w:pPr>
      <w:r>
        <w:rPr>
          <w:rFonts w:ascii="Times New Roman" w:hAnsi="Times New Roman"/>
          <w:noProof/>
          <w:color w:val="000000" w:themeColor="text1"/>
          <w:sz w:val="24"/>
          <w:u w:val="single"/>
        </w:rPr>
        <w:t xml:space="preserve">Реформа 2 (C17.R2): </w:t>
      </w:r>
      <w:bookmarkStart w:id="2" w:name="_Hlk60056026"/>
      <w:r>
        <w:rPr>
          <w:rFonts w:ascii="Times New Roman" w:hAnsi="Times New Roman"/>
          <w:noProof/>
          <w:sz w:val="24"/>
          <w:u w:val="single"/>
        </w:rPr>
        <w:t>Стратегия на Испания за наука, технологии и иновации 2021—2027 г. и Авангардно развитие на информационната система за наука, технологии и иновации</w:t>
      </w:r>
      <w:bookmarkEnd w:id="2"/>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Мярката включва приемането от испанското правителство на испанската стратегия за наука, технологии и иновации за периода 2021—2027 г. В стратегията се определят общите цели за сектора в периода 2021—2027 г. С цел да се засили трансферът на знания, стратегията обедини по-рано разделени стратегии за наука и технологии и стратегия за иновации. Стратегията осигурява обща рамка за насочване както на националните, така и на регионалните планове за научноизследователска и развойна дейност и иновации. За тази цел Испания прие стратегия за „Стратегия за интелигентна специализация на Испания“ в рамките на Европейския фонд за регионално развитие (ЕФРР), която осигурява структурата на предстоящите регионални стратегии за интелигентна специализация. </w:t>
      </w:r>
    </w:p>
    <w:p>
      <w:pPr>
        <w:spacing w:before="120" w:after="120" w:line="240" w:lineRule="auto"/>
        <w:jc w:val="both"/>
        <w:rPr>
          <w:rFonts w:ascii="Times New Roman" w:hAnsi="Times New Roman" w:cs="Times New Roman"/>
          <w:noProof/>
          <w:color w:val="000000" w:themeColor="text1"/>
          <w:sz w:val="24"/>
        </w:rPr>
      </w:pPr>
      <w:r>
        <w:rPr>
          <w:rFonts w:ascii="Times New Roman" w:hAnsi="Times New Roman"/>
          <w:noProof/>
          <w:sz w:val="24"/>
        </w:rPr>
        <w:t xml:space="preserve">Съветът по политика в областта на науката, технологиите и иновациите, председателстван от Министерството на науката и иновациите, с представители на ключови министерства и региони, разработи стратегията. Стратегията беше консултирана с основните заинтересовани страни, включително частния сектор, публичните научноизследователски организации и гражданското общество. </w:t>
      </w:r>
      <w:r>
        <w:rPr>
          <w:rFonts w:ascii="Times New Roman" w:hAnsi="Times New Roman"/>
          <w:noProof/>
          <w:color w:val="000000" w:themeColor="text1"/>
          <w:sz w:val="24"/>
        </w:rPr>
        <w:t xml:space="preserve">За наблюдение и оценка на стратегията беше създадена комисия с представители на държавата, регионите, икономическите и социалните участници, научната и новаторската общност и гражданското общество. </w:t>
      </w:r>
    </w:p>
    <w:p>
      <w:pPr>
        <w:spacing w:before="120" w:after="120" w:line="240" w:lineRule="auto"/>
        <w:jc w:val="both"/>
        <w:rPr>
          <w:rFonts w:ascii="Times New Roman" w:hAnsi="Times New Roman" w:cs="Times New Roman"/>
          <w:noProof/>
          <w:color w:val="000000" w:themeColor="text1"/>
          <w:sz w:val="24"/>
        </w:rPr>
      </w:pPr>
      <w:r>
        <w:rPr>
          <w:rFonts w:ascii="Times New Roman" w:hAnsi="Times New Roman"/>
          <w:noProof/>
          <w:sz w:val="24"/>
        </w:rPr>
        <w:t xml:space="preserve">Стратегията предвижда годишни мониторингови доклади, междинна оценка (до декември 2023 г.) и окончателна оценка на стратегията се оповестява публично. В оценките ще бъде разгледан и напредъкът в изпълнението на специфичните за всяка държава препоръки, отправени към Испания в областта на научноизследователската и развойната дейност. </w:t>
      </w:r>
      <w:r>
        <w:rPr>
          <w:rFonts w:ascii="Times New Roman" w:hAnsi="Times New Roman"/>
          <w:noProof/>
          <w:color w:val="000000" w:themeColor="text1"/>
          <w:sz w:val="24"/>
        </w:rPr>
        <w:t>Освен това тази мярка има за цел конкретно да подобри информационната система за наука, технологии и иновации, да подобри събирането и анализа на данни за мониторинга на испанската стратегия за наука, технологии и иновации.</w:t>
      </w:r>
    </w:p>
    <w:p>
      <w:pPr>
        <w:autoSpaceDE w:val="0"/>
        <w:autoSpaceDN w:val="0"/>
        <w:spacing w:before="40" w:after="40"/>
        <w:rPr>
          <w:rFonts w:ascii="Times New Roman" w:hAnsi="Times New Roman" w:cs="Times New Roman"/>
          <w:noProof/>
          <w:sz w:val="24"/>
          <w:szCs w:val="24"/>
        </w:rPr>
      </w:pPr>
      <w:r>
        <w:rPr>
          <w:rFonts w:ascii="Times New Roman" w:hAnsi="Times New Roman"/>
          <w:noProof/>
          <w:sz w:val="24"/>
          <w:szCs w:val="24"/>
        </w:rPr>
        <w:t>Изпълнението на мярката приключва до 31 декември 2023 г.</w:t>
      </w:r>
      <w:r>
        <w:rPr>
          <w:rFonts w:ascii="Times New Roman" w:hAnsi="Times New Roman"/>
          <w:noProof/>
          <w:color w:val="000000"/>
          <w:sz w:val="24"/>
          <w:szCs w:val="24"/>
        </w:rPr>
        <w:t xml:space="preserve"> </w:t>
      </w:r>
    </w:p>
    <w:p>
      <w:pPr>
        <w:spacing w:before="120" w:after="120" w:line="240" w:lineRule="auto"/>
        <w:jc w:val="both"/>
        <w:rPr>
          <w:rFonts w:ascii="Times New Roman" w:hAnsi="Times New Roman" w:cs="Times New Roman"/>
          <w:noProof/>
          <w:color w:val="000000" w:themeColor="text1"/>
          <w:sz w:val="24"/>
          <w:u w:val="single"/>
        </w:rPr>
      </w:pPr>
      <w:r>
        <w:rPr>
          <w:rFonts w:ascii="Times New Roman" w:hAnsi="Times New Roman"/>
          <w:noProof/>
          <w:color w:val="000000" w:themeColor="text1"/>
          <w:sz w:val="24"/>
          <w:u w:val="single"/>
        </w:rPr>
        <w:t xml:space="preserve">Реформа 3 (C17.R3): Реорганизация на публичните </w:t>
      </w:r>
      <w:bookmarkStart w:id="3" w:name="_Hlk60056040"/>
      <w:r>
        <w:rPr>
          <w:rFonts w:ascii="Times New Roman" w:hAnsi="Times New Roman"/>
          <w:noProof/>
          <w:color w:val="000000" w:themeColor="text1"/>
          <w:sz w:val="24"/>
          <w:u w:val="single"/>
        </w:rPr>
        <w:t>научноизследователски организации</w:t>
      </w:r>
      <w:bookmarkEnd w:id="3"/>
      <w:r>
        <w:rPr>
          <w:rFonts w:ascii="Times New Roman" w:hAnsi="Times New Roman"/>
          <w:noProof/>
          <w:color w:val="000000" w:themeColor="text1"/>
          <w:sz w:val="24"/>
          <w:u w:val="single"/>
        </w:rPr>
        <w:t xml:space="preserve"> и рационализиране на тяхната структура и функциониране</w:t>
      </w:r>
    </w:p>
    <w:p>
      <w:pPr>
        <w:spacing w:before="120" w:after="12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Целта на тази мярка е да се повиши ефективността на публичните научноизследователски организации (PRO), след анализ на предизвикателствата, чрез реорганизация на програмите за научни изследвания, включително на тяхната управленска структура. В началото на 2021 г. експертна комисия извърши анализ на програмите за научни изследвания и заключи, че по-големите, независими и гъвкави научноизследователски агенции разполагат с по-добри структури, за да се конкурират. </w:t>
      </w:r>
    </w:p>
    <w:p>
      <w:pPr>
        <w:spacing w:before="120" w:after="12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След този анализ Испания интегрира в испанския Национален съвет за научни изследвания (</w:t>
      </w:r>
      <w:r>
        <w:rPr>
          <w:rFonts w:ascii="Times New Roman" w:hAnsi="Times New Roman"/>
          <w:i/>
          <w:noProof/>
          <w:color w:val="000000" w:themeColor="text1"/>
          <w:sz w:val="24"/>
        </w:rPr>
        <w:t>Centro Superior de Investigaciones Científicas</w:t>
      </w:r>
      <w:r>
        <w:rPr>
          <w:rFonts w:ascii="Times New Roman" w:hAnsi="Times New Roman"/>
          <w:noProof/>
          <w:color w:val="000000" w:themeColor="text1"/>
          <w:sz w:val="24"/>
        </w:rPr>
        <w:t xml:space="preserve">, CSIC) три PROs: </w:t>
      </w:r>
      <w:r>
        <w:rPr>
          <w:rFonts w:ascii="Times New Roman" w:hAnsi="Times New Roman"/>
          <w:noProof/>
        </w:rPr>
        <w:t>националният институт за изследвания в областта на селското стопанство и храните (</w:t>
      </w:r>
      <w:r>
        <w:rPr>
          <w:rFonts w:ascii="Times New Roman" w:hAnsi="Times New Roman"/>
          <w:i/>
          <w:noProof/>
        </w:rPr>
        <w:t>Instituto Nacional de Investigación y Tecnología Agraria</w:t>
      </w:r>
      <w:r>
        <w:rPr>
          <w:rFonts w:ascii="Times New Roman" w:hAnsi="Times New Roman"/>
          <w:noProof/>
        </w:rPr>
        <w:t>, INIA), Испанския институт по океанография (</w:t>
      </w:r>
      <w:r>
        <w:rPr>
          <w:rFonts w:ascii="Times New Roman" w:hAnsi="Times New Roman"/>
          <w:i/>
          <w:noProof/>
        </w:rPr>
        <w:t>Instituto Español de Oceanografía</w:t>
      </w:r>
      <w:r>
        <w:rPr>
          <w:rFonts w:ascii="Times New Roman" w:hAnsi="Times New Roman"/>
          <w:noProof/>
        </w:rPr>
        <w:t>, IEO) и Института по геология и минно дело на Испания (</w:t>
      </w:r>
      <w:r>
        <w:rPr>
          <w:rFonts w:ascii="Times New Roman" w:hAnsi="Times New Roman"/>
          <w:i/>
          <w:noProof/>
        </w:rPr>
        <w:t>Instituto Geológico Minero de España</w:t>
      </w:r>
      <w:r>
        <w:rPr>
          <w:rFonts w:ascii="Times New Roman" w:hAnsi="Times New Roman"/>
          <w:noProof/>
        </w:rPr>
        <w:t>, IGME).</w:t>
      </w:r>
      <w:r>
        <w:rPr>
          <w:rFonts w:ascii="Times New Roman" w:hAnsi="Times New Roman"/>
          <w:noProof/>
          <w:color w:val="000000" w:themeColor="text1"/>
          <w:sz w:val="24"/>
        </w:rPr>
        <w:t xml:space="preserve"> Тази реорганизация ще укрепи експертния капацитет на Испания в областта на политиката в областта на рибарството, хранително-вкусовата промишленост и екологичния преход. Трите ПРО имат правния режим на държавна агенция, която осигурява по-голяма гъвкавост и рамка, основана на изпълнението, установена в многогодишен договор за управление. Освен това Испания въвежда бюджетиране, основано на изпълнението. Реформата засилва управлението, оценката на резултатите и контрола на създадените в резултат на това субекти. </w:t>
      </w:r>
    </w:p>
    <w:p>
      <w:pPr>
        <w:pStyle w:val="Text1"/>
        <w:ind w:left="0"/>
        <w:rPr>
          <w:noProof/>
          <w:color w:val="000000" w:themeColor="text1"/>
        </w:rPr>
      </w:pPr>
      <w:r>
        <w:rPr>
          <w:noProof/>
          <w:color w:val="000000" w:themeColor="text1"/>
        </w:rPr>
        <w:t xml:space="preserve">Изпълнението на мярката приключва до 31 декември 2022 г. </w:t>
      </w:r>
    </w:p>
    <w:p>
      <w:pPr>
        <w:keepNext/>
        <w:spacing w:before="120" w:after="120" w:line="240" w:lineRule="auto"/>
        <w:jc w:val="both"/>
        <w:rPr>
          <w:rFonts w:ascii="Times New Roman" w:hAnsi="Times New Roman" w:cs="Times New Roman"/>
          <w:noProof/>
          <w:color w:val="000000" w:themeColor="text1"/>
          <w:sz w:val="24"/>
          <w:u w:val="single"/>
        </w:rPr>
      </w:pPr>
      <w:r>
        <w:rPr>
          <w:rFonts w:ascii="Times New Roman" w:hAnsi="Times New Roman"/>
          <w:noProof/>
          <w:color w:val="000000" w:themeColor="text1"/>
          <w:sz w:val="24"/>
          <w:u w:val="single"/>
        </w:rPr>
        <w:t>Инвестиция 1 (C17.I1): Допълнителни планове за научноизследователска и развойна дейност с автономни области</w:t>
      </w:r>
    </w:p>
    <w:p>
      <w:pPr>
        <w:keepNext/>
        <w:spacing w:before="120" w:after="120" w:line="240" w:lineRule="auto"/>
        <w:jc w:val="both"/>
        <w:rPr>
          <w:rFonts w:ascii="Times New Roman" w:hAnsi="Times New Roman" w:cs="Times New Roman"/>
          <w:noProof/>
          <w:sz w:val="24"/>
        </w:rPr>
      </w:pPr>
      <w:r>
        <w:rPr>
          <w:rFonts w:ascii="Times New Roman" w:hAnsi="Times New Roman"/>
          <w:noProof/>
          <w:sz w:val="24"/>
        </w:rPr>
        <w:t xml:space="preserve">Целта на тази мярка е да се насърчи координацията на държавно равнище с регионите в областта на научноизследователската и развойна дейност (R&amp;D&amp;I) чрез създаването на допълнителни планове за научноизследователска и развойна дейност и иновации, които да бъдат съфинансирани от Механизма за възстановяване и устойчивост и регионите. Този нов инструмент също така ще задълбочи сътрудничеството между регионите, тъй като те определят общи приоритети в рамките на съответните им регионални стратегии за интелигентна специализация (RIS3). </w:t>
      </w:r>
    </w:p>
    <w:p>
      <w:pPr>
        <w:spacing w:before="120" w:after="120" w:line="240" w:lineRule="auto"/>
        <w:jc w:val="both"/>
        <w:rPr>
          <w:rFonts w:ascii="Times New Roman" w:hAnsi="Times New Roman" w:cs="Times New Roman"/>
          <w:noProof/>
          <w:sz w:val="24"/>
        </w:rPr>
      </w:pPr>
      <w:r>
        <w:rPr>
          <w:rFonts w:ascii="Times New Roman" w:hAnsi="Times New Roman"/>
          <w:noProof/>
          <w:sz w:val="24"/>
        </w:rPr>
        <w:t>В съответствие с испанската стратегия за наука, технологии и иновации за периода 2021—2027 г. допълнителните планове подобряват генерирането на знания и технологичните иновации, координацията на различните равнища на управление и стимулират териториалната икономическа трансформация в следните стратегически области: квантова комуникация, енергетика и зелен водород, хранително-вкусова промишленост, биологично разнообразие, астрофизика и високоенергийна физика, морска наука, материалознание и биотехнологии, прилагани в здравеопазването. За да се изградят териториални синергии, в допълнителните планове се предвижда участието на няколко региона в дадена програма с възможност за участие в няколко програми. Следователно е възможно в няколко плана да бъде включен и мобилизиран специфичен регионален капацитет. Плановете са с продължителност две или три години и изискват поемането на задължения за съфинансиране от страна на регионите.</w:t>
      </w:r>
    </w:p>
    <w:p>
      <w:pPr>
        <w:spacing w:before="120" w:after="120" w:line="240" w:lineRule="auto"/>
        <w:jc w:val="both"/>
        <w:rPr>
          <w:rFonts w:ascii="Times New Roman" w:hAnsi="Times New Roman" w:cs="Times New Roman"/>
          <w:noProof/>
          <w:color w:val="000000" w:themeColor="text1"/>
          <w:sz w:val="24"/>
        </w:rPr>
      </w:pPr>
      <w:r>
        <w:rPr>
          <w:rFonts w:ascii="Times New Roman" w:hAnsi="Times New Roman"/>
          <w:noProof/>
          <w:sz w:val="24"/>
        </w:rPr>
        <w:t xml:space="preserve">Действията по тази инвестиция включват подписването на осем финансови споразумения между Министерството на науката и иновациите и регионите. </w:t>
      </w:r>
    </w:p>
    <w:p>
      <w:pPr>
        <w:pStyle w:val="Text1"/>
        <w:ind w:left="0"/>
        <w:rPr>
          <w:noProof/>
          <w:szCs w:val="24"/>
        </w:rPr>
      </w:pPr>
      <w:r>
        <w:rPr>
          <w:noProof/>
        </w:rPr>
        <w:t>Изпълнението на инвестицията приключва до 31 декември 2025 г.</w:t>
      </w:r>
      <w:r>
        <w:rPr>
          <w:noProof/>
          <w:color w:val="000000"/>
          <w:szCs w:val="24"/>
        </w:rPr>
        <w:t xml:space="preserve"> </w:t>
      </w:r>
    </w:p>
    <w:p>
      <w:pPr>
        <w:spacing w:before="120" w:after="120" w:line="240" w:lineRule="auto"/>
        <w:jc w:val="both"/>
        <w:rPr>
          <w:rFonts w:ascii="Times New Roman" w:hAnsi="Times New Roman" w:cs="Times New Roman"/>
          <w:noProof/>
          <w:color w:val="000000" w:themeColor="text1"/>
          <w:sz w:val="24"/>
          <w:u w:val="single"/>
        </w:rPr>
      </w:pPr>
      <w:r>
        <w:rPr>
          <w:rFonts w:ascii="Times New Roman" w:hAnsi="Times New Roman"/>
          <w:noProof/>
          <w:color w:val="000000" w:themeColor="text1"/>
          <w:sz w:val="24"/>
          <w:u w:val="single"/>
        </w:rPr>
        <w:t xml:space="preserve">Инвестиция 2 (C17.I2): </w:t>
      </w:r>
      <w:r>
        <w:rPr>
          <w:rFonts w:ascii="Times New Roman" w:hAnsi="Times New Roman"/>
          <w:noProof/>
          <w:sz w:val="24"/>
          <w:u w:val="single"/>
        </w:rPr>
        <w:t>Укрепване на капацитета, инфраструктурата и оборудването на държавната система за наука, технологии и иновации</w:t>
      </w:r>
      <w:r>
        <w:rPr>
          <w:rFonts w:ascii="Times New Roman" w:hAnsi="Times New Roman"/>
          <w:noProof/>
          <w:color w:val="000000" w:themeColor="text1"/>
          <w:sz w:val="24"/>
          <w:u w:val="single"/>
        </w:rPr>
        <w:t xml:space="preserve"> </w:t>
      </w:r>
    </w:p>
    <w:p>
      <w:pPr>
        <w:spacing w:before="120" w:after="12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Тази инвестиция е насочена към осигуряването, подобряването и актуализирането на техническото научно оборудване и инфраструктура на системата R &amp;D&amp;I, за да се улеснят високите постижения в научните изследвания и да се подобри конкурентоспособността на системата. </w:t>
      </w:r>
    </w:p>
    <w:p>
      <w:pPr>
        <w:spacing w:before="120" w:after="12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Тези инвестиция подкрепя инфраструктурата и оборудването на сектора на науката, технологиите и иновациите чрез покани за представяне на предложения. Инвестицията финансира също така възстановяването, актуализирането или новата стратегическа национална инфраструктура, като например: </w:t>
      </w:r>
      <w:r>
        <w:rPr>
          <w:rFonts w:ascii="Times New Roman" w:hAnsi="Times New Roman"/>
          <w:noProof/>
          <w:sz w:val="24"/>
        </w:rPr>
        <w:t xml:space="preserve">Инфраструктура за съоръжения от ниво 3 за биобезопасност за посрещане на новите предизвикателства, свързани с трансмисивните патогени, изграждането на нов фитогенетичен завод, създаването на нов център за усъвършенствана оптика и модернизирането на инфраструктурата на </w:t>
      </w:r>
      <w:r>
        <w:rPr>
          <w:rFonts w:ascii="Times New Roman" w:hAnsi="Times New Roman"/>
          <w:i/>
          <w:noProof/>
          <w:sz w:val="24"/>
        </w:rPr>
        <w:t>Centro de Investigaciones Energéticas, Medioambientales y Tecnológicas</w:t>
      </w:r>
      <w:r>
        <w:rPr>
          <w:rFonts w:ascii="Times New Roman" w:hAnsi="Times New Roman"/>
          <w:noProof/>
          <w:sz w:val="24"/>
        </w:rPr>
        <w:t xml:space="preserve"> ( CIEMAT) с необходимата инфраструктура за извършване на изследвания в областта на възобновяемата енергия .</w:t>
      </w:r>
      <w:r>
        <w:rPr>
          <w:rFonts w:ascii="Times New Roman" w:hAnsi="Times New Roman"/>
          <w:noProof/>
          <w:color w:val="000000" w:themeColor="text1"/>
          <w:sz w:val="24"/>
        </w:rPr>
        <w:t xml:space="preserve"> </w:t>
      </w:r>
      <w:r>
        <w:rPr>
          <w:rFonts w:ascii="Times New Roman" w:hAnsi="Times New Roman"/>
          <w:noProof/>
          <w:sz w:val="24"/>
        </w:rPr>
        <w:t>Конкретните действия по тази инвестиция, която трябва да бъде подкрепена, включват големи научни инфраструктури със седалище в Испания, по-специално включените в „Карта на уникалните научни и технически инфраструктури“ (ICTS) (</w:t>
      </w:r>
      <w:r>
        <w:rPr>
          <w:rFonts w:ascii="Times New Roman" w:hAnsi="Times New Roman"/>
          <w:i/>
          <w:noProof/>
          <w:sz w:val="24"/>
        </w:rPr>
        <w:t>Mapa de Infraestructuras Científicas y Técnicas Singulares</w:t>
      </w:r>
      <w:r>
        <w:rPr>
          <w:rFonts w:ascii="Times New Roman" w:hAnsi="Times New Roman"/>
          <w:noProof/>
          <w:sz w:val="24"/>
        </w:rPr>
        <w:t>).</w:t>
      </w:r>
      <w:r>
        <w:rPr>
          <w:rFonts w:ascii="Times New Roman" w:hAnsi="Times New Roman"/>
          <w:noProof/>
          <w:color w:val="000000" w:themeColor="text1"/>
          <w:sz w:val="24"/>
        </w:rPr>
        <w:t xml:space="preserve"> Освен това инвестицията подкрепя, наред с другото, европейските и международните инфраструктури, като например CERN и Deep Underground Neutrino Experiment. </w:t>
      </w:r>
    </w:p>
    <w:p>
      <w:pPr>
        <w:spacing w:before="120" w:after="12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Освен това инвестицията включва поредица от покани за отпускане на безвъзмездни средства за повишаване на капацитета за интернационализация на испанската система за научноизследователска и развойна дейност и иновации, включително: покана за европейско управление на проекти, покана за европейски научни изследвания 2020 г., покана за високи постижения на Европа 2020, 2022 г. и 2023 г. Инвестицията предвижда също цифровизация на управлението на научноизследователската и развойна дейност. </w:t>
      </w:r>
    </w:p>
    <w:p>
      <w:pPr>
        <w:spacing w:before="120" w:after="12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Подпомагането по тази инвестиция е под формата на инвестиционна помощ и преки публични инвестиции. Действията по тази инвестиция се осъществяват с покани за представяне на предложения и преки публични инвестиции. </w:t>
      </w:r>
    </w:p>
    <w:p>
      <w:pPr>
        <w:pStyle w:val="Text1"/>
        <w:ind w:left="0"/>
        <w:rPr>
          <w:noProof/>
          <w:sz w:val="22"/>
        </w:rPr>
      </w:pPr>
      <w:r>
        <w:rPr>
          <w:noProof/>
        </w:rPr>
        <w:t>Изпълнението на инвестицията приключва до 30 юни 2026 г.</w:t>
      </w:r>
      <w:r>
        <w:rPr>
          <w:noProof/>
          <w:color w:val="000000"/>
          <w:sz w:val="20"/>
          <w:szCs w:val="20"/>
        </w:rPr>
        <w:t xml:space="preserve"> </w:t>
      </w:r>
    </w:p>
    <w:p>
      <w:pPr>
        <w:spacing w:before="120" w:after="120" w:line="240" w:lineRule="auto"/>
        <w:jc w:val="both"/>
        <w:rPr>
          <w:rFonts w:ascii="Times New Roman" w:hAnsi="Times New Roman" w:cs="Times New Roman"/>
          <w:noProof/>
          <w:color w:val="000000" w:themeColor="text1"/>
          <w:sz w:val="24"/>
          <w:u w:val="single"/>
        </w:rPr>
      </w:pPr>
      <w:r>
        <w:rPr>
          <w:rFonts w:ascii="Times New Roman" w:hAnsi="Times New Roman"/>
          <w:noProof/>
          <w:color w:val="000000" w:themeColor="text1"/>
          <w:sz w:val="24"/>
          <w:u w:val="single"/>
        </w:rPr>
        <w:t xml:space="preserve">Инвестиция 3 (C17.I3): </w:t>
      </w:r>
      <w:r>
        <w:rPr>
          <w:rFonts w:ascii="Times New Roman" w:hAnsi="Times New Roman"/>
          <w:noProof/>
          <w:sz w:val="24"/>
          <w:u w:val="single"/>
        </w:rPr>
        <w:t>Нови частни, интердисциплинарни, публични проекти за научноизследователска и развойна дейност (R&amp;D&amp;I), концептуални тестове и предоставяне на помощ в резултат на международни конкурентни покани. Авангардна научноизследователска и развойна дейност, насочена към обществените предизвикателства. Обществени поръчки за продукти в предпазарен стадий</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Целта на действията по тази инвестиция е да се засили генерирането на знания, трансферът на знания и публично-частните партньорства в областта на научните изследвания и развойната дейност. Чрез действията по тази инвестиция се засилва научноизследователската и иновационната дейност в частния сектор и се засилва сътрудничеството между публичните научноизследователски организации и частния сектор. Мярката има за цел също така да увеличи активността в областта на научните изследвания, развойната дейност и иновациите в стратегически области, като екологичния и цифровия преход, както и да увеличи интернационализацията на испанските научноизследователски групи. </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В рамките на тази инвестиция са предвидени седем покани за представяне на предложения: 1) покана за представяне на </w:t>
      </w:r>
      <w:r>
        <w:rPr>
          <w:rFonts w:ascii="Times New Roman" w:hAnsi="Times New Roman"/>
          <w:i/>
          <w:noProof/>
          <w:sz w:val="24"/>
        </w:rPr>
        <w:t>проекти за доказване на концепцията</w:t>
      </w:r>
      <w:r>
        <w:rPr>
          <w:rFonts w:ascii="Times New Roman" w:hAnsi="Times New Roman"/>
          <w:noProof/>
          <w:sz w:val="24"/>
        </w:rPr>
        <w:t xml:space="preserve"> ще финансира проекти в ранните етапи на предконкурентното развитие с цел ускоряване на превръщането на научните знания в продукти или услуги; 2) покана за представяне на </w:t>
      </w:r>
      <w:r>
        <w:rPr>
          <w:rFonts w:ascii="Times New Roman" w:hAnsi="Times New Roman"/>
          <w:i/>
          <w:noProof/>
          <w:sz w:val="24"/>
        </w:rPr>
        <w:t>междудисциплинарни проекти</w:t>
      </w:r>
      <w:r>
        <w:rPr>
          <w:rFonts w:ascii="Times New Roman" w:hAnsi="Times New Roman"/>
          <w:noProof/>
          <w:sz w:val="24"/>
        </w:rPr>
        <w:t xml:space="preserve"> ще финансира проекти от публично —частни консорциуми, които повишават конкурентоспособността на Испанската научноизследователска и развойна дейност; 3) покана за представяне на </w:t>
      </w:r>
      <w:r>
        <w:rPr>
          <w:rFonts w:ascii="Times New Roman" w:hAnsi="Times New Roman"/>
          <w:i/>
          <w:noProof/>
          <w:sz w:val="24"/>
        </w:rPr>
        <w:t>предложения за научноизследователски проекти за научни изследвания и иновации; проекти за научноизследователска и развойна дейност</w:t>
      </w:r>
      <w:r>
        <w:rPr>
          <w:rFonts w:ascii="Times New Roman" w:hAnsi="Times New Roman"/>
          <w:noProof/>
          <w:sz w:val="24"/>
        </w:rPr>
        <w:t xml:space="preserve">, свързани с екологичния и цифровия преход 4), покана за представяне на </w:t>
      </w:r>
      <w:r>
        <w:rPr>
          <w:rFonts w:ascii="Times New Roman" w:hAnsi="Times New Roman"/>
          <w:i/>
          <w:noProof/>
          <w:sz w:val="24"/>
        </w:rPr>
        <w:t>проекти за публично и частно сътрудничество</w:t>
      </w:r>
      <w:r>
        <w:rPr>
          <w:rFonts w:ascii="Times New Roman" w:hAnsi="Times New Roman"/>
          <w:noProof/>
          <w:sz w:val="24"/>
        </w:rPr>
        <w:t xml:space="preserve"> по линия на „Хоризонт 2020“ с цел финансиране на проекти с по-висока степен на готовност за научни изследвания, 5) покана за представяне на </w:t>
      </w:r>
      <w:r>
        <w:rPr>
          <w:rFonts w:ascii="Times New Roman" w:hAnsi="Times New Roman"/>
          <w:i/>
          <w:noProof/>
          <w:sz w:val="24"/>
        </w:rPr>
        <w:t>проекти за международно сътрудничество</w:t>
      </w:r>
      <w:r>
        <w:rPr>
          <w:rFonts w:ascii="Times New Roman" w:hAnsi="Times New Roman"/>
          <w:noProof/>
          <w:sz w:val="24"/>
        </w:rPr>
        <w:t xml:space="preserve"> за финансиране на проекти на испански публични изследователи, които са част от проекти, избрани за финансиране от партньорствата по „Хоризонт 2020„и „Хоризонт Европа“, 6) покана за научноизследователска и развойна дейност за справяне с обществените предизвикателства, включително например сигурна, ефективна и чиста енергия или киберсигурност, и 7) покана за финансиране на обществени поръчки в предпазарен стадий, наречена „</w:t>
      </w:r>
      <w:r>
        <w:rPr>
          <w:rFonts w:ascii="Times New Roman" w:hAnsi="Times New Roman"/>
          <w:i/>
          <w:noProof/>
          <w:sz w:val="24"/>
        </w:rPr>
        <w:t>Алианс за иновации</w:t>
      </w:r>
      <w:r>
        <w:rPr>
          <w:rFonts w:ascii="Times New Roman" w:hAnsi="Times New Roman"/>
          <w:noProof/>
          <w:sz w:val="24"/>
        </w:rPr>
        <w:t>“.</w:t>
      </w:r>
    </w:p>
    <w:p>
      <w:pPr>
        <w:spacing w:before="120" w:after="12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Инвестициите по тази мярка се осъществяват през периода 2020—2026 г., като всички за предложения и обществени поръчки за продукти в предпазарен стадий ще бъдат концентрирани в периода 2020—2023 г., а изпълнението на някои от по-сложните инвестиции продължава до 2026 г. </w:t>
      </w:r>
      <w:r>
        <w:rPr>
          <w:rFonts w:ascii="Times New Roman" w:hAnsi="Times New Roman"/>
          <w:noProof/>
          <w:sz w:val="24"/>
        </w:rPr>
        <w:t>Най-малко 3000 научноизследователски и развойни проекта биха могли да бъдат финансирани по линия на тази инвестиция до първата половина на 2024 г.</w:t>
      </w:r>
      <w:r>
        <w:rPr>
          <w:rFonts w:ascii="Times New Roman" w:hAnsi="Times New Roman"/>
          <w:noProof/>
          <w:color w:val="000000" w:themeColor="text1"/>
          <w:sz w:val="24"/>
        </w:rPr>
        <w:t xml:space="preserve">  </w:t>
      </w:r>
    </w:p>
    <w:p>
      <w:pPr>
        <w:pStyle w:val="Text1"/>
        <w:ind w:left="0"/>
        <w:rPr>
          <w:iCs/>
          <w:noProof/>
          <w:highlight w:val="green"/>
        </w:rPr>
      </w:pPr>
      <w:r>
        <w:rPr>
          <w:noProof/>
        </w:rPr>
        <w:t xml:space="preserve">За да се гарантира, че мярката е в съответствие с Техническите насоки „Ненанасяне на значителни вреди“ (2021/C58/01), критериите за допустимост, съдържащи се в техническото задание за предстоящи покани за представяне на проекти, изключват следния списък от дейности: </w:t>
      </w:r>
      <w:r>
        <w:rPr>
          <w:noProof/>
          <w:lang w:val="en-US"/>
        </w:rPr>
        <w:t>i</w:t>
      </w:r>
      <w:r>
        <w:rPr>
          <w:noProof/>
        </w:rPr>
        <w:t>) дейности , свързани с изкопаеми горива, включително използване надолу по веригата</w:t>
      </w:r>
      <w:r>
        <w:rPr>
          <w:rStyle w:val="FootnoteReference"/>
          <w:noProof/>
          <w:lang w:val="en-IE"/>
        </w:rPr>
        <w:footnoteReference w:id="69"/>
      </w:r>
      <w:r>
        <w:rPr>
          <w:noProof/>
        </w:rPr>
        <w:t>; ii) дейности по схемата на ЕС за търговия с емисии (СТЕ), с които се постигат прогнозираните емисии на парникови газове, които не са по-ниски от съответните референтни стойности</w:t>
      </w:r>
      <w:r>
        <w:rPr>
          <w:rStyle w:val="FootnoteReference"/>
          <w:noProof/>
          <w:lang w:val="en-IE"/>
        </w:rPr>
        <w:footnoteReference w:id="70"/>
      </w:r>
      <w:r>
        <w:rPr>
          <w:noProof/>
        </w:rPr>
        <w:t>; iii) дейности, свързани с депата за отпадъци, инсталациите за изгаряне на отпадъци</w:t>
      </w:r>
      <w:r>
        <w:rPr>
          <w:rStyle w:val="FootnoteReference"/>
          <w:noProof/>
          <w:lang w:val="en-IE"/>
        </w:rPr>
        <w:footnoteReference w:id="71"/>
      </w:r>
      <w:r>
        <w:rPr>
          <w:noProof/>
        </w:rPr>
        <w:t xml:space="preserve"> и заводите за механично-биологично третиране</w:t>
      </w:r>
      <w:r>
        <w:rPr>
          <w:rStyle w:val="FootnoteReference"/>
          <w:noProof/>
          <w:lang w:val="en-IE"/>
        </w:rPr>
        <w:footnoteReference w:id="72"/>
      </w:r>
      <w:r>
        <w:rPr>
          <w:noProof/>
        </w:rPr>
        <w:t>; и iv) дейности, при които дългосрочното обезвреждане на отпадъци може да причини вреда на околната среда. В допълнение към това в заданието се изисква да могат да бъдат избирани само дейности, които отговарят на съответното законодателство на ЕС и национално законодателство в областта на околната среда.</w:t>
      </w:r>
    </w:p>
    <w:p>
      <w:pPr>
        <w:spacing w:before="120" w:after="120" w:line="240" w:lineRule="auto"/>
        <w:jc w:val="both"/>
        <w:rPr>
          <w:rFonts w:ascii="Times New Roman" w:hAnsi="Times New Roman" w:cs="Times New Roman"/>
          <w:noProof/>
          <w:sz w:val="24"/>
        </w:rPr>
      </w:pPr>
      <w:r>
        <w:rPr>
          <w:rFonts w:ascii="Times New Roman" w:hAnsi="Times New Roman"/>
          <w:noProof/>
          <w:sz w:val="24"/>
        </w:rPr>
        <w:t>Следните действия за НИРД по тази инвестиция се считат за съответстващи на техническите насоки „Ненанасяне на значителни вреди“ (2021/C58/01): и) тези научноизследователски и развойни действия; I по тази инвестиция, които водят до технологично неутрални резултати на равнището на тяхното прилагане; II) тези действия за НИРД по тази инвестиция в подкрепа на алтернативи със слабо въздействие върху околната среда, за които съществуват такива; или iii) онези научноизследователски и развойни действия; I по тази инвестиция, които са насочени предимно към разработването на алтернативи с възможно най-малко въздействие върху околната среда в сектора за онези дейности, за които не съществува технологично и икономически осъществима алтернатива със слабо въздействие.</w:t>
      </w:r>
    </w:p>
    <w:p>
      <w:pPr>
        <w:autoSpaceDE w:val="0"/>
        <w:autoSpaceDN w:val="0"/>
        <w:spacing w:before="40" w:after="40"/>
        <w:rPr>
          <w:rFonts w:ascii="Times New Roman" w:hAnsi="Times New Roman" w:cs="Times New Roman"/>
          <w:noProof/>
          <w:sz w:val="24"/>
          <w:szCs w:val="24"/>
        </w:rPr>
      </w:pPr>
      <w:r>
        <w:rPr>
          <w:rFonts w:ascii="Times New Roman" w:hAnsi="Times New Roman"/>
          <w:noProof/>
          <w:sz w:val="24"/>
          <w:szCs w:val="24"/>
        </w:rPr>
        <w:t>Изпълнението на инвестицията приключва до 30 юни 2026 г.</w:t>
      </w:r>
      <w:r>
        <w:rPr>
          <w:rFonts w:ascii="Times New Roman" w:hAnsi="Times New Roman"/>
          <w:noProof/>
          <w:color w:val="000000"/>
          <w:sz w:val="24"/>
          <w:szCs w:val="24"/>
        </w:rPr>
        <w:t xml:space="preserve"> </w:t>
      </w:r>
    </w:p>
    <w:p>
      <w:pPr>
        <w:keepNext/>
        <w:spacing w:before="120" w:after="120" w:line="240" w:lineRule="auto"/>
        <w:jc w:val="both"/>
        <w:rPr>
          <w:rFonts w:ascii="Times New Roman" w:hAnsi="Times New Roman" w:cs="Times New Roman"/>
          <w:noProof/>
          <w:color w:val="000000" w:themeColor="text1"/>
          <w:sz w:val="24"/>
          <w:u w:val="single"/>
        </w:rPr>
      </w:pPr>
      <w:r>
        <w:rPr>
          <w:rFonts w:ascii="Times New Roman" w:hAnsi="Times New Roman"/>
          <w:noProof/>
          <w:color w:val="000000" w:themeColor="text1"/>
          <w:sz w:val="24"/>
          <w:u w:val="single"/>
        </w:rPr>
        <w:t>Инвестиция 4 (C17.I4): Нова научна кариера</w:t>
      </w:r>
    </w:p>
    <w:p>
      <w:pPr>
        <w:keepNext/>
        <w:spacing w:before="120" w:after="12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Целта на тази инвестиция е да се насърчи стабилна научна кариера. Тя е свързана с C17.R1. Актуализираният закон за науката включва нова научна кариера в Испания, която осигурява рамка за целия научноизследователски персонал, включително университетския персонал. Системата осигурява прозрачност при назначаването на персонал, гъвкавост, мобилност и стабилност в научноизследователската кариера. </w:t>
      </w:r>
    </w:p>
    <w:p>
      <w:pPr>
        <w:spacing w:before="120" w:after="12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Подпомагането е под формата на безвъзмездни средства, които се отпускат чрез покани за представяне на предложения на състезателна основа в следните програми: 1) Безвъзмездна помощ за </w:t>
      </w:r>
      <w:r>
        <w:rPr>
          <w:rFonts w:ascii="Times New Roman" w:hAnsi="Times New Roman"/>
          <w:i/>
          <w:noProof/>
          <w:color w:val="000000" w:themeColor="text1"/>
          <w:sz w:val="24"/>
        </w:rPr>
        <w:t>докторанти</w:t>
      </w:r>
      <w:r>
        <w:rPr>
          <w:rFonts w:ascii="Times New Roman" w:hAnsi="Times New Roman"/>
          <w:noProof/>
          <w:color w:val="000000" w:themeColor="text1"/>
          <w:sz w:val="24"/>
        </w:rPr>
        <w:t xml:space="preserve">, четиригодишна програма за студенти докторанти в предприятие (50 места), 2) безвъзмездна помощ </w:t>
      </w:r>
      <w:r>
        <w:rPr>
          <w:rFonts w:ascii="Times New Roman" w:hAnsi="Times New Roman"/>
          <w:i/>
          <w:iCs/>
          <w:noProof/>
          <w:color w:val="000000" w:themeColor="text1"/>
          <w:sz w:val="24"/>
        </w:rPr>
        <w:t>Torres Quevedo</w:t>
      </w:r>
      <w:r>
        <w:rPr>
          <w:rFonts w:ascii="Times New Roman" w:hAnsi="Times New Roman"/>
          <w:noProof/>
          <w:color w:val="000000" w:themeColor="text1"/>
          <w:sz w:val="24"/>
        </w:rPr>
        <w:t xml:space="preserve">, тригодишна програма за докторанти в предприятие (170 места), 3) стипендия за обучение </w:t>
      </w:r>
      <w:r>
        <w:rPr>
          <w:rFonts w:ascii="Times New Roman" w:hAnsi="Times New Roman"/>
          <w:i/>
          <w:iCs/>
          <w:noProof/>
          <w:color w:val="000000" w:themeColor="text1"/>
          <w:sz w:val="24"/>
        </w:rPr>
        <w:t>Juan de la Cierva</w:t>
      </w:r>
      <w:r>
        <w:rPr>
          <w:rFonts w:ascii="Times New Roman" w:hAnsi="Times New Roman"/>
          <w:noProof/>
          <w:color w:val="000000" w:themeColor="text1"/>
          <w:sz w:val="24"/>
        </w:rPr>
        <w:t xml:space="preserve">, двугодишна програма за докторанти в академични институции, тя включва безвъзмездни средства за мобилност (1 200 места) и 4) </w:t>
      </w:r>
      <w:r>
        <w:rPr>
          <w:rFonts w:ascii="Times New Roman" w:hAnsi="Times New Roman"/>
          <w:i/>
          <w:iCs/>
          <w:noProof/>
          <w:color w:val="000000" w:themeColor="text1"/>
          <w:sz w:val="24"/>
        </w:rPr>
        <w:t>Juan de la Cierva Incorporation</w:t>
      </w:r>
      <w:r>
        <w:rPr>
          <w:rFonts w:ascii="Times New Roman" w:hAnsi="Times New Roman"/>
          <w:noProof/>
          <w:color w:val="000000" w:themeColor="text1"/>
          <w:sz w:val="24"/>
        </w:rPr>
        <w:t xml:space="preserve"> безвъзмездна помощ, тригодишна програма за докторски програми (650 учебни места). Тази мярка включва също пакет за започване на научноизследователска дейност за 750 изследователи със стабилни договори в академични институции или публични научноизследователски организации.</w:t>
      </w:r>
    </w:p>
    <w:p>
      <w:pPr>
        <w:pStyle w:val="Text1"/>
        <w:ind w:left="0"/>
        <w:rPr>
          <w:noProof/>
          <w:color w:val="000000" w:themeColor="text1"/>
        </w:rPr>
      </w:pPr>
      <w:r>
        <w:rPr>
          <w:noProof/>
          <w:color w:val="000000" w:themeColor="text1"/>
        </w:rPr>
        <w:t xml:space="preserve">Действията по тази инвестиция се осъществяват чрез конкурентни покани за представяне на предложения за отпускане на безвъзмездни средства. </w:t>
      </w:r>
    </w:p>
    <w:p>
      <w:pPr>
        <w:pStyle w:val="Text1"/>
        <w:ind w:left="0"/>
        <w:rPr>
          <w:noProof/>
          <w:sz w:val="22"/>
        </w:rPr>
      </w:pPr>
      <w:r>
        <w:rPr>
          <w:noProof/>
        </w:rPr>
        <w:t>Изпълнението на инвестицията приключва до 30 юни 2026 г.</w:t>
      </w:r>
      <w:r>
        <w:rPr>
          <w:noProof/>
          <w:color w:val="000000"/>
          <w:sz w:val="20"/>
          <w:szCs w:val="20"/>
        </w:rPr>
        <w:t xml:space="preserve"> </w:t>
      </w:r>
    </w:p>
    <w:p>
      <w:pPr>
        <w:spacing w:before="120" w:after="120" w:line="240" w:lineRule="auto"/>
        <w:jc w:val="both"/>
        <w:rPr>
          <w:rFonts w:ascii="Times New Roman" w:hAnsi="Times New Roman" w:cs="Times New Roman"/>
          <w:noProof/>
          <w:color w:val="000000" w:themeColor="text1"/>
          <w:sz w:val="24"/>
          <w:u w:val="single"/>
        </w:rPr>
      </w:pPr>
      <w:r>
        <w:rPr>
          <w:rFonts w:ascii="Times New Roman" w:hAnsi="Times New Roman"/>
          <w:noProof/>
          <w:color w:val="000000" w:themeColor="text1"/>
          <w:sz w:val="24"/>
          <w:u w:val="single"/>
        </w:rPr>
        <w:t>Инвестиция 5 (C17.I5): Трансфер на знания</w:t>
      </w:r>
    </w:p>
    <w:p>
      <w:pPr>
        <w:spacing w:before="120" w:after="12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Целта на тази инвестиция е да се насърчи трансферът на технологии и да се подпомогне трансферът на резултатите от научните изследвания в областта на иновативните технологии. Тази инвестиция е свързана с реформа C17.R1; актуализираното законодателство в областта на науката подкрепя трансфера на знания чрез насърчаване на мобилността на изследователите, създаване на гъвкаво правно средство за съвместно инвестиране в технологични стартиращи предприятия и промяна на структурата на стимулиране, така че трансферът на знания да бъде надлежно признат във възнаграждението на изследователя, заедно с традиционната научноизследователска дейност. </w:t>
      </w:r>
    </w:p>
    <w:p>
      <w:pPr>
        <w:spacing w:before="120" w:after="12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Тези мерки включват шест конкретни действия за подобряване на трансфера на знания: 1) покана за представяне на предложения "Иновационни екосистеми, основани на мрежите за високи постижения на </w:t>
      </w:r>
      <w:r>
        <w:rPr>
          <w:rFonts w:ascii="Times New Roman" w:hAnsi="Times New Roman"/>
          <w:i/>
          <w:noProof/>
          <w:color w:val="000000" w:themeColor="text1"/>
          <w:sz w:val="24"/>
        </w:rPr>
        <w:t>Cervera</w:t>
      </w:r>
      <w:r>
        <w:rPr>
          <w:rFonts w:ascii="Times New Roman" w:hAnsi="Times New Roman"/>
          <w:noProof/>
          <w:color w:val="000000" w:themeColor="text1"/>
          <w:sz w:val="24"/>
        </w:rPr>
        <w:t xml:space="preserve">", 2) подобряване на капацитета и ориентацията на службите за трансфер на резултати от научните изследвания, 3) призовава за безвъзмездни средства от </w:t>
      </w:r>
      <w:r>
        <w:rPr>
          <w:rFonts w:ascii="Times New Roman" w:hAnsi="Times New Roman"/>
          <w:i/>
          <w:noProof/>
          <w:color w:val="000000" w:themeColor="text1"/>
          <w:sz w:val="24"/>
        </w:rPr>
        <w:t>Cervera</w:t>
      </w:r>
      <w:r>
        <w:rPr>
          <w:rFonts w:ascii="Times New Roman" w:hAnsi="Times New Roman"/>
          <w:noProof/>
          <w:color w:val="000000" w:themeColor="text1"/>
          <w:sz w:val="24"/>
        </w:rPr>
        <w:t xml:space="preserve"> за технологични центрове, научноизследователски центрове и МСП и дружества със средна пазарна капитализация за извършване на научноизследователска и развойна дейност; 4) призив за подкрепа на испанските МСП с европейския печат за високи постижения; 5) подкрепа за рисков капитал за съвместно инвестиране и инвестиране в дружества със стратегически технологии чрез фонд за трансфер на технологии и 6) подкрепа за създаване на научноизследователска и развойна дейност; </w:t>
      </w:r>
    </w:p>
    <w:p>
      <w:pPr>
        <w:spacing w:before="120" w:after="12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Действията по тази инвестиция се осъществяват главно чрез покани за представяне на предложения.  </w:t>
      </w:r>
    </w:p>
    <w:p>
      <w:pPr>
        <w:pStyle w:val="Text1"/>
        <w:ind w:left="0"/>
        <w:rPr>
          <w:iCs/>
          <w:noProof/>
          <w:highlight w:val="green"/>
        </w:rPr>
      </w:pPr>
      <w:r>
        <w:rPr>
          <w:noProof/>
        </w:rPr>
        <w:t xml:space="preserve">За да се гарантира, че мярката е в съответствие с Техническите насоки „Ненанасяне на значителни вреди“ (2021/C58/01), критериите за допустимост, съдържащи се в техническото задание за предстоящи покани за представяне на проекти, изключват следния списък от дейности: </w:t>
      </w:r>
      <w:r>
        <w:rPr>
          <w:noProof/>
          <w:lang w:val="en-US"/>
        </w:rPr>
        <w:t>i</w:t>
      </w:r>
      <w:r>
        <w:rPr>
          <w:noProof/>
        </w:rPr>
        <w:t>) дейности , свързани с изкопаеми горива, включително използване надолу по веригата</w:t>
      </w:r>
      <w:r>
        <w:rPr>
          <w:rStyle w:val="FootnoteReference"/>
          <w:noProof/>
          <w:lang w:val="en-IE"/>
        </w:rPr>
        <w:footnoteReference w:id="73"/>
      </w:r>
      <w:r>
        <w:rPr>
          <w:noProof/>
        </w:rPr>
        <w:t>; ii) дейности по схемата на ЕС за търговия с емисии (СТЕ), с които се постигат прогнозираните емисии на парникови газове, които не са по-ниски от съответните референтни стойности</w:t>
      </w:r>
      <w:r>
        <w:rPr>
          <w:rStyle w:val="FootnoteReference"/>
          <w:noProof/>
          <w:lang w:val="en-IE"/>
        </w:rPr>
        <w:footnoteReference w:id="74"/>
      </w:r>
      <w:r>
        <w:rPr>
          <w:noProof/>
        </w:rPr>
        <w:t>; iii) дейности, свързани с депата за отпадъци, инсталациите за изгаряне на отпадъци</w:t>
      </w:r>
      <w:r>
        <w:rPr>
          <w:rStyle w:val="FootnoteReference"/>
          <w:noProof/>
          <w:lang w:val="en-IE"/>
        </w:rPr>
        <w:footnoteReference w:id="75"/>
      </w:r>
      <w:r>
        <w:rPr>
          <w:noProof/>
        </w:rPr>
        <w:t xml:space="preserve"> и заводите за механично-биологично третиране</w:t>
      </w:r>
      <w:r>
        <w:rPr>
          <w:rStyle w:val="FootnoteReference"/>
          <w:noProof/>
          <w:lang w:val="en-IE"/>
        </w:rPr>
        <w:footnoteReference w:id="76"/>
      </w:r>
      <w:r>
        <w:rPr>
          <w:noProof/>
        </w:rPr>
        <w:t>; и iv) дейности, при които дългосрочното обезвреждане на отпадъци може да причини вреда на околната среда. В допълнение към това в заданието се изисква да могат да бъдат избирани само дейности, които отговарят на съответното законодателство на ЕС и национално законодателство в областта на околната среда.</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Следните действия за НИРД по тази инвестиция се считат за съответстващи на техническите насоки „Ненанасяне на значителни вреди“ (2021/C58/01): </w:t>
      </w:r>
      <w:r>
        <w:rPr>
          <w:rFonts w:ascii="Times New Roman" w:hAnsi="Times New Roman"/>
          <w:noProof/>
          <w:sz w:val="24"/>
          <w:lang w:val="en-US"/>
        </w:rPr>
        <w:t>i</w:t>
      </w:r>
      <w:r>
        <w:rPr>
          <w:rFonts w:ascii="Times New Roman" w:hAnsi="Times New Roman"/>
          <w:noProof/>
          <w:sz w:val="24"/>
        </w:rPr>
        <w:t>) тези научноизследователски и развойни действия по тази инвестиция, които водят до технологично неутрални резултати на равнището на тяхното прилагане; ii) тези действия за научноизследователска и развойна дейност по тази инвестиция в подкрепа на алтернативи със слабо въздействие върху околната среда, за които съществуват такива; или iii) онези научноизследователски и развойни действия по тази инвестиция, които са насочени предимно към разработването на алтернативи с възможно най-малко въздействие върху околната среда в сектора за онези дейности, за които не съществува технологично и икономически осъществима алтернатива със слабо въздействие.</w:t>
      </w:r>
    </w:p>
    <w:p>
      <w:pPr>
        <w:spacing w:before="120" w:after="120" w:line="240" w:lineRule="auto"/>
        <w:jc w:val="both"/>
        <w:rPr>
          <w:rFonts w:ascii="Times New Roman" w:hAnsi="Times New Roman" w:cs="Times New Roman"/>
          <w:noProof/>
          <w:color w:val="000000" w:themeColor="text1"/>
          <w:sz w:val="24"/>
        </w:rPr>
      </w:pPr>
      <w:r>
        <w:rPr>
          <w:rFonts w:ascii="Times New Roman" w:hAnsi="Times New Roman"/>
          <w:noProof/>
          <w:sz w:val="24"/>
          <w:szCs w:val="24"/>
        </w:rPr>
        <w:t>Изпълнението на инвестицията приключва до 30 юни 2026 г.</w:t>
      </w:r>
    </w:p>
    <w:p>
      <w:pPr>
        <w:spacing w:before="120" w:after="120" w:line="240" w:lineRule="auto"/>
        <w:jc w:val="both"/>
        <w:rPr>
          <w:rFonts w:ascii="Times New Roman" w:hAnsi="Times New Roman" w:cs="Times New Roman"/>
          <w:noProof/>
          <w:sz w:val="24"/>
        </w:rPr>
      </w:pPr>
    </w:p>
    <w:p>
      <w:pPr>
        <w:spacing w:before="120" w:after="120" w:line="240" w:lineRule="auto"/>
        <w:jc w:val="both"/>
        <w:rPr>
          <w:rFonts w:ascii="Times New Roman" w:hAnsi="Times New Roman" w:cs="Times New Roman"/>
          <w:noProof/>
          <w:color w:val="000000" w:themeColor="text1"/>
          <w:sz w:val="24"/>
          <w:u w:val="single"/>
        </w:rPr>
      </w:pPr>
      <w:r>
        <w:rPr>
          <w:rFonts w:ascii="Times New Roman" w:hAnsi="Times New Roman"/>
          <w:noProof/>
          <w:color w:val="000000" w:themeColor="text1"/>
          <w:sz w:val="24"/>
          <w:u w:val="single"/>
        </w:rPr>
        <w:t>Инвестиция 6 (C17.I6): Здравеопазване</w:t>
      </w:r>
    </w:p>
    <w:p>
      <w:pPr>
        <w:spacing w:before="120" w:after="120" w:line="240" w:lineRule="auto"/>
        <w:jc w:val="both"/>
        <w:rPr>
          <w:rFonts w:ascii="Times New Roman" w:hAnsi="Times New Roman" w:cs="Times New Roman"/>
          <w:noProof/>
          <w:sz w:val="24"/>
        </w:rPr>
      </w:pPr>
      <w:r>
        <w:rPr>
          <w:rFonts w:ascii="Times New Roman" w:hAnsi="Times New Roman"/>
          <w:noProof/>
          <w:color w:val="000000" w:themeColor="text1"/>
          <w:sz w:val="24"/>
        </w:rPr>
        <w:t xml:space="preserve">Целта на тази мярка е да се насърчи развитието на научните изследвания и иновациите в сектора на здравеопазването. Мярката включва четири конкретни направления на действие: </w:t>
      </w:r>
      <w:r>
        <w:rPr>
          <w:rFonts w:ascii="Times New Roman" w:hAnsi="Times New Roman"/>
          <w:noProof/>
          <w:sz w:val="24"/>
        </w:rPr>
        <w:t xml:space="preserve">1) инвестиции в областта на модерните терапии, нововъзникващите лекарства и персонализираната медицина , 2) мерки за укрепване на стратегическия капацитет и интернационализацията на националната здравна система, 3) действия в подкрепа на капацитета за борба с инфекциозните болести и глобалните заплахи от страна на </w:t>
      </w:r>
      <w:r>
        <w:rPr>
          <w:rFonts w:ascii="Times New Roman" w:hAnsi="Times New Roman"/>
          <w:i/>
          <w:noProof/>
          <w:sz w:val="24"/>
        </w:rPr>
        <w:t>Instituto de Salud Carlos III</w:t>
      </w:r>
      <w:r>
        <w:rPr>
          <w:rFonts w:ascii="Times New Roman" w:hAnsi="Times New Roman"/>
          <w:noProof/>
          <w:sz w:val="24"/>
        </w:rPr>
        <w:t xml:space="preserve"> , по-специално Националния център по микробиология, Националния център по епидемиология и Националната школа по трудова медицина и Националната школа по здравеопазване, 4) участие в многонационалния проект „Геномът на Европа“ в рамките на инициативата „Един милион геноми</w:t>
      </w:r>
      <w:r>
        <w:rPr>
          <w:rFonts w:ascii="Times New Roman" w:hAnsi="Times New Roman" w:cs="Times New Roman"/>
          <w:noProof/>
          <w:sz w:val="24"/>
        </w:rPr>
        <w:t>“</w:t>
      </w:r>
      <w:r>
        <w:rPr>
          <w:rFonts w:ascii="Times New Roman" w:hAnsi="Times New Roman"/>
          <w:noProof/>
          <w:sz w:val="24"/>
        </w:rPr>
        <w:t xml:space="preserve"> и 5) мерки за изграждане на капацитет, свързани с научни изследвания в областта на инфекциозните болести, други глобални заплахи за здравето и застаряване на населението.</w:t>
      </w:r>
    </w:p>
    <w:p>
      <w:pPr>
        <w:spacing w:before="120" w:after="12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Действията по тази инвестиция се осъществяват с покани за представяне на предложения, публични и частни инвестиции с рисков капитал и преки публични инвестиции.</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Изпълнението на инвестицията приключва до 30 юни 2026 г.</w:t>
      </w:r>
      <w:r>
        <w:rPr>
          <w:rFonts w:ascii="Times New Roman" w:hAnsi="Times New Roman"/>
          <w:noProof/>
          <w:color w:val="000000"/>
          <w:sz w:val="24"/>
          <w:szCs w:val="24"/>
        </w:rPr>
        <w:t xml:space="preserve"> </w:t>
      </w:r>
    </w:p>
    <w:p>
      <w:pPr>
        <w:spacing w:before="120" w:after="120" w:line="240" w:lineRule="auto"/>
        <w:jc w:val="both"/>
        <w:rPr>
          <w:rFonts w:ascii="Times New Roman" w:hAnsi="Times New Roman" w:cs="Times New Roman"/>
          <w:noProof/>
          <w:color w:val="000000" w:themeColor="text1"/>
          <w:sz w:val="24"/>
          <w:u w:val="single"/>
        </w:rPr>
      </w:pPr>
      <w:r>
        <w:rPr>
          <w:rFonts w:ascii="Times New Roman" w:hAnsi="Times New Roman"/>
          <w:noProof/>
          <w:color w:val="000000" w:themeColor="text1"/>
          <w:sz w:val="24"/>
          <w:u w:val="single"/>
        </w:rPr>
        <w:t>Инвестиция 7 (C17.I7): Околна среда, изменение на климата и енергетика</w:t>
      </w:r>
    </w:p>
    <w:p>
      <w:pPr>
        <w:spacing w:before="120" w:after="120" w:line="240" w:lineRule="auto"/>
        <w:jc w:val="both"/>
        <w:rPr>
          <w:rFonts w:ascii="Times New Roman" w:hAnsi="Times New Roman" w:cs="Times New Roman"/>
          <w:noProof/>
          <w:sz w:val="24"/>
        </w:rPr>
      </w:pPr>
      <w:r>
        <w:rPr>
          <w:rFonts w:ascii="Times New Roman" w:hAnsi="Times New Roman"/>
          <w:noProof/>
          <w:color w:val="000000" w:themeColor="text1"/>
          <w:sz w:val="24"/>
        </w:rPr>
        <w:t xml:space="preserve">Целта на тази мярка е да се насърчи развитието на научните изследвания и иновациите в областта на околната среда, изменението на климата и енергетиката. Мярката подпомага: </w:t>
      </w:r>
      <w:r>
        <w:rPr>
          <w:rFonts w:ascii="Times New Roman" w:hAnsi="Times New Roman"/>
          <w:noProof/>
          <w:sz w:val="24"/>
        </w:rPr>
        <w:t xml:space="preserve">1) проекти R&amp;D&amp;I, свързани с устойчивата пластмаса в кръговата икономика, производството на алтернативни пластмаси и устойчивото управление на пластмасови отпадъци , 2) проект относно изменението на климата и въздействието върху водните запаси, 3) проект за високотехнологични компоненти в енергийния преход, по-специално насочен към съхраняването на енергия и разработването на прототипи на инсталации за улавяне на CO2 от емисии от промишлени процеси в енергоемките промишлени отрасли от </w:t>
      </w:r>
      <w:r>
        <w:rPr>
          <w:rFonts w:ascii="Times New Roman" w:hAnsi="Times New Roman"/>
          <w:i/>
          <w:noProof/>
          <w:sz w:val="24"/>
        </w:rPr>
        <w:t>Consejo Superior de Investigaciones Científicas</w:t>
      </w:r>
      <w:r>
        <w:rPr>
          <w:rFonts w:ascii="Times New Roman" w:hAnsi="Times New Roman"/>
          <w:noProof/>
          <w:sz w:val="24"/>
        </w:rPr>
        <w:t xml:space="preserve"> (CSIC). Когато става въпрос за инсталации в рамките на схемата на ЕС за търговия с емисии (СТЕ), те постигат прогнозираните емисии на парникови газове, които са поне по-ниски от съответните показатели</w:t>
      </w:r>
      <w:r>
        <w:rPr>
          <w:rFonts w:ascii="Times New Roman" w:hAnsi="Times New Roman" w:cs="Times New Roman"/>
          <w:noProof/>
          <w:sz w:val="24"/>
          <w:vertAlign w:val="superscript"/>
          <w:lang w:val="en-IE"/>
        </w:rPr>
        <w:footnoteReference w:id="77"/>
      </w:r>
      <w:r>
        <w:rPr>
          <w:rFonts w:ascii="Times New Roman" w:hAnsi="Times New Roman"/>
          <w:noProof/>
          <w:sz w:val="24"/>
        </w:rPr>
        <w:t>, а дейностите, свързани с изкопаемите горива, включително използването надолу по веригата, са изключени</w:t>
      </w:r>
      <w:r>
        <w:rPr>
          <w:rFonts w:ascii="Times New Roman" w:hAnsi="Times New Roman" w:cs="Times New Roman"/>
          <w:noProof/>
          <w:sz w:val="24"/>
          <w:vertAlign w:val="superscript"/>
          <w:lang w:val="en-IE"/>
        </w:rPr>
        <w:footnoteReference w:id="78"/>
      </w:r>
      <w:r>
        <w:rPr>
          <w:rFonts w:ascii="Times New Roman" w:hAnsi="Times New Roman"/>
          <w:noProof/>
          <w:sz w:val="24"/>
        </w:rPr>
        <w:t xml:space="preserve">, 4) научноизследователски проект за стратегически метали за енергийния преход и 5) създаване на научноизследователски център за съхранение на енергия в Екстремадура с цел стимулиране на технологичния и научния отговор на управлението на производството на зелена енергия, по-специално по отношение на промишлените приложения на водорода, както и съхранението на водород. Мярката също така подпомага изграждането на капацитет в центъра за обучение на учени и изследователи в секторите на енергетиката и съхранението на енергия. </w:t>
      </w:r>
    </w:p>
    <w:p>
      <w:pPr>
        <w:spacing w:before="120" w:after="12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Действията по тази инвестиция се осъществяват с покани за участие в търг.</w:t>
      </w:r>
    </w:p>
    <w:p>
      <w:pPr>
        <w:pStyle w:val="Text1"/>
        <w:ind w:left="0"/>
        <w:rPr>
          <w:iCs/>
          <w:noProof/>
          <w:highlight w:val="green"/>
        </w:rPr>
      </w:pPr>
      <w:r>
        <w:rPr>
          <w:noProof/>
        </w:rPr>
        <w:t xml:space="preserve">За да се гарантира, че мярката е в съответствие с техническите насоки „Ненанасяне на значителни вреди“ (2021/C58/01), критериите за допустимост, съдържащи се в техническото задание за предстоящи покани за представяне на проекти, изключват следния списък от дейности: </w:t>
      </w:r>
      <w:r>
        <w:rPr>
          <w:noProof/>
          <w:lang w:val="en-US"/>
        </w:rPr>
        <w:t>i</w:t>
      </w:r>
      <w:r>
        <w:rPr>
          <w:noProof/>
        </w:rPr>
        <w:t>) дейности , свързани с изкопаеми горива, включително използване надолу по веригата</w:t>
      </w:r>
      <w:r>
        <w:rPr>
          <w:rStyle w:val="FootnoteReference"/>
          <w:noProof/>
          <w:lang w:val="en-IE"/>
        </w:rPr>
        <w:footnoteReference w:id="79"/>
      </w:r>
      <w:r>
        <w:rPr>
          <w:noProof/>
        </w:rPr>
        <w:t>; ii) дейности по схемата на ЕС за търговия с емисии (СТЕ), с които се постигат прогнозираните емисии на парникови газове, които не са по-ниски от съответните референтни стойности</w:t>
      </w:r>
      <w:r>
        <w:rPr>
          <w:rStyle w:val="FootnoteReference"/>
          <w:noProof/>
          <w:lang w:val="en-IE"/>
        </w:rPr>
        <w:footnoteReference w:id="80"/>
      </w:r>
      <w:r>
        <w:rPr>
          <w:noProof/>
        </w:rPr>
        <w:t>; iii) дейности, свързани с депата за отпадъци, инсталациите за изгаряне на отпадъци</w:t>
      </w:r>
      <w:r>
        <w:rPr>
          <w:rStyle w:val="FootnoteReference"/>
          <w:noProof/>
          <w:lang w:val="en-IE"/>
        </w:rPr>
        <w:footnoteReference w:id="81"/>
      </w:r>
      <w:r>
        <w:rPr>
          <w:noProof/>
        </w:rPr>
        <w:t xml:space="preserve"> и заводите за механично-биологично третиране</w:t>
      </w:r>
      <w:r>
        <w:rPr>
          <w:rStyle w:val="FootnoteReference"/>
          <w:noProof/>
          <w:lang w:val="en-IE"/>
        </w:rPr>
        <w:footnoteReference w:id="82"/>
      </w:r>
      <w:r>
        <w:rPr>
          <w:noProof/>
        </w:rPr>
        <w:t>; и iv) дейности, при които дългосрочното обезвреждане на отпадъци може да причини вреда на околната среда. В допълнение към това в заданието се изисква да могат да бъдат избирани само дейности, които отговарят на съответното законодателство на ЕС и национално законодателство в областта на околната среда.</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Следните действия за НИРД по тази инвестиция се считат за съответстващи на техническите насоки „Ненанасяне на значителни вреди“ (2021/C58/01): </w:t>
      </w:r>
      <w:r>
        <w:rPr>
          <w:rFonts w:ascii="Times New Roman" w:hAnsi="Times New Roman"/>
          <w:noProof/>
          <w:sz w:val="24"/>
          <w:lang w:val="en-US"/>
        </w:rPr>
        <w:t>i</w:t>
      </w:r>
      <w:r>
        <w:rPr>
          <w:rFonts w:ascii="Times New Roman" w:hAnsi="Times New Roman"/>
          <w:noProof/>
          <w:sz w:val="24"/>
        </w:rPr>
        <w:t>) тези научноизследователски и развойни действия по тази инвестиция, които водят до технологично неутрални резултати на равнището на тяхното прилагане; ii) тези действия за НИРД по тази инвестиция в подкрепа на алтернативи със слабо въздействие върху околната среда, за които съществуват такива; или iii) онези научноизследователски и развойни действия по тази инвестиция, които са насочени предимно към разработването на алтернативи с възможно най-малко въздействие върху околната среда в сектора за онези дейности, за които не съществува технологично и икономически осъществима алтернатива със слабо въздействие.</w:t>
      </w:r>
    </w:p>
    <w:p>
      <w:pPr>
        <w:autoSpaceDE w:val="0"/>
        <w:autoSpaceDN w:val="0"/>
        <w:spacing w:before="40" w:after="40"/>
        <w:rPr>
          <w:rFonts w:ascii="Times New Roman" w:hAnsi="Times New Roman" w:cs="Times New Roman"/>
          <w:noProof/>
          <w:sz w:val="24"/>
          <w:szCs w:val="24"/>
        </w:rPr>
      </w:pPr>
      <w:r>
        <w:rPr>
          <w:rFonts w:ascii="Times New Roman" w:hAnsi="Times New Roman"/>
          <w:noProof/>
          <w:sz w:val="24"/>
          <w:szCs w:val="24"/>
        </w:rPr>
        <w:t>Изпълнението на инвестицията приключва до юни 2026 г.</w:t>
      </w:r>
      <w:r>
        <w:rPr>
          <w:rFonts w:ascii="Times New Roman" w:hAnsi="Times New Roman"/>
          <w:noProof/>
          <w:color w:val="000000"/>
          <w:sz w:val="24"/>
          <w:szCs w:val="24"/>
        </w:rPr>
        <w:t xml:space="preserve"> </w:t>
      </w:r>
    </w:p>
    <w:p>
      <w:pPr>
        <w:keepNext/>
        <w:spacing w:before="120" w:after="120" w:line="240" w:lineRule="auto"/>
        <w:jc w:val="both"/>
        <w:rPr>
          <w:rFonts w:ascii="Times New Roman" w:hAnsi="Times New Roman" w:cs="Times New Roman"/>
          <w:noProof/>
          <w:color w:val="000000" w:themeColor="text1"/>
          <w:sz w:val="24"/>
          <w:u w:val="single"/>
        </w:rPr>
      </w:pPr>
      <w:r>
        <w:rPr>
          <w:rFonts w:ascii="Times New Roman" w:hAnsi="Times New Roman"/>
          <w:noProof/>
          <w:color w:val="000000" w:themeColor="text1"/>
          <w:sz w:val="24"/>
          <w:u w:val="single"/>
        </w:rPr>
        <w:t>Инвестиция 8 (C17.I8):</w:t>
      </w:r>
      <w:r>
        <w:rPr>
          <w:rFonts w:ascii="Times New Roman" w:hAnsi="Times New Roman"/>
          <w:noProof/>
          <w:sz w:val="24"/>
          <w:u w:val="single"/>
        </w:rPr>
        <w:t xml:space="preserve"> Устойчива научноизследователска и развойна дейност в автомобилния сектор; D &amp; I (PTAS)</w:t>
      </w:r>
      <w:r>
        <w:rPr>
          <w:rFonts w:ascii="Times New Roman" w:hAnsi="Times New Roman"/>
          <w:noProof/>
          <w:color w:val="000000" w:themeColor="text1"/>
          <w:sz w:val="24"/>
          <w:u w:val="single"/>
        </w:rPr>
        <w:t xml:space="preserve"> </w:t>
      </w:r>
    </w:p>
    <w:p>
      <w:pPr>
        <w:keepNext/>
        <w:spacing w:before="120" w:after="120" w:line="240" w:lineRule="auto"/>
        <w:jc w:val="both"/>
        <w:rPr>
          <w:rFonts w:ascii="Times New Roman" w:hAnsi="Times New Roman" w:cs="Times New Roman"/>
          <w:noProof/>
          <w:sz w:val="24"/>
        </w:rPr>
      </w:pPr>
      <w:r>
        <w:rPr>
          <w:rFonts w:ascii="Times New Roman" w:hAnsi="Times New Roman"/>
          <w:noProof/>
          <w:color w:val="000000" w:themeColor="text1"/>
          <w:sz w:val="24"/>
        </w:rPr>
        <w:t xml:space="preserve">Целта на тази мярка е да се насърчи развитието на научните изследвания и иновациите в устойчив автомобилен сектор. По-специално мярката има за цел: </w:t>
      </w:r>
      <w:r>
        <w:rPr>
          <w:rFonts w:ascii="Times New Roman" w:hAnsi="Times New Roman"/>
          <w:noProof/>
          <w:sz w:val="24"/>
        </w:rPr>
        <w:t xml:space="preserve">1) подкрепа за разработването на компоненти и платформи изключително за електрически, зареждащи се от електрическата мрежа хибридни превозни средства и за задвижвани с водород превозни средства, 2) насърчаване на научноизследователската и развойната дейност в областта на автономното шофиране и свързаната мобилност чрез разработване на нова структура на хардуерните и софтуерните превозни средства и 3) адаптиране на производствените области на компонентите и системите изключително за електрически, хибридни и водородни превозни средства. Проектите се изпълняват от бизнес консорциуми от три до осем предприятия (най-малко един трябва да е МСП), с максимална продължителност три години. </w:t>
      </w:r>
    </w:p>
    <w:p>
      <w:pPr>
        <w:spacing w:before="120" w:after="12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Действията по тази инвестиция се осъществяват с покани за представяне на предложения. </w:t>
      </w:r>
    </w:p>
    <w:p>
      <w:pPr>
        <w:pStyle w:val="Text1"/>
        <w:ind w:left="0"/>
        <w:rPr>
          <w:iCs/>
          <w:noProof/>
          <w:highlight w:val="green"/>
        </w:rPr>
      </w:pPr>
      <w:r>
        <w:rPr>
          <w:noProof/>
        </w:rPr>
        <w:t xml:space="preserve">За да се гарантира, че мярката е в съответствие с техническите насоки „Ненанасяне на значителни вреди“ (2021/C58/01), критериите за допустимост, съдържащи се в техническото задание за предстоящи покани за представяне на проекти, изключват следния списък от дейности: </w:t>
      </w:r>
      <w:r>
        <w:rPr>
          <w:noProof/>
          <w:lang w:val="en-US"/>
        </w:rPr>
        <w:t>i</w:t>
      </w:r>
      <w:r>
        <w:rPr>
          <w:noProof/>
        </w:rPr>
        <w:t>) дейности , свързани с изкопаеми горива, включително използване надолу по веригата</w:t>
      </w:r>
      <w:r>
        <w:rPr>
          <w:rStyle w:val="FootnoteReference"/>
          <w:noProof/>
          <w:lang w:val="en-IE"/>
        </w:rPr>
        <w:footnoteReference w:id="83"/>
      </w:r>
      <w:r>
        <w:rPr>
          <w:noProof/>
        </w:rPr>
        <w:t>; ii) дейности по схемата на ЕС за търговия с емисии (СТЕ), с които се постигат прогнозираните емисии на парникови газове, които не са по-ниски от съответните референтни стойности</w:t>
      </w:r>
      <w:r>
        <w:rPr>
          <w:rStyle w:val="FootnoteReference"/>
          <w:noProof/>
          <w:lang w:val="en-IE"/>
        </w:rPr>
        <w:footnoteReference w:id="84"/>
      </w:r>
      <w:r>
        <w:rPr>
          <w:noProof/>
        </w:rPr>
        <w:t>; iii) дейности, свързани с депата за отпадъци, инсталациите за изгаряне на отпадъци</w:t>
      </w:r>
      <w:r>
        <w:rPr>
          <w:rStyle w:val="FootnoteReference"/>
          <w:noProof/>
          <w:lang w:val="en-IE"/>
        </w:rPr>
        <w:footnoteReference w:id="85"/>
      </w:r>
      <w:r>
        <w:rPr>
          <w:noProof/>
        </w:rPr>
        <w:t xml:space="preserve"> и заводите за механично-биологично третиране</w:t>
      </w:r>
      <w:r>
        <w:rPr>
          <w:rStyle w:val="FootnoteReference"/>
          <w:noProof/>
          <w:lang w:val="en-IE"/>
        </w:rPr>
        <w:footnoteReference w:id="86"/>
      </w:r>
      <w:r>
        <w:rPr>
          <w:noProof/>
        </w:rPr>
        <w:t>; и iv) дейности, при които дългосрочното обезвреждане на отпадъци може да причини вреда на околната среда. В допълнение към това в заданието се изисква да могат да бъдат избирани само дейности, които отговарят на съответното законодателство на ЕС и национално законодателство в областта на околната среда.</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Следните действия за НИРД по тази инвестиция се считат за съответстващи на техническите насоки „Ненанасяне на значителни вреди“ (2021/C58/01): </w:t>
      </w:r>
      <w:r>
        <w:rPr>
          <w:rFonts w:ascii="Times New Roman" w:hAnsi="Times New Roman"/>
          <w:noProof/>
          <w:sz w:val="24"/>
          <w:lang w:val="en-US"/>
        </w:rPr>
        <w:t>i</w:t>
      </w:r>
      <w:r>
        <w:rPr>
          <w:rFonts w:ascii="Times New Roman" w:hAnsi="Times New Roman"/>
          <w:noProof/>
          <w:sz w:val="24"/>
        </w:rPr>
        <w:t>) тези научноизследователски и развойни действия по тази инвестиция, които водят до технологично неутрални резултати на равнището на тяхното прилагане; ii) тези действия за НИРД по тази инвестиция в подкрепа на алтернативи със слабо въздействие върху околната среда, за които съществуват такива; или iii) онези НИРД по тази инвестиция, които са насочени предимно към разработването на алтернативи с възможно най-малко въздействие върху околната среда в сектора за онези дейности, за които не съществува технологично и икономически осъществима алтернатива със слабо въздействие.</w:t>
      </w:r>
    </w:p>
    <w:p>
      <w:pPr>
        <w:autoSpaceDE w:val="0"/>
        <w:autoSpaceDN w:val="0"/>
        <w:spacing w:before="40" w:after="40"/>
        <w:rPr>
          <w:rFonts w:ascii="Times New Roman" w:hAnsi="Times New Roman" w:cs="Times New Roman"/>
          <w:noProof/>
          <w:sz w:val="24"/>
          <w:szCs w:val="24"/>
        </w:rPr>
      </w:pPr>
      <w:r>
        <w:rPr>
          <w:rFonts w:ascii="Times New Roman" w:hAnsi="Times New Roman"/>
          <w:noProof/>
          <w:sz w:val="24"/>
          <w:szCs w:val="24"/>
        </w:rPr>
        <w:t>Изпълнението на инвестицията приключва до 30 юни 2024 г.</w:t>
      </w:r>
      <w:r>
        <w:rPr>
          <w:rFonts w:ascii="Times New Roman" w:hAnsi="Times New Roman"/>
          <w:noProof/>
          <w:color w:val="000000"/>
          <w:sz w:val="24"/>
          <w:szCs w:val="24"/>
        </w:rPr>
        <w:t xml:space="preserve"> </w:t>
      </w:r>
    </w:p>
    <w:p>
      <w:pPr>
        <w:spacing w:before="120" w:after="120" w:line="240" w:lineRule="auto"/>
        <w:jc w:val="both"/>
        <w:rPr>
          <w:rFonts w:ascii="Times New Roman" w:hAnsi="Times New Roman" w:cs="Times New Roman"/>
          <w:noProof/>
          <w:color w:val="000000" w:themeColor="text1"/>
          <w:sz w:val="24"/>
          <w:u w:val="single"/>
        </w:rPr>
      </w:pPr>
      <w:r>
        <w:rPr>
          <w:rFonts w:ascii="Times New Roman" w:hAnsi="Times New Roman"/>
          <w:noProof/>
          <w:color w:val="000000" w:themeColor="text1"/>
          <w:sz w:val="24"/>
          <w:u w:val="single"/>
        </w:rPr>
        <w:t>Инвестиция 9 (C17.I9): Авиокосмически отрасъл</w:t>
      </w:r>
    </w:p>
    <w:p>
      <w:pPr>
        <w:spacing w:before="120" w:after="120" w:line="240" w:lineRule="auto"/>
        <w:jc w:val="both"/>
        <w:rPr>
          <w:rFonts w:ascii="Times New Roman" w:hAnsi="Times New Roman" w:cs="Times New Roman"/>
          <w:noProof/>
          <w:color w:val="000000" w:themeColor="text1"/>
          <w:sz w:val="24"/>
        </w:rPr>
      </w:pPr>
      <w:r>
        <w:rPr>
          <w:rFonts w:ascii="Times New Roman" w:hAnsi="Times New Roman"/>
          <w:noProof/>
          <w:sz w:val="24"/>
        </w:rPr>
        <w:t>Целта на тази мярка е да се насърчат научноизследователските разработки и иновациите в сектора на въздухоплаването, с основен акцент върху действията по тази инвестиция, свързани с авиокосмически технологии с ниски или нулеви въглеродни емисии и аеронавтика. Мярката е насочена към подобряване на промишления капацитет, свързан с бъдещите въздухоплавателни средства с ниски и нулеви емисии, критичните технологични разработки, свързани с безпилотните летателни апарати, бордовите системи, многоцелевите въздухоплавателни средства и усъвършенстваните производствени системи, които включват създаването на цифрови близнаци, насърчаване на ефективността и по-ниско потребление на ресурси или по-слабо въздействие върху околната среда</w:t>
      </w:r>
      <w:r>
        <w:rPr>
          <w:noProof/>
        </w:rPr>
        <w:t>.</w:t>
      </w:r>
      <w:bookmarkStart w:id="4" w:name="_Hlk70075465"/>
      <w:r>
        <w:rPr>
          <w:rFonts w:ascii="Times New Roman" w:hAnsi="Times New Roman"/>
          <w:noProof/>
          <w:sz w:val="24"/>
        </w:rPr>
        <w:t xml:space="preserve"> </w:t>
      </w:r>
      <w:bookmarkEnd w:id="4"/>
      <w:r>
        <w:rPr>
          <w:rFonts w:ascii="Times New Roman" w:hAnsi="Times New Roman"/>
          <w:noProof/>
          <w:sz w:val="24"/>
        </w:rPr>
        <w:t>Мярката подпомага също така области на космическите технологии, като например достъп до космическото пространство, наблюдение на Земята, оптични и сигурни комуникационни системи. Проектите се изпълняват от консорциуми от две до шест дружества (най-малко едно МСП) с продължителност от две до четири години.</w:t>
      </w:r>
      <w:r>
        <w:rPr>
          <w:rFonts w:ascii="Times New Roman" w:hAnsi="Times New Roman"/>
          <w:noProof/>
          <w:color w:val="000000" w:themeColor="text1"/>
          <w:sz w:val="24"/>
        </w:rPr>
        <w:t xml:space="preserve"> </w:t>
      </w:r>
    </w:p>
    <w:p>
      <w:pPr>
        <w:spacing w:before="120" w:after="12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Действията по тази инвестиция се осъществяват с покани за представяне на предложения и обществени поръчки. </w:t>
      </w:r>
    </w:p>
    <w:p>
      <w:pPr>
        <w:pStyle w:val="Text1"/>
        <w:ind w:left="0"/>
        <w:rPr>
          <w:iCs/>
          <w:noProof/>
          <w:highlight w:val="green"/>
        </w:rPr>
      </w:pPr>
      <w:r>
        <w:rPr>
          <w:noProof/>
        </w:rPr>
        <w:t xml:space="preserve">За да се гарантира, че мярката е в съответствие с техническите насоки „Ненанасяне на значителни вреди“ (2021/C58/01), критериите за допустимост, съдържащи се в заданието за предстоящи покани за представяне на проекти или търгове за възлагане на обществени поръчки, изключват следния списък от дейности: </w:t>
      </w:r>
      <w:r>
        <w:rPr>
          <w:noProof/>
          <w:lang w:val="en-US"/>
        </w:rPr>
        <w:t>i</w:t>
      </w:r>
      <w:r>
        <w:rPr>
          <w:noProof/>
        </w:rPr>
        <w:t>) дейности , свързани с изкопаеми горива, включително използване надолу по веригата</w:t>
      </w:r>
      <w:r>
        <w:rPr>
          <w:rStyle w:val="FootnoteReference"/>
          <w:noProof/>
          <w:lang w:val="en-IE"/>
        </w:rPr>
        <w:footnoteReference w:id="87"/>
      </w:r>
      <w:r>
        <w:rPr>
          <w:noProof/>
        </w:rPr>
        <w:t>; ii) дейности по схемата на ЕС за търговия с емисии (СТЕ), с които се постигат прогнозираните емисии на парникови газове, които не са по-ниски от съответните референтни стойности</w:t>
      </w:r>
      <w:r>
        <w:rPr>
          <w:rStyle w:val="FootnoteReference"/>
          <w:noProof/>
          <w:lang w:val="en-IE"/>
        </w:rPr>
        <w:footnoteReference w:id="88"/>
      </w:r>
      <w:r>
        <w:rPr>
          <w:noProof/>
        </w:rPr>
        <w:t>; iii) дейности, свързани с депата за отпадъци, инсталациите за изгаряне на отпадъци</w:t>
      </w:r>
      <w:r>
        <w:rPr>
          <w:rStyle w:val="FootnoteReference"/>
          <w:noProof/>
          <w:lang w:val="en-IE"/>
        </w:rPr>
        <w:footnoteReference w:id="89"/>
      </w:r>
      <w:r>
        <w:rPr>
          <w:noProof/>
        </w:rPr>
        <w:t xml:space="preserve"> и заводите за механично-биологично третиране</w:t>
      </w:r>
      <w:r>
        <w:rPr>
          <w:rStyle w:val="FootnoteReference"/>
          <w:noProof/>
          <w:lang w:val="en-IE"/>
        </w:rPr>
        <w:footnoteReference w:id="90"/>
      </w:r>
      <w:r>
        <w:rPr>
          <w:noProof/>
        </w:rPr>
        <w:t>; и iv) дейности, при които дългосрочното обезвреждане на отпадъци може да причини вреда на околната среда. В допълнение към това в заданието се изисква да могат да бъдат избирани само дейности, които отговарят на съответното законодателство на ЕС и национално законодателство в областта на околната среда.</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Следните действия НИРД по тази инвестиция могат да се считат за съответстващи на техническите насоки „Ненанасяне на значителни вреди“ (2021/C58/01): </w:t>
      </w:r>
      <w:r>
        <w:rPr>
          <w:rFonts w:ascii="Times New Roman" w:hAnsi="Times New Roman"/>
          <w:noProof/>
          <w:sz w:val="24"/>
          <w:lang w:val="en-US"/>
        </w:rPr>
        <w:t>i</w:t>
      </w:r>
      <w:r>
        <w:rPr>
          <w:rFonts w:ascii="Times New Roman" w:hAnsi="Times New Roman"/>
          <w:noProof/>
          <w:sz w:val="24"/>
        </w:rPr>
        <w:t>) тези научноизследователски и развойни действия по тази инвестиция, които водят до технологично неутрални резултати на равнището на тяхното прилагане; ii) тези действия за научноизследователска и развойна дейност по тази инвестиция в подкрепа на алтернативи със слабо въздействие върху околната среда, за които съществуват такива; или iii) онези научноизследователски и развойни действия по тази инвестиция, които са насочени предимно към разработването на алтернативи с възможно най-малко въздействие върху околната среда в сектора за онези дейности, за които не съществува технологично и икономически осъществима алтернатива със слабо въздействие.</w:t>
      </w:r>
    </w:p>
    <w:p>
      <w:pPr>
        <w:autoSpaceDE w:val="0"/>
        <w:autoSpaceDN w:val="0"/>
        <w:spacing w:before="40" w:after="40"/>
        <w:rPr>
          <w:rFonts w:ascii="Times New Roman" w:hAnsi="Times New Roman" w:cs="Times New Roman"/>
          <w:noProof/>
          <w:sz w:val="24"/>
          <w:szCs w:val="24"/>
        </w:rPr>
      </w:pPr>
      <w:r>
        <w:rPr>
          <w:rFonts w:ascii="Times New Roman" w:hAnsi="Times New Roman"/>
          <w:noProof/>
          <w:sz w:val="24"/>
          <w:szCs w:val="24"/>
        </w:rPr>
        <w:t>Изпълнението на инвестицията приключва до 30 юни 2026 г.</w:t>
      </w:r>
      <w:r>
        <w:rPr>
          <w:rFonts w:ascii="Times New Roman" w:hAnsi="Times New Roman"/>
          <w:noProof/>
          <w:color w:val="000000"/>
          <w:sz w:val="24"/>
          <w:szCs w:val="24"/>
        </w:rPr>
        <w:t xml:space="preserve"> </w:t>
      </w:r>
    </w:p>
    <w:p>
      <w:pPr>
        <w:spacing w:before="120" w:after="120" w:line="240" w:lineRule="auto"/>
        <w:jc w:val="both"/>
        <w:rPr>
          <w:rFonts w:ascii="Times New Roman" w:hAnsi="Times New Roman" w:cs="Times New Roman"/>
          <w:b/>
          <w:bCs/>
          <w:noProof/>
          <w:sz w:val="24"/>
          <w:u w:val="single"/>
        </w:rPr>
      </w:pPr>
      <w:r>
        <w:rPr>
          <w:rFonts w:ascii="Times New Roman" w:hAnsi="Times New Roman"/>
          <w:b/>
          <w:bCs/>
          <w:noProof/>
          <w:sz w:val="24"/>
          <w:u w:val="single"/>
        </w:rPr>
        <w:t xml:space="preserve">Р.2. </w:t>
      </w:r>
      <w:r>
        <w:rPr>
          <w:rFonts w:ascii="Times New Roman" w:hAnsi="Times New Roman"/>
          <w:b/>
          <w:noProof/>
          <w:sz w:val="24"/>
          <w:u w:val="single"/>
        </w:rPr>
        <w:tab/>
      </w:r>
      <w:r>
        <w:rPr>
          <w:rFonts w:ascii="Times New Roman" w:hAnsi="Times New Roman"/>
          <w:b/>
          <w:bCs/>
          <w:noProof/>
          <w:sz w:val="24"/>
          <w:u w:val="single"/>
        </w:rPr>
        <w:t>Ключови етапи, цели, показатели и график за мониторинг и изпълнение на безвъзмездната финансова подкрепа</w:t>
      </w:r>
    </w:p>
    <w:p>
      <w:pPr>
        <w:spacing w:before="120" w:after="120" w:line="240" w:lineRule="auto"/>
        <w:jc w:val="both"/>
        <w:rPr>
          <w:rFonts w:ascii="Times New Roman" w:hAnsi="Times New Roman" w:cs="Times New Roman"/>
          <w:noProof/>
          <w:sz w:val="24"/>
        </w:rPr>
        <w:sectPr>
          <w:headerReference w:type="even" r:id="rId211"/>
          <w:headerReference w:type="default" r:id="rId212"/>
          <w:footerReference w:type="even" r:id="rId213"/>
          <w:footerReference w:type="default" r:id="rId214"/>
          <w:headerReference w:type="first" r:id="rId215"/>
          <w:footerReference w:type="first" r:id="rId216"/>
          <w:pgSz w:w="11907" w:h="16839"/>
          <w:pgMar w:top="1134" w:right="1417" w:bottom="1134" w:left="1417" w:header="709" w:footer="709" w:gutter="0"/>
          <w:cols w:space="720"/>
          <w:docGrid w:linePitch="360"/>
        </w:sectPr>
      </w:pPr>
      <w:r>
        <w:rPr>
          <w:rFonts w:ascii="Times New Roman" w:hAnsi="Times New Roman"/>
          <w:i/>
          <w:iCs/>
          <w:noProof/>
          <w:color w:val="000000"/>
          <w:sz w:val="24"/>
        </w:rPr>
        <w:t>Вж. таблицата по-долу.</w:t>
      </w:r>
      <w:r>
        <w:rPr>
          <w:rFonts w:ascii="Times New Roman" w:hAnsi="Times New Roman"/>
          <w:noProof/>
          <w:color w:val="1F497D"/>
          <w:sz w:val="24"/>
        </w:rPr>
        <w:t xml:space="preserve"> </w:t>
      </w:r>
      <w:r>
        <w:rPr>
          <w:rFonts w:ascii="Times New Roman" w:hAnsi="Times New Roman"/>
          <w:i/>
          <w:iCs/>
          <w:noProof/>
          <w:color w:val="000000"/>
          <w:sz w:val="24"/>
        </w:rPr>
        <w:t>Датата на базовата линия за всички показатели е 1 февруари 2020 г., освен ако не е посочено друго в описанието на действието. Сумите в таблицата не включват ДДС.</w:t>
      </w:r>
    </w:p>
    <w:tbl>
      <w:tblPr>
        <w:tblW w:w="15310"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09"/>
        <w:gridCol w:w="851"/>
        <w:gridCol w:w="850"/>
        <w:gridCol w:w="2502"/>
        <w:gridCol w:w="1184"/>
        <w:gridCol w:w="850"/>
        <w:gridCol w:w="709"/>
        <w:gridCol w:w="567"/>
        <w:gridCol w:w="470"/>
        <w:gridCol w:w="664"/>
        <w:gridCol w:w="5954"/>
      </w:tblGrid>
      <w:tr>
        <w:trPr>
          <w:trHeight w:val="309"/>
          <w:tblHeader/>
        </w:trPr>
        <w:tc>
          <w:tcPr>
            <w:tcW w:w="709" w:type="dxa"/>
            <w:tcBorders>
              <w:bottom w:val="nil"/>
            </w:tcBorders>
            <w:shd w:val="clear" w:color="auto" w:fill="C6D9F1" w:themeFill="text2" w:themeFillTint="33"/>
            <w:noWrap/>
          </w:tcPr>
          <w:p>
            <w:pPr>
              <w:spacing w:after="0" w:line="240" w:lineRule="auto"/>
              <w:jc w:val="center"/>
              <w:rPr>
                <w:rFonts w:ascii="Times New Roman" w:hAnsi="Times New Roman" w:cs="Times New Roman"/>
                <w:b/>
                <w:bCs/>
                <w:noProof/>
                <w:color w:val="000000"/>
                <w:sz w:val="18"/>
                <w:szCs w:val="18"/>
              </w:rPr>
            </w:pPr>
            <w:r>
              <w:rPr>
                <w:rFonts w:ascii="Times New Roman" w:hAnsi="Times New Roman"/>
                <w:b/>
                <w:bCs/>
                <w:noProof/>
                <w:color w:val="000000"/>
                <w:sz w:val="18"/>
                <w:szCs w:val="18"/>
              </w:rPr>
              <w:t>Номер</w:t>
            </w:r>
          </w:p>
        </w:tc>
        <w:tc>
          <w:tcPr>
            <w:tcW w:w="851" w:type="dxa"/>
            <w:tcBorders>
              <w:bottom w:val="nil"/>
            </w:tcBorders>
            <w:shd w:val="clear" w:color="auto" w:fill="C6D9F1" w:themeFill="text2" w:themeFillTint="33"/>
            <w:noWrap/>
          </w:tcPr>
          <w:p>
            <w:pPr>
              <w:spacing w:after="0" w:line="240" w:lineRule="auto"/>
              <w:jc w:val="center"/>
              <w:rPr>
                <w:rFonts w:ascii="Times New Roman" w:hAnsi="Times New Roman" w:cs="Times New Roman"/>
                <w:b/>
                <w:bCs/>
                <w:noProof/>
                <w:color w:val="000000"/>
                <w:sz w:val="18"/>
                <w:szCs w:val="18"/>
              </w:rPr>
            </w:pPr>
            <w:r>
              <w:rPr>
                <w:rFonts w:ascii="Times New Roman" w:hAnsi="Times New Roman"/>
                <w:b/>
                <w:bCs/>
                <w:noProof/>
                <w:color w:val="000000"/>
                <w:sz w:val="18"/>
                <w:szCs w:val="18"/>
              </w:rPr>
              <w:t>Мярка</w:t>
            </w:r>
          </w:p>
        </w:tc>
        <w:tc>
          <w:tcPr>
            <w:tcW w:w="850" w:type="dxa"/>
            <w:tcBorders>
              <w:bottom w:val="nil"/>
            </w:tcBorders>
            <w:shd w:val="clear" w:color="auto" w:fill="C6D9F1" w:themeFill="text2" w:themeFillTint="33"/>
            <w:noWrap/>
          </w:tcPr>
          <w:p>
            <w:pPr>
              <w:spacing w:after="0" w:line="240" w:lineRule="auto"/>
              <w:jc w:val="center"/>
              <w:rPr>
                <w:rFonts w:ascii="Times New Roman" w:hAnsi="Times New Roman" w:cs="Times New Roman"/>
                <w:b/>
                <w:bCs/>
                <w:noProof/>
                <w:color w:val="000000"/>
                <w:sz w:val="18"/>
                <w:szCs w:val="18"/>
              </w:rPr>
            </w:pPr>
            <w:r>
              <w:rPr>
                <w:rFonts w:ascii="Times New Roman" w:hAnsi="Times New Roman"/>
                <w:b/>
                <w:bCs/>
                <w:noProof/>
                <w:color w:val="000000"/>
                <w:sz w:val="18"/>
                <w:szCs w:val="18"/>
              </w:rPr>
              <w:t>Ключов етап /Цел</w:t>
            </w:r>
          </w:p>
        </w:tc>
        <w:tc>
          <w:tcPr>
            <w:tcW w:w="2502" w:type="dxa"/>
            <w:tcBorders>
              <w:bottom w:val="nil"/>
            </w:tcBorders>
            <w:shd w:val="clear" w:color="auto" w:fill="C6D9F1" w:themeFill="text2" w:themeFillTint="33"/>
            <w:noWrap/>
          </w:tcPr>
          <w:p>
            <w:pPr>
              <w:spacing w:after="0" w:line="240" w:lineRule="auto"/>
              <w:jc w:val="center"/>
              <w:rPr>
                <w:rFonts w:ascii="Times New Roman" w:hAnsi="Times New Roman" w:cs="Times New Roman"/>
                <w:b/>
                <w:bCs/>
                <w:noProof/>
                <w:color w:val="000000"/>
                <w:sz w:val="18"/>
                <w:szCs w:val="18"/>
              </w:rPr>
            </w:pPr>
            <w:r>
              <w:rPr>
                <w:rFonts w:ascii="Times New Roman" w:hAnsi="Times New Roman"/>
                <w:b/>
                <w:bCs/>
                <w:noProof/>
                <w:color w:val="000000"/>
                <w:sz w:val="18"/>
                <w:szCs w:val="18"/>
              </w:rPr>
              <w:t>Наименование</w:t>
            </w:r>
          </w:p>
        </w:tc>
        <w:tc>
          <w:tcPr>
            <w:tcW w:w="1184" w:type="dxa"/>
            <w:tcBorders>
              <w:bottom w:val="nil"/>
            </w:tcBorders>
            <w:shd w:val="clear" w:color="auto" w:fill="C6D9F1" w:themeFill="text2" w:themeFillTint="33"/>
            <w:noWrap/>
          </w:tcPr>
          <w:p>
            <w:pPr>
              <w:spacing w:after="0" w:line="240" w:lineRule="auto"/>
              <w:jc w:val="center"/>
              <w:rPr>
                <w:rFonts w:ascii="Times New Roman" w:hAnsi="Times New Roman" w:cs="Times New Roman"/>
                <w:b/>
                <w:bCs/>
                <w:noProof/>
                <w:color w:val="000000"/>
                <w:sz w:val="18"/>
                <w:szCs w:val="18"/>
              </w:rPr>
            </w:pPr>
            <w:r>
              <w:rPr>
                <w:rFonts w:ascii="Times New Roman" w:hAnsi="Times New Roman"/>
                <w:b/>
                <w:bCs/>
                <w:noProof/>
                <w:color w:val="000000"/>
                <w:sz w:val="18"/>
                <w:szCs w:val="18"/>
              </w:rPr>
              <w:t>Качествени показатели за ключовите етапи</w:t>
            </w:r>
          </w:p>
        </w:tc>
        <w:tc>
          <w:tcPr>
            <w:tcW w:w="2126" w:type="dxa"/>
            <w:gridSpan w:val="3"/>
            <w:shd w:val="clear" w:color="auto" w:fill="C6D9F1" w:themeFill="text2" w:themeFillTint="33"/>
            <w:noWrap/>
          </w:tcPr>
          <w:p>
            <w:pPr>
              <w:spacing w:after="0" w:line="240" w:lineRule="auto"/>
              <w:jc w:val="center"/>
              <w:rPr>
                <w:rFonts w:ascii="Times New Roman" w:hAnsi="Times New Roman" w:cs="Times New Roman"/>
                <w:b/>
                <w:bCs/>
                <w:noProof/>
                <w:color w:val="000000"/>
                <w:sz w:val="18"/>
                <w:szCs w:val="18"/>
              </w:rPr>
            </w:pPr>
            <w:r>
              <w:rPr>
                <w:rFonts w:ascii="Times New Roman" w:hAnsi="Times New Roman"/>
                <w:b/>
                <w:bCs/>
                <w:noProof/>
                <w:color w:val="000000"/>
                <w:sz w:val="18"/>
                <w:szCs w:val="18"/>
              </w:rPr>
              <w:t>Количествени показатели за целите</w:t>
            </w:r>
          </w:p>
        </w:tc>
        <w:tc>
          <w:tcPr>
            <w:tcW w:w="1134" w:type="dxa"/>
            <w:gridSpan w:val="2"/>
            <w:shd w:val="clear" w:color="auto" w:fill="C6D9F1" w:themeFill="text2" w:themeFillTint="33"/>
            <w:noWrap/>
          </w:tcPr>
          <w:p>
            <w:pPr>
              <w:spacing w:after="0" w:line="240" w:lineRule="auto"/>
              <w:jc w:val="center"/>
              <w:rPr>
                <w:rFonts w:ascii="Times New Roman" w:hAnsi="Times New Roman" w:cs="Times New Roman"/>
                <w:b/>
                <w:bCs/>
                <w:noProof/>
                <w:color w:val="000000"/>
                <w:sz w:val="18"/>
                <w:szCs w:val="18"/>
              </w:rPr>
            </w:pPr>
            <w:r>
              <w:rPr>
                <w:rFonts w:ascii="Times New Roman" w:hAnsi="Times New Roman"/>
                <w:b/>
                <w:bCs/>
                <w:noProof/>
                <w:color w:val="000000"/>
                <w:sz w:val="18"/>
                <w:szCs w:val="18"/>
              </w:rPr>
              <w:t>Време</w:t>
            </w:r>
          </w:p>
        </w:tc>
        <w:tc>
          <w:tcPr>
            <w:tcW w:w="5954" w:type="dxa"/>
            <w:tcBorders>
              <w:bottom w:val="nil"/>
            </w:tcBorders>
            <w:shd w:val="clear" w:color="auto" w:fill="C6D9F1" w:themeFill="text2" w:themeFillTint="33"/>
            <w:noWrap/>
          </w:tcPr>
          <w:p>
            <w:pPr>
              <w:spacing w:after="0" w:line="240" w:lineRule="auto"/>
              <w:jc w:val="center"/>
              <w:rPr>
                <w:rFonts w:ascii="Times New Roman" w:hAnsi="Times New Roman" w:cs="Times New Roman"/>
                <w:b/>
                <w:bCs/>
                <w:noProof/>
                <w:color w:val="000000"/>
                <w:sz w:val="18"/>
                <w:szCs w:val="18"/>
              </w:rPr>
            </w:pPr>
            <w:r>
              <w:rPr>
                <w:rFonts w:ascii="Times New Roman" w:hAnsi="Times New Roman"/>
                <w:b/>
                <w:bCs/>
                <w:noProof/>
                <w:sz w:val="18"/>
                <w:szCs w:val="18"/>
              </w:rPr>
              <w:t>Описание на всеки ключов етап и всяка цел</w:t>
            </w:r>
          </w:p>
        </w:tc>
      </w:tr>
      <w:tr>
        <w:trPr>
          <w:trHeight w:val="309"/>
          <w:tblHeader/>
        </w:trPr>
        <w:tc>
          <w:tcPr>
            <w:tcW w:w="709"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851"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850"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2502" w:type="dxa"/>
            <w:tcBorders>
              <w:top w:val="nil"/>
            </w:tcBorders>
            <w:shd w:val="clear" w:color="auto" w:fill="C6D9F1" w:themeFill="text2" w:themeFillTint="33"/>
            <w:noWrap/>
          </w:tcPr>
          <w:p>
            <w:pPr>
              <w:spacing w:after="0" w:line="240" w:lineRule="auto"/>
              <w:rPr>
                <w:rFonts w:ascii="Times New Roman" w:hAnsi="Times New Roman" w:cs="Times New Roman"/>
                <w:b/>
                <w:noProof/>
                <w:color w:val="000000"/>
                <w:sz w:val="18"/>
                <w:szCs w:val="18"/>
              </w:rPr>
            </w:pPr>
          </w:p>
        </w:tc>
        <w:tc>
          <w:tcPr>
            <w:tcW w:w="1184"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850" w:type="dxa"/>
            <w:shd w:val="clear" w:color="auto" w:fill="C6D9F1" w:themeFill="text2" w:themeFillTint="33"/>
            <w:noWrap/>
          </w:tcPr>
          <w:p>
            <w:pPr>
              <w:spacing w:after="0" w:line="240" w:lineRule="auto"/>
              <w:jc w:val="center"/>
              <w:rPr>
                <w:rFonts w:ascii="Times New Roman" w:hAnsi="Times New Roman" w:cs="Times New Roman"/>
                <w:b/>
                <w:bCs/>
                <w:noProof/>
                <w:color w:val="000000"/>
                <w:sz w:val="18"/>
                <w:szCs w:val="18"/>
              </w:rPr>
            </w:pPr>
            <w:r>
              <w:rPr>
                <w:rFonts w:ascii="Times New Roman" w:hAnsi="Times New Roman"/>
                <w:b/>
                <w:bCs/>
                <w:noProof/>
                <w:color w:val="000000"/>
                <w:sz w:val="18"/>
                <w:szCs w:val="18"/>
              </w:rPr>
              <w:t>Мерна единица</w:t>
            </w:r>
          </w:p>
        </w:tc>
        <w:tc>
          <w:tcPr>
            <w:tcW w:w="709" w:type="dxa"/>
            <w:shd w:val="clear" w:color="auto" w:fill="C6D9F1" w:themeFill="text2" w:themeFillTint="33"/>
            <w:noWrap/>
          </w:tcPr>
          <w:p>
            <w:pPr>
              <w:spacing w:after="0" w:line="240" w:lineRule="auto"/>
              <w:jc w:val="center"/>
              <w:rPr>
                <w:rFonts w:ascii="Times New Roman" w:hAnsi="Times New Roman" w:cs="Times New Roman"/>
                <w:b/>
                <w:bCs/>
                <w:noProof/>
                <w:color w:val="000000" w:themeColor="text1"/>
                <w:sz w:val="18"/>
                <w:szCs w:val="18"/>
              </w:rPr>
            </w:pPr>
            <w:r>
              <w:rPr>
                <w:rFonts w:ascii="Times New Roman" w:hAnsi="Times New Roman"/>
                <w:b/>
                <w:bCs/>
                <w:noProof/>
                <w:color w:val="000000"/>
                <w:sz w:val="18"/>
                <w:szCs w:val="18"/>
              </w:rPr>
              <w:t>Базова линия</w:t>
            </w:r>
          </w:p>
        </w:tc>
        <w:tc>
          <w:tcPr>
            <w:tcW w:w="567" w:type="dxa"/>
            <w:shd w:val="clear" w:color="auto" w:fill="C6D9F1" w:themeFill="text2" w:themeFillTint="33"/>
            <w:noWrap/>
          </w:tcPr>
          <w:p>
            <w:pPr>
              <w:spacing w:after="0" w:line="240" w:lineRule="auto"/>
              <w:jc w:val="center"/>
              <w:rPr>
                <w:rFonts w:ascii="Times New Roman" w:hAnsi="Times New Roman" w:cs="Times New Roman"/>
                <w:b/>
                <w:bCs/>
                <w:noProof/>
                <w:color w:val="000000"/>
                <w:sz w:val="18"/>
                <w:szCs w:val="18"/>
              </w:rPr>
            </w:pPr>
            <w:r>
              <w:rPr>
                <w:rFonts w:ascii="Times New Roman" w:hAnsi="Times New Roman"/>
                <w:b/>
                <w:bCs/>
                <w:noProof/>
                <w:color w:val="000000"/>
                <w:sz w:val="18"/>
                <w:szCs w:val="18"/>
              </w:rPr>
              <w:t>Цел</w:t>
            </w:r>
          </w:p>
        </w:tc>
        <w:tc>
          <w:tcPr>
            <w:tcW w:w="470" w:type="dxa"/>
            <w:shd w:val="clear" w:color="auto" w:fill="C6D9F1" w:themeFill="text2" w:themeFillTint="33"/>
            <w:noWrap/>
          </w:tcPr>
          <w:p>
            <w:pPr>
              <w:spacing w:after="0" w:line="240" w:lineRule="auto"/>
              <w:jc w:val="center"/>
              <w:rPr>
                <w:rFonts w:ascii="Times New Roman" w:hAnsi="Times New Roman" w:cs="Times New Roman"/>
                <w:b/>
                <w:bCs/>
                <w:noProof/>
                <w:color w:val="000000"/>
                <w:sz w:val="18"/>
                <w:szCs w:val="18"/>
              </w:rPr>
            </w:pPr>
            <w:r>
              <w:rPr>
                <w:rFonts w:ascii="Times New Roman" w:hAnsi="Times New Roman"/>
                <w:b/>
                <w:bCs/>
                <w:noProof/>
                <w:color w:val="000000"/>
                <w:sz w:val="18"/>
                <w:szCs w:val="18"/>
              </w:rPr>
              <w:t>T</w:t>
            </w:r>
          </w:p>
        </w:tc>
        <w:tc>
          <w:tcPr>
            <w:tcW w:w="664" w:type="dxa"/>
            <w:shd w:val="clear" w:color="auto" w:fill="C6D9F1" w:themeFill="text2" w:themeFillTint="33"/>
            <w:noWrap/>
          </w:tcPr>
          <w:p>
            <w:pPr>
              <w:spacing w:after="0" w:line="240" w:lineRule="auto"/>
              <w:jc w:val="center"/>
              <w:rPr>
                <w:rFonts w:ascii="Times New Roman" w:hAnsi="Times New Roman" w:cs="Times New Roman"/>
                <w:b/>
                <w:bCs/>
                <w:noProof/>
                <w:color w:val="000000"/>
                <w:sz w:val="18"/>
                <w:szCs w:val="18"/>
              </w:rPr>
            </w:pPr>
            <w:r>
              <w:rPr>
                <w:rFonts w:ascii="Times New Roman" w:hAnsi="Times New Roman"/>
                <w:b/>
                <w:bCs/>
                <w:noProof/>
                <w:color w:val="000000"/>
                <w:sz w:val="18"/>
                <w:szCs w:val="18"/>
              </w:rPr>
              <w:t>Година</w:t>
            </w:r>
          </w:p>
        </w:tc>
        <w:tc>
          <w:tcPr>
            <w:tcW w:w="5954" w:type="dxa"/>
            <w:tcBorders>
              <w:top w:val="nil"/>
            </w:tcBorders>
            <w:shd w:val="clear" w:color="auto" w:fill="C6D9F1" w:themeFill="text2" w:themeFillTint="33"/>
            <w:noWrap/>
          </w:tcPr>
          <w:p>
            <w:pPr>
              <w:spacing w:after="0" w:line="240" w:lineRule="auto"/>
              <w:rPr>
                <w:rFonts w:ascii="Times New Roman" w:hAnsi="Times New Roman" w:cs="Times New Roman"/>
                <w:b/>
                <w:noProof/>
                <w:color w:val="000000"/>
                <w:sz w:val="18"/>
                <w:szCs w:val="18"/>
                <w:lang w:val="en-IE"/>
              </w:rPr>
            </w:pP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254</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C17.R1</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2502"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Влизане в сила на изменението на Закон 14/2011 от 1 юни за науката, технологиите и иновациите.</w:t>
            </w:r>
          </w:p>
        </w:tc>
        <w:tc>
          <w:tcPr>
            <w:tcW w:w="118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Разпоредби на закона относно влизането в сила</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47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T2</w:t>
            </w:r>
          </w:p>
        </w:tc>
        <w:tc>
          <w:tcPr>
            <w:tcW w:w="66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2022</w:t>
            </w:r>
          </w:p>
        </w:tc>
        <w:tc>
          <w:tcPr>
            <w:tcW w:w="5954"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szCs w:val="18"/>
              </w:rPr>
              <w:t xml:space="preserve">Влизане в сила на изменението на Закона за науката, технологиите и иновациите за подобряване на координацията между различните равнища на управление на политиките в областта на науката, научните изследвания и иновациите, засилване на управлението и координацията на испанската система за научни технологии и иновации, въвеждане на нова научна кариера и подобряване на трансфера на знания. </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255</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C17.R2</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2502"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Публикуване на испанската стратегия за наука, технологии и иновации за периода 2021—2027 г.</w:t>
            </w:r>
          </w:p>
        </w:tc>
        <w:tc>
          <w:tcPr>
            <w:tcW w:w="118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Публикуване на испанската стратегия за наука, технологии и иновации за периода 2021—2027 г.</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47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66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2020</w:t>
            </w:r>
          </w:p>
        </w:tc>
        <w:tc>
          <w:tcPr>
            <w:tcW w:w="5954"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Испанската стратегия за наука, технологии и иновации (EECTI) определя цялостната стратегия, която трябва да се следва в областта на научноизследователската развойна дейност и иновациите от всички публични администрации, включително на регионално и местно равнище. Стратегията е стратегията за интелигентна специализация за Испания.  Създава се комитет за наблюдение на стратегията, включващ представители на държавата, регионите, икономическите и социалните заинтересовани страни и научната общност. Стратегията се основава на принципа на координация на различните равнища на администрацията и е изградена, за да се гарантира перспективата за равенство между половете в научните изследвания;&amp;I. Тя има за цел да засили сътрудничеството между публичния и частния сектор, да насърчи трансфера на знания, да задържи научните таланти и да развие научна кариера, да осигури адекватни данъчни стимули в подкрепа на НИРД и НИРД в частния сектор и да включи перспективата за равенство между половете. </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256</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C17.R2</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2502"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Средносрочна оценка на испанската стратегия за наука, технологии и иновации за периода 2021—2027 г. </w:t>
            </w:r>
          </w:p>
        </w:tc>
        <w:tc>
          <w:tcPr>
            <w:tcW w:w="118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Споразумение в </w:t>
            </w:r>
            <w:r>
              <w:rPr>
                <w:rFonts w:ascii="Times New Roman" w:hAnsi="Times New Roman"/>
                <w:i/>
                <w:noProof/>
                <w:color w:val="000000"/>
                <w:sz w:val="18"/>
                <w:szCs w:val="18"/>
              </w:rPr>
              <w:t>Consejo de</w:t>
            </w:r>
            <w:r>
              <w:rPr>
                <w:rFonts w:ascii="Times New Roman" w:hAnsi="Times New Roman"/>
                <w:noProof/>
                <w:color w:val="000000"/>
                <w:sz w:val="18"/>
                <w:szCs w:val="18"/>
              </w:rPr>
              <w:t xml:space="preserve"> </w:t>
            </w:r>
            <w:r>
              <w:rPr>
                <w:rFonts w:ascii="Times New Roman" w:hAnsi="Times New Roman"/>
                <w:i/>
                <w:noProof/>
                <w:color w:val="000000"/>
                <w:sz w:val="18"/>
                <w:szCs w:val="18"/>
              </w:rPr>
              <w:t>Política Científica, Tecnológica y de Innovación</w:t>
            </w:r>
            <w:r>
              <w:rPr>
                <w:rFonts w:ascii="Times New Roman" w:hAnsi="Times New Roman"/>
                <w:noProof/>
                <w:color w:val="000000"/>
                <w:sz w:val="18"/>
                <w:szCs w:val="18"/>
              </w:rPr>
              <w:t xml:space="preserve"> и публикуване на оценката на уебсайта на Министерството на науката и иновациите.  </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47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66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2023</w:t>
            </w:r>
          </w:p>
        </w:tc>
        <w:tc>
          <w:tcPr>
            <w:tcW w:w="5954"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Междинната оценка, извършена от Комитета за мониторинг на испанската стратегия за наука, технологии и иновации за периода 2021—2027 г., се публикува през декември 2023 г. Показателите, които трябва да се използват при оценката, са договорени в </w:t>
            </w:r>
            <w:r>
              <w:rPr>
                <w:rFonts w:ascii="Times New Roman" w:hAnsi="Times New Roman"/>
                <w:i/>
                <w:noProof/>
                <w:color w:val="000000"/>
                <w:sz w:val="18"/>
                <w:szCs w:val="18"/>
              </w:rPr>
              <w:t>Consejo de Política Científica, Tecnológica y de Innovación</w:t>
            </w:r>
            <w:r>
              <w:rPr>
                <w:rFonts w:ascii="Times New Roman" w:hAnsi="Times New Roman"/>
                <w:noProof/>
                <w:color w:val="000000"/>
                <w:sz w:val="18"/>
                <w:szCs w:val="18"/>
              </w:rPr>
              <w:t xml:space="preserve"> (в които са представени 17-те автономни области), в испанската стратегия за наука, технологии и иновации за периода 2021—2027 г. е установен примерен списък на тези показатели и търсене на данни. Системата за наука, технологии и иновации се използва за събиране на данни за напредъка, постигнат в изпълнението на стратегията. </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257</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C17.R3</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2502"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Влизане в сила на кралския указ за реорганизация на публичните научноизследователски организации. </w:t>
            </w:r>
          </w:p>
        </w:tc>
        <w:tc>
          <w:tcPr>
            <w:tcW w:w="118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Разпоредба на кралския указ относно влизането в сила</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47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T1</w:t>
            </w:r>
          </w:p>
        </w:tc>
        <w:tc>
          <w:tcPr>
            <w:tcW w:w="66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2021</w:t>
            </w:r>
          </w:p>
        </w:tc>
        <w:tc>
          <w:tcPr>
            <w:tcW w:w="5954"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Влизане в сила на кралския указ относно реорганизацията на публичните научноизследователски организации (PROs). Целта е да се подобри капацитетът за управление и научни консултации на трите </w:t>
            </w:r>
            <w:r>
              <w:rPr>
                <w:rFonts w:ascii="Times New Roman" w:hAnsi="Times New Roman"/>
                <w:noProof/>
                <w:color w:val="000000"/>
                <w:sz w:val="18"/>
                <w:szCs w:val="18"/>
                <w:lang w:val="en-US"/>
              </w:rPr>
              <w:t>PROs</w:t>
            </w:r>
            <w:r>
              <w:rPr>
                <w:rFonts w:ascii="Times New Roman" w:hAnsi="Times New Roman"/>
                <w:noProof/>
                <w:color w:val="000000"/>
                <w:sz w:val="18"/>
                <w:szCs w:val="18"/>
              </w:rPr>
              <w:t xml:space="preserve"> с намалена критична маса чрез интегриране в по-голяма </w:t>
            </w:r>
            <w:r>
              <w:rPr>
                <w:rFonts w:ascii="Times New Roman" w:hAnsi="Times New Roman"/>
                <w:noProof/>
                <w:color w:val="000000"/>
                <w:sz w:val="18"/>
                <w:szCs w:val="18"/>
                <w:lang w:val="en-US"/>
              </w:rPr>
              <w:t>PRO</w:t>
            </w:r>
            <w:r>
              <w:rPr>
                <w:rFonts w:ascii="Times New Roman" w:hAnsi="Times New Roman"/>
                <w:noProof/>
                <w:color w:val="000000"/>
                <w:sz w:val="18"/>
                <w:szCs w:val="18"/>
              </w:rPr>
              <w:t xml:space="preserve"> чрез: </w:t>
            </w:r>
            <w:r>
              <w:rPr>
                <w:rFonts w:ascii="Times New Roman" w:hAnsi="Times New Roman"/>
                <w:noProof/>
                <w:color w:val="000000"/>
                <w:sz w:val="18"/>
                <w:szCs w:val="18"/>
                <w:lang w:val="en-US"/>
              </w:rPr>
              <w:t>i</w:t>
            </w:r>
            <w:r>
              <w:rPr>
                <w:rFonts w:ascii="Times New Roman" w:hAnsi="Times New Roman"/>
                <w:noProof/>
                <w:color w:val="000000"/>
                <w:sz w:val="18"/>
                <w:szCs w:val="18"/>
              </w:rPr>
              <w:t>) подобряване на конкурентната позиция на ПН, ii) повишаване на тяхната ефективност и iii) осигуряване на административна гъвкавост.</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258</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C17.I1</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w:t>
            </w:r>
          </w:p>
        </w:tc>
        <w:tc>
          <w:tcPr>
            <w:tcW w:w="2502"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Споразумения, подписани от Министерството на науката и иновациите с автономните области за изпълнението на „Допълнителни планове за научноизследователска и развойна дейност“. </w:t>
            </w:r>
          </w:p>
        </w:tc>
        <w:tc>
          <w:tcPr>
            <w:tcW w:w="118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Номер</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0</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4</w:t>
            </w:r>
          </w:p>
        </w:tc>
        <w:tc>
          <w:tcPr>
            <w:tcW w:w="47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66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2021</w:t>
            </w:r>
          </w:p>
        </w:tc>
        <w:tc>
          <w:tcPr>
            <w:tcW w:w="5954"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Четири споразумения, подписани от Министерството на науката и иновациите с автономните области, за изпълнението на „Допълнителни планове за научноизследователска и развойна дейност“ в размер на най-малко 140 000 000 EUR. Споразуменията позволяват стратегическа координация и полезни взаимодействия между регионалните и националните стратегии за интелигентна специализация. </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259</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C17.I2</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w:t>
            </w:r>
          </w:p>
        </w:tc>
        <w:tc>
          <w:tcPr>
            <w:tcW w:w="2502"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Награди за проекти за подобряване на националната научна инфраструктура и капацитета на испанската система за научни технологии и иновации, както и двустранни споразумения, подписани с международни субекти и други инструменти за финансиране на проекти за европейска и международна инфраструктура. </w:t>
            </w:r>
          </w:p>
        </w:tc>
        <w:tc>
          <w:tcPr>
            <w:tcW w:w="118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в милиони евро</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0</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300,2 </w:t>
            </w:r>
          </w:p>
        </w:tc>
        <w:tc>
          <w:tcPr>
            <w:tcW w:w="47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66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2022</w:t>
            </w:r>
          </w:p>
        </w:tc>
        <w:tc>
          <w:tcPr>
            <w:tcW w:w="5954"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szCs w:val="18"/>
              </w:rPr>
              <w:t>Публикуване в националната база данни за субсидии на стойност най-малко 255 155 000 EUR, отпуснати за проекти за подобряване на националните научни инфраструктури, капацитета на испанската система за научни технологии и иновации и споразумения, подписани с международни субекти и други инструменти за финансиране на проекти на стойност най-малко 45 000 000 EUR в европейската и международната инфраструктура (CERN, dune, HKK, ESS-lund, Harmony и SKA).</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260</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C17.I2</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w:t>
            </w:r>
          </w:p>
        </w:tc>
        <w:tc>
          <w:tcPr>
            <w:tcW w:w="2502"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Приключване на всички проекти за подобряване на научната инфраструктура и капацитета на испанската система за научни технологии и иновации, включително проекти за европейска и международна инфраструктура.</w:t>
            </w:r>
          </w:p>
        </w:tc>
        <w:tc>
          <w:tcPr>
            <w:tcW w:w="118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100</w:t>
            </w:r>
          </w:p>
        </w:tc>
        <w:tc>
          <w:tcPr>
            <w:tcW w:w="47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T2</w:t>
            </w:r>
          </w:p>
        </w:tc>
        <w:tc>
          <w:tcPr>
            <w:tcW w:w="66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2026</w:t>
            </w:r>
          </w:p>
        </w:tc>
        <w:tc>
          <w:tcPr>
            <w:tcW w:w="5954"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100 % от завършените проекти R&amp;I (общ бюджет 439 000 000 EUR) в съответствие с целта за подобряване на научните инфраструктури и капацитета на испанската система за научни технологии и иновации чрез обновяване на научното оборудване, модернизиране на инсталацията на BSL3, създаване на нова фитогенна инфраструктура, оборудване на CIEMAT (</w:t>
            </w:r>
            <w:r>
              <w:rPr>
                <w:rFonts w:ascii="Times New Roman" w:hAnsi="Times New Roman"/>
                <w:i/>
                <w:noProof/>
                <w:color w:val="000000"/>
                <w:sz w:val="18"/>
                <w:szCs w:val="18"/>
              </w:rPr>
              <w:t>Centro de Investigaciones Energéticas, Medioambientales y Tecnológicas</w:t>
            </w:r>
            <w:r>
              <w:rPr>
                <w:rFonts w:ascii="Times New Roman" w:hAnsi="Times New Roman"/>
                <w:noProof/>
                <w:color w:val="000000"/>
                <w:sz w:val="18"/>
                <w:szCs w:val="18"/>
              </w:rPr>
              <w:t>) с необходимата инфраструктура за научноизследователска дейност в областта на енергията от възобновяеми източници (</w:t>
            </w:r>
            <w:r>
              <w:rPr>
                <w:rFonts w:ascii="Times New Roman" w:hAnsi="Times New Roman"/>
                <w:i/>
                <w:noProof/>
                <w:color w:val="000000"/>
                <w:sz w:val="18"/>
                <w:szCs w:val="18"/>
              </w:rPr>
              <w:t>Centro de Investigaciones Energéticas, Medioambientales yecnológicas</w:t>
            </w:r>
            <w:r>
              <w:rPr>
                <w:rFonts w:ascii="Times New Roman" w:hAnsi="Times New Roman"/>
                <w:noProof/>
                <w:color w:val="000000"/>
                <w:sz w:val="18"/>
                <w:szCs w:val="18"/>
              </w:rPr>
              <w:t>) и проекти в подкрепа на европейски и международни инфраструктури (CERN, DUNE, HKK, ESS-lund, Harmony and SKA)</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261</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C17.I3</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w:t>
            </w:r>
          </w:p>
        </w:tc>
        <w:tc>
          <w:tcPr>
            <w:tcW w:w="2502"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Възлагане на нови частни, интердисциплинарни, публични научноизследователски и развойни проекти, проектни тестове, международни конкурентни покани и авангардни научноизследователски и развойни дейности, насочени към социалните предизвикателства </w:t>
            </w:r>
          </w:p>
        </w:tc>
        <w:tc>
          <w:tcPr>
            <w:tcW w:w="1184" w:type="dxa"/>
            <w:shd w:val="clear" w:color="auto" w:fill="C6EFCE"/>
            <w:noWrap/>
          </w:tcPr>
          <w:p>
            <w:pPr>
              <w:spacing w:after="0" w:line="240" w:lineRule="auto"/>
              <w:jc w:val="center"/>
              <w:rPr>
                <w:rFonts w:ascii="Times New Roman" w:eastAsia="Times New Roman" w:hAnsi="Times New Roman" w:cs="Times New Roman"/>
                <w:noProof/>
                <w:sz w:val="18"/>
                <w:szCs w:val="18"/>
                <w:lang w:eastAsia="en-GB"/>
              </w:rPr>
            </w:pP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в милиони евро</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0</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897</w:t>
            </w:r>
          </w:p>
        </w:tc>
        <w:tc>
          <w:tcPr>
            <w:tcW w:w="47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66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2022</w:t>
            </w:r>
          </w:p>
        </w:tc>
        <w:tc>
          <w:tcPr>
            <w:tcW w:w="5954"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Публикуване в ОВ на присъждането на най-малко 897 000 000 EUR по следните покани: покана за представяне на проекти за доказване на концепцията (80 000 000 EUR), покана за представяне на предложения за интердисциплинарни проекти по стратегически редове (73 000 000 EUR), покана за представяне на проекти за научноизследователска и развойна дейност, свързани с екологичния и цифровия преход (296 000 000 EUR), покана за проекти за публично-частно сътрудничество (140 000 000 EUR), покана за представяне на предложения за научноизследователска и развойна дейност за справяне с предизвикателствата пред обществото (230 000 000 EUR) и покана за представяне на проекти за международно сътрудничество (78 000 000 EUR). Критериите за подбор за поканата гарантират съответствие с техническите насоки „Ненанасяне на значителни вреди“ (2021/C58/01), с неизбраните и нефинансирани дейности, както и със съответното законодателство на ЕС и националното законодателство в областта на околната среда.</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262</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C17.I3</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w:t>
            </w:r>
          </w:p>
        </w:tc>
        <w:tc>
          <w:tcPr>
            <w:tcW w:w="2502"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Одобряване на проекти за научни изследвания и иновации, при които най-малко 35 % са свързани с екологичния и цифровия преход</w:t>
            </w:r>
          </w:p>
        </w:tc>
        <w:tc>
          <w:tcPr>
            <w:tcW w:w="118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Номер</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0</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3 000</w:t>
            </w:r>
          </w:p>
        </w:tc>
        <w:tc>
          <w:tcPr>
            <w:tcW w:w="47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T2</w:t>
            </w:r>
          </w:p>
        </w:tc>
        <w:tc>
          <w:tcPr>
            <w:tcW w:w="66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2024</w:t>
            </w:r>
          </w:p>
        </w:tc>
        <w:tc>
          <w:tcPr>
            <w:tcW w:w="5954"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Най-малко 3 000 проекта за научни изследвания и иновации са одобрени с поне 35 % свързани с екологичния и цифровия преход, с критерии за подбор, които гарантират съответствие с техническите насоки „Ненанасяне на значителни вреди“ (2021/C58/01), с неизбрани и нефинансирани дейности, както и със съответното законодателство на ЕС и националното законодателство в областта на околната среда. </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263</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C17.I4</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w:t>
            </w:r>
          </w:p>
        </w:tc>
        <w:tc>
          <w:tcPr>
            <w:tcW w:w="2502"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Подкрепа за научноизследователска кариера чрез стипендии и безвъзмездни средства </w:t>
            </w:r>
          </w:p>
        </w:tc>
        <w:tc>
          <w:tcPr>
            <w:tcW w:w="118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Номер</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0</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2 070</w:t>
            </w:r>
          </w:p>
        </w:tc>
        <w:tc>
          <w:tcPr>
            <w:tcW w:w="47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T2</w:t>
            </w:r>
          </w:p>
        </w:tc>
        <w:tc>
          <w:tcPr>
            <w:tcW w:w="66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2024</w:t>
            </w:r>
          </w:p>
        </w:tc>
        <w:tc>
          <w:tcPr>
            <w:tcW w:w="5954"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Испанската научноизследователска кариера се подобрява чрез подкрепата на най-малко 2 070 изследователи чрез програмата Juan de la Cierva Incorporation, програмата за обучение на Juan de la Cierva, докторската програма в областта на промишлеността и програмата Torres Quevedo. Освен това най-малко 750 изследователи са получили „пакет за започване на научноизследователска дейност“ в рамките на стабилен договор, подобен на Tenure Track</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264</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C17.I4</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w:t>
            </w:r>
          </w:p>
        </w:tc>
        <w:tc>
          <w:tcPr>
            <w:tcW w:w="2502"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Приключване на стипендии и безвъзмездни средства в подкрепа на испанската научноизследователска кариера </w:t>
            </w:r>
          </w:p>
        </w:tc>
        <w:tc>
          <w:tcPr>
            <w:tcW w:w="118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Номер</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0</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2 070</w:t>
            </w:r>
          </w:p>
        </w:tc>
        <w:tc>
          <w:tcPr>
            <w:tcW w:w="47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T2</w:t>
            </w:r>
          </w:p>
        </w:tc>
        <w:tc>
          <w:tcPr>
            <w:tcW w:w="66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2026</w:t>
            </w:r>
          </w:p>
        </w:tc>
        <w:tc>
          <w:tcPr>
            <w:tcW w:w="5954" w:type="dxa"/>
            <w:shd w:val="clear" w:color="auto" w:fill="C6EFCE"/>
            <w:noWrap/>
          </w:tcPr>
          <w:p>
            <w:pPr>
              <w:spacing w:after="0" w:line="240" w:lineRule="auto"/>
              <w:jc w:val="both"/>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Испанската научноизследователска кариера се подобрява от най-малко 2070 изследователи, завършили програмата Juan de la Cierva Incorporation, Juan de la Cierva Training Programme, докторската програма в областта на промишлеността и програмата Torres Quevedo. </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265</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C17.I5</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w:t>
            </w:r>
          </w:p>
        </w:tc>
        <w:tc>
          <w:tcPr>
            <w:tcW w:w="2502"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Иновационни и технологични дружества са получили капитал по програмата Innvierte, за да засилят своите научноизследователски дейности на ранен етап. </w:t>
            </w:r>
          </w:p>
        </w:tc>
        <w:tc>
          <w:tcPr>
            <w:tcW w:w="118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Номер</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0</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45</w:t>
            </w:r>
          </w:p>
        </w:tc>
        <w:tc>
          <w:tcPr>
            <w:tcW w:w="47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66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2023</w:t>
            </w:r>
          </w:p>
        </w:tc>
        <w:tc>
          <w:tcPr>
            <w:tcW w:w="5954"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За да се насърчи трансферът на технологии и да се подпомогне създаването на иновационна бизнес структура, основана на иновативни технологии, най-малко 45 иновативни и основани на технологии дружества са получили капитал по програмата INNVIERTE, за да засилят своите научноизследователски дейности на ранен етап. Всички тези дружества също са получили инвестиции от частния сектор. В съответствие с критериите за подбор проектите по тази инвестиция гарантират съответствие с техническите насоки „Ненанасяне на значителни вреди“ (2021/C58/01), неподбрани и нефинансирани дейности, както и съответното законодателство на ЕС и националното законодателство в областта на околната среда. </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266</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C17.I5</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w:t>
            </w:r>
          </w:p>
        </w:tc>
        <w:tc>
          <w:tcPr>
            <w:tcW w:w="2502"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Подкрепа за новосъздадени предприятия, основани на технологии, за изпълнение на техния бизнес план.</w:t>
            </w:r>
          </w:p>
        </w:tc>
        <w:tc>
          <w:tcPr>
            <w:tcW w:w="118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Номер</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0</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348</w:t>
            </w:r>
          </w:p>
        </w:tc>
        <w:tc>
          <w:tcPr>
            <w:tcW w:w="47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T2</w:t>
            </w:r>
          </w:p>
        </w:tc>
        <w:tc>
          <w:tcPr>
            <w:tcW w:w="66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2024</w:t>
            </w:r>
          </w:p>
        </w:tc>
        <w:tc>
          <w:tcPr>
            <w:tcW w:w="5954"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Чрез поканите за предоставяне на безвъзмездни средства по линия на NEOTEC да се насърчи трансферът на технологии и да се подпомогне създаването на нови дружества, основани на иновативни технологии:  Най-малко 348 нови технологични дружества, получили разрешение да изпълняват своя бизнес план. Тези дружества следва да са на три или по-малко години и да бъдат иновативни предприятия, както е определено в ОРГО. В съответствие с критериите за подбор проектите гарантират съответствие с техническите насоки „Ненанасяне на значителни вреди“ (2021/C58/01), с неизбраните и нефинансирани дейности, както и със съответното законодателство на ЕС и националното законодателство в областта на околната среда.</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267</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C17.I6</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w:t>
            </w:r>
          </w:p>
        </w:tc>
        <w:tc>
          <w:tcPr>
            <w:tcW w:w="2502"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Подкрепа за проекти за укрепване на стратегическия капацитет и интернационализация на националната здравна система, проекти, свързани със стратегията за прецизно персонализирана медицина и принос към публично-частно инвестиционно средство за модерни терапии.</w:t>
            </w:r>
          </w:p>
        </w:tc>
        <w:tc>
          <w:tcPr>
            <w:tcW w:w="118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в милиони евро</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0</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351,2</w:t>
            </w:r>
          </w:p>
        </w:tc>
        <w:tc>
          <w:tcPr>
            <w:tcW w:w="47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T2</w:t>
            </w:r>
          </w:p>
        </w:tc>
        <w:tc>
          <w:tcPr>
            <w:tcW w:w="66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2023</w:t>
            </w:r>
          </w:p>
        </w:tc>
        <w:tc>
          <w:tcPr>
            <w:tcW w:w="5954"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szCs w:val="18"/>
              </w:rPr>
              <w:t>Публикуване в ОВ на най-малко 351 185 000 EUR, отпуснати за:</w:t>
            </w:r>
            <w:r>
              <w:rPr>
                <w:rFonts w:ascii="Times New Roman" w:hAnsi="Times New Roman"/>
                <w:noProof/>
                <w:color w:val="000000"/>
                <w:sz w:val="18"/>
                <w:szCs w:val="18"/>
              </w:rPr>
              <w:br/>
              <w:t>* 174 000 000 EUR за проекти за укрепване на стратегическия капацитет и интернационализацията на националната здравна система, включително:</w:t>
            </w:r>
            <w:r>
              <w:rPr>
                <w:rFonts w:ascii="Times New Roman" w:hAnsi="Times New Roman"/>
                <w:noProof/>
                <w:color w:val="000000"/>
                <w:sz w:val="18"/>
                <w:szCs w:val="18"/>
              </w:rPr>
              <w:br/>
              <w:t>- 80 000 000 EUR за предоставяне на стратегическото действие в областта на здравеопазването;</w:t>
            </w:r>
            <w:r>
              <w:rPr>
                <w:rFonts w:ascii="Times New Roman" w:hAnsi="Times New Roman"/>
                <w:noProof/>
                <w:color w:val="000000"/>
                <w:sz w:val="18"/>
                <w:szCs w:val="18"/>
              </w:rPr>
              <w:br/>
              <w:t>- 75 000 000 EUR безвъзмездни средства за увеличаване на научния капацитет на научноизследователските центрове, свързани с националната здравна система, и безвъзмездни средства за предложения, свързани с финансирането на научно-техническо оборудване, включително подновяване на научно-техническо оборудване в процес на остаряване;</w:t>
            </w:r>
            <w:r>
              <w:rPr>
                <w:rFonts w:ascii="Times New Roman" w:hAnsi="Times New Roman"/>
                <w:noProof/>
                <w:color w:val="000000"/>
                <w:sz w:val="18"/>
                <w:szCs w:val="18"/>
              </w:rPr>
              <w:br/>
              <w:t>- 6 000 000 EUR за безвъзмездни средства за „Печат за високи постижения“ Instituto de Salud Carlos III;</w:t>
            </w:r>
            <w:r>
              <w:rPr>
                <w:rFonts w:ascii="Times New Roman" w:hAnsi="Times New Roman"/>
                <w:noProof/>
                <w:color w:val="000000"/>
                <w:sz w:val="18"/>
                <w:szCs w:val="18"/>
              </w:rPr>
              <w:br/>
              <w:t>- 13 000 000 EUR безвъзмездни средства за публично-частни партньорства за включването на GMP/LPG среда в научноизследователските групи за СНС, т.е. безвъзмездни средства за интернационализация на националната здравна система</w:t>
            </w:r>
            <w:r>
              <w:rPr>
                <w:rFonts w:ascii="Times New Roman" w:hAnsi="Times New Roman"/>
                <w:noProof/>
                <w:color w:val="000000"/>
                <w:sz w:val="18"/>
                <w:szCs w:val="18"/>
              </w:rPr>
              <w:br/>
              <w:t>* 140 500 000 EUR по проекти, свързани със Стратегията за персонализирана медицина, включително:</w:t>
            </w:r>
            <w:r>
              <w:rPr>
                <w:rFonts w:ascii="Times New Roman" w:hAnsi="Times New Roman"/>
                <w:noProof/>
                <w:color w:val="000000"/>
                <w:sz w:val="18"/>
                <w:szCs w:val="18"/>
              </w:rPr>
              <w:br/>
              <w:t>- Обща покана в размер на 29 500 000 EUR за персонализирана медицина</w:t>
            </w:r>
            <w:r>
              <w:rPr>
                <w:rFonts w:ascii="Times New Roman" w:hAnsi="Times New Roman"/>
                <w:noProof/>
                <w:color w:val="000000"/>
                <w:sz w:val="18"/>
                <w:szCs w:val="18"/>
              </w:rPr>
              <w:br/>
              <w:t>- 91 500 000 EUR покана за специални програми в областта на персонализираната медицина</w:t>
            </w:r>
            <w:r>
              <w:rPr>
                <w:rFonts w:ascii="Times New Roman" w:hAnsi="Times New Roman"/>
                <w:noProof/>
                <w:color w:val="000000"/>
                <w:sz w:val="18"/>
                <w:szCs w:val="18"/>
              </w:rPr>
              <w:br/>
              <w:t>- 15 000 000 EUR покана за представяне на предложения за плана за персонализирани и модерни терапии</w:t>
            </w:r>
            <w:r>
              <w:rPr>
                <w:rFonts w:ascii="Times New Roman" w:hAnsi="Times New Roman"/>
                <w:noProof/>
                <w:color w:val="000000"/>
                <w:sz w:val="18"/>
                <w:szCs w:val="18"/>
              </w:rPr>
              <w:br/>
              <w:t>– 4 500 000 EUR покана за испанската интернационализация на персонализираните медицински мерки за интернационализация на здравната система в подкрепа на позицията на Испания в европейския здравен сектор чрез насърчаване на участието на Испания в програмата HEALTH на ЕС и в „Хоризонт Европа“. Той дава възможност за финансиране на научноизследователски и иновационни клъстери, които са част от съвместни трансгранични програмни проекти, избрани за финансиране от партньорствата по „Хоризонт Европа” и „Хоризонт 2020“, като например съфинансирането на ERA-Net, европейските инициативи за съвместно планиране (EJP) или международните инициативи за съвместно планиране (ИСП), инициативите, създадени съгласно членове 187 и 185 от Договора за функционирането на Европейския съюз (ДФЕС), и партньорствата, установени в рамковата програма „Хоризонт Европа“.</w:t>
            </w:r>
            <w:r>
              <w:rPr>
                <w:rFonts w:ascii="Times New Roman" w:hAnsi="Times New Roman"/>
                <w:noProof/>
                <w:color w:val="000000"/>
                <w:sz w:val="18"/>
                <w:szCs w:val="18"/>
              </w:rPr>
              <w:br/>
              <w:t>* И поне 1 вноска в размер на 36 685 000 EUR за публично-частен инвестиционен механизъм за модерни терапии.</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268</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C17.I6</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w:t>
            </w:r>
          </w:p>
        </w:tc>
        <w:tc>
          <w:tcPr>
            <w:tcW w:w="2502"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Приключване на всички проекти за засилване на научноизследователската дейност и иновациите в сектора на здравеопазването. </w:t>
            </w:r>
          </w:p>
        </w:tc>
        <w:tc>
          <w:tcPr>
            <w:tcW w:w="118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0</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100</w:t>
            </w:r>
          </w:p>
        </w:tc>
        <w:tc>
          <w:tcPr>
            <w:tcW w:w="47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T2</w:t>
            </w:r>
          </w:p>
        </w:tc>
        <w:tc>
          <w:tcPr>
            <w:tcW w:w="66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2026</w:t>
            </w:r>
          </w:p>
        </w:tc>
        <w:tc>
          <w:tcPr>
            <w:tcW w:w="5954"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Приключване на всички проекти на обща стойност 527</w:t>
            </w:r>
            <w:r>
              <w:rPr>
                <w:rFonts w:ascii="Times New Roman" w:hAnsi="Times New Roman"/>
                <w:noProof/>
                <w:color w:val="000000"/>
                <w:sz w:val="18"/>
                <w:szCs w:val="18"/>
                <w:lang w:val="en-US"/>
              </w:rPr>
              <w:t> </w:t>
            </w:r>
            <w:r>
              <w:rPr>
                <w:rFonts w:ascii="Times New Roman" w:hAnsi="Times New Roman"/>
                <w:noProof/>
                <w:color w:val="000000"/>
                <w:sz w:val="18"/>
                <w:szCs w:val="18"/>
              </w:rPr>
              <w:t>126 000 EUR.</w:t>
            </w:r>
            <w:r>
              <w:rPr>
                <w:rFonts w:ascii="Times New Roman" w:hAnsi="Times New Roman"/>
                <w:noProof/>
                <w:color w:val="000000"/>
                <w:sz w:val="18"/>
                <w:szCs w:val="18"/>
              </w:rPr>
              <w:br/>
              <w:t>Присъдени проекти, включително следните покани за представяне на предложения:</w:t>
            </w:r>
            <w:r>
              <w:rPr>
                <w:rFonts w:ascii="Times New Roman" w:hAnsi="Times New Roman"/>
                <w:noProof/>
                <w:color w:val="000000"/>
                <w:sz w:val="18"/>
                <w:szCs w:val="18"/>
              </w:rPr>
              <w:br/>
              <w:t>* По отношение на укрепването на стратегическия капацитет и интернационализацията на националната здравна система:</w:t>
            </w:r>
            <w:r>
              <w:rPr>
                <w:rFonts w:ascii="Times New Roman" w:hAnsi="Times New Roman"/>
                <w:noProof/>
                <w:color w:val="000000"/>
                <w:sz w:val="18"/>
                <w:szCs w:val="18"/>
              </w:rPr>
              <w:br/>
              <w:t>- стратегически действия в областта на здравеопазването</w:t>
            </w:r>
            <w:r>
              <w:rPr>
                <w:rFonts w:ascii="Times New Roman" w:hAnsi="Times New Roman"/>
                <w:noProof/>
                <w:color w:val="000000"/>
                <w:sz w:val="18"/>
                <w:szCs w:val="18"/>
              </w:rPr>
              <w:br/>
              <w:t>- проекти за увеличаване на научния капацитет на научноизследователските центрове, свързани с националната здравна система,</w:t>
            </w:r>
            <w:r>
              <w:rPr>
                <w:rFonts w:ascii="Times New Roman" w:hAnsi="Times New Roman"/>
                <w:noProof/>
                <w:color w:val="000000"/>
                <w:sz w:val="18"/>
                <w:szCs w:val="18"/>
              </w:rPr>
              <w:br/>
              <w:t>- предложения, свързани с финансирането на научно-техническо оборудване, включително подновяване на научно-техническо оборудване в процес на остаряване,</w:t>
            </w:r>
            <w:r>
              <w:rPr>
                <w:rFonts w:ascii="Times New Roman" w:hAnsi="Times New Roman"/>
                <w:noProof/>
                <w:color w:val="000000"/>
                <w:sz w:val="18"/>
                <w:szCs w:val="18"/>
              </w:rPr>
              <w:br/>
              <w:t>– проекти за „Печат за високи постижения“ Instituto de Salud Carlos III; и публично-частни партньорства за включване на GMP/ВНГ среда в научноизследователските групи в областта на СНС.</w:t>
            </w:r>
            <w:r>
              <w:rPr>
                <w:rFonts w:ascii="Times New Roman" w:hAnsi="Times New Roman"/>
                <w:noProof/>
                <w:color w:val="000000"/>
                <w:sz w:val="18"/>
                <w:szCs w:val="18"/>
              </w:rPr>
              <w:br/>
              <w:t xml:space="preserve">* По отношение на стратегията относно персонализираната медицина: </w:t>
            </w:r>
            <w:r>
              <w:rPr>
                <w:rFonts w:ascii="Times New Roman" w:hAnsi="Times New Roman"/>
                <w:noProof/>
                <w:color w:val="000000"/>
                <w:sz w:val="18"/>
                <w:szCs w:val="18"/>
              </w:rPr>
              <w:br/>
              <w:t>- проекти от общата покана за представяне на предложения за персонализирана медицина</w:t>
            </w:r>
            <w:r>
              <w:rPr>
                <w:rFonts w:ascii="Times New Roman" w:hAnsi="Times New Roman"/>
                <w:noProof/>
                <w:color w:val="000000"/>
                <w:sz w:val="18"/>
                <w:szCs w:val="18"/>
              </w:rPr>
              <w:br/>
              <w:t>– проекти от поканата за представяне на предложения за План за персонализирани и модерни терапии</w:t>
            </w:r>
            <w:r>
              <w:rPr>
                <w:rFonts w:ascii="Times New Roman" w:hAnsi="Times New Roman"/>
                <w:noProof/>
                <w:color w:val="000000"/>
                <w:sz w:val="18"/>
                <w:szCs w:val="18"/>
              </w:rPr>
              <w:br/>
              <w:t xml:space="preserve">– проекти от поканата за интернационализация в Испания на персонализирана медицина </w:t>
            </w:r>
            <w:r>
              <w:rPr>
                <w:rFonts w:ascii="Times New Roman" w:hAnsi="Times New Roman"/>
                <w:noProof/>
                <w:color w:val="000000"/>
                <w:sz w:val="18"/>
                <w:szCs w:val="18"/>
              </w:rPr>
              <w:br/>
              <w:t>* Най-малко 2 увеличение на капитала за провеждане на клинични изпитвания (етап II и III) на лекарства за модерни терапии</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269</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C17.I7</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2502"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R &amp;D център за съхранение на енергия </w:t>
            </w:r>
          </w:p>
        </w:tc>
        <w:tc>
          <w:tcPr>
            <w:tcW w:w="118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Построен и оборудван с център</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47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66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2023</w:t>
            </w:r>
          </w:p>
        </w:tc>
        <w:tc>
          <w:tcPr>
            <w:tcW w:w="5954"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В Естремадура е построен и оборудван център за съхранение на енергия R&amp;D с цел стимулиране на технологичния и научния отговор на управлението на производството на зелена енергия, по-специално по отношение на приложенията на промишления водород, както и производството, съхранението и преноса на зелен водород. Центърът включва експериментални демонстрационни съоръжения за изпитване и валидиране на решения за натрупване на енергия. Тя е оборудвана с необходимото научно и техническо оборудване. В съответствие с критериите за подбор проектите по тази инвестиция гарантират съответствие с техническите насоки „Ненанасяне на значителни вреди“ (2021/C58/01), неподбрани и нефинансирани дейности, както и съответното законодателство на ЕС и националното законодателство в областта на околната среда. </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270</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C17.I8</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w:t>
            </w:r>
          </w:p>
        </w:tc>
        <w:tc>
          <w:tcPr>
            <w:tcW w:w="2502"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Подкрепа за проекти в областта на научноизследователската и развойна дейност в областта на устойчивата автомобилна промишленост </w:t>
            </w:r>
          </w:p>
        </w:tc>
        <w:tc>
          <w:tcPr>
            <w:tcW w:w="118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Номер</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0</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35</w:t>
            </w:r>
          </w:p>
        </w:tc>
        <w:tc>
          <w:tcPr>
            <w:tcW w:w="47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T2</w:t>
            </w:r>
          </w:p>
        </w:tc>
        <w:tc>
          <w:tcPr>
            <w:tcW w:w="66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2022</w:t>
            </w:r>
          </w:p>
        </w:tc>
        <w:tc>
          <w:tcPr>
            <w:tcW w:w="5954"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Поне 35 дружества, на които са възложени проекти R&amp;D&amp;I в устойчива автомобилна промишленост за увеличаване на технологичния капацитет на дружествата в областите, свързани с разработването на системи за съхранение на енергия с много ниски емисии и висока степен на рециклиране, високоефективни водородни системи за мобилност, автономно шофиране и свързана мобилност или адаптиране на производствена среда с безопасни и стабилни системи за взаимодействие човек-машина в интелигентната производствена среда. Проектите трябва да гарантират съответствие с техническите насоки „Ненанасяне на значителни вреди“ (2021/C58/01), с неизбраните и нефинансирани дейности, както и със съответното законодателство на ЕС и националното законодателство в областта на околната среда. Проектите са за:</w:t>
            </w:r>
            <w:r>
              <w:rPr>
                <w:rFonts w:ascii="Times New Roman" w:hAnsi="Times New Roman"/>
                <w:noProof/>
                <w:color w:val="000000"/>
                <w:sz w:val="18"/>
                <w:szCs w:val="18"/>
              </w:rPr>
              <w:br/>
              <w:t>- разработване на компоненти и платформи за електрически, зареждащи се от електрическата мрежа хибридни и водородни превозни средства</w:t>
            </w:r>
            <w:r>
              <w:rPr>
                <w:rFonts w:ascii="Times New Roman" w:hAnsi="Times New Roman"/>
                <w:noProof/>
                <w:color w:val="000000"/>
                <w:sz w:val="18"/>
                <w:szCs w:val="18"/>
              </w:rPr>
              <w:br/>
              <w:t>– автономно шофиране и свързана мобилност, разработване на нова архитектура на хардуерните и софтуерните превозни средства</w:t>
            </w:r>
            <w:r>
              <w:rPr>
                <w:rFonts w:ascii="Times New Roman" w:hAnsi="Times New Roman"/>
                <w:noProof/>
                <w:color w:val="000000"/>
                <w:sz w:val="18"/>
                <w:szCs w:val="18"/>
              </w:rPr>
              <w:br/>
              <w:t>– адаптиране на производствените области на компонентите и системите за електрически, зареждащи се от електрическата мрежа хибридни превозни средства и задвижвани с водород превозни средства.</w:t>
            </w:r>
            <w:r>
              <w:rPr>
                <w:rFonts w:ascii="Times New Roman" w:hAnsi="Times New Roman"/>
                <w:noProof/>
                <w:color w:val="000000"/>
                <w:sz w:val="18"/>
                <w:szCs w:val="18"/>
              </w:rPr>
              <w:br/>
              <w:t>Проектите се изпълняват от бизнес консорциуми от три до осем предприятия (най-малко един трябва да бъде МСП), с максимална продължителност три години и минимален бюджет от 5 000 000 EUR.</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271</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C17.I9</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w:t>
            </w:r>
          </w:p>
        </w:tc>
        <w:tc>
          <w:tcPr>
            <w:tcW w:w="2502"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Подкрепа за научноизследователска и развойна дейност; Иновационни проекти в областта на авиокосмическата дейност, с акцент върху ниските и нулевите емисии  </w:t>
            </w:r>
          </w:p>
        </w:tc>
        <w:tc>
          <w:tcPr>
            <w:tcW w:w="118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Номер</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0</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65</w:t>
            </w:r>
          </w:p>
        </w:tc>
        <w:tc>
          <w:tcPr>
            <w:tcW w:w="47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Q4</w:t>
            </w:r>
          </w:p>
        </w:tc>
        <w:tc>
          <w:tcPr>
            <w:tcW w:w="66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2023</w:t>
            </w:r>
          </w:p>
        </w:tc>
        <w:tc>
          <w:tcPr>
            <w:tcW w:w="5954"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Най-малко 65 дружества са получили финансиране за научноизследователска и развойна дейност по иновационни проекти в областта на авиокосмическата промишленост с акцент върху ниските и нулевите емисии, включително инвестиции, свързани с космически технологии и аеронавтика, с подкрепата на плана „</w:t>
            </w:r>
            <w:r>
              <w:rPr>
                <w:rFonts w:ascii="Times New Roman" w:hAnsi="Times New Roman"/>
                <w:i/>
                <w:iCs/>
                <w:noProof/>
                <w:color w:val="000000"/>
                <w:sz w:val="18"/>
                <w:szCs w:val="18"/>
              </w:rPr>
              <w:t>Aeronáutica</w:t>
            </w:r>
            <w:r>
              <w:rPr>
                <w:rFonts w:ascii="Times New Roman" w:hAnsi="Times New Roman"/>
                <w:noProof/>
                <w:color w:val="000000"/>
                <w:sz w:val="18"/>
                <w:szCs w:val="18"/>
              </w:rPr>
              <w:t xml:space="preserve">“. Проектите се изпълняват от бизнес консорциуми от 3 до 6 предприятия (най-малко един трябва да бъде МСП), с максимална продължителност 3 години. В съответствие с критериите за подбор проектите гарантират съответствие с техническите насоки „Ненанасяне на значителни вреди“ (2021/C58/01), с неизбраните и нефинансирани дейности, както и със съответното законодателство на ЕС и националното законодателство в областта на околната среда.  </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272</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C17.I9</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w:t>
            </w:r>
          </w:p>
        </w:tc>
        <w:tc>
          <w:tcPr>
            <w:tcW w:w="2502"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Приключване на научноизследователските и развойни проекти; Иновационни проекти в областта на авиокосмическата дейност, с акцент върху ниските и нулевите емисии </w:t>
            </w:r>
          </w:p>
        </w:tc>
        <w:tc>
          <w:tcPr>
            <w:tcW w:w="118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Номер</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0</w:t>
            </w:r>
          </w:p>
        </w:tc>
        <w:tc>
          <w:tcPr>
            <w:tcW w:w="567"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65</w:t>
            </w:r>
          </w:p>
        </w:tc>
        <w:tc>
          <w:tcPr>
            <w:tcW w:w="47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T2</w:t>
            </w:r>
          </w:p>
        </w:tc>
        <w:tc>
          <w:tcPr>
            <w:tcW w:w="66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2026</w:t>
            </w:r>
          </w:p>
        </w:tc>
        <w:tc>
          <w:tcPr>
            <w:tcW w:w="5954"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Най-малко 65 дружества са завършили своите научноизследователски, развойни и иновационни проекти в областта на авиокосмическата промишленост, с акцент върху ниските и нулевите емисии, включително инвестиции, свързани с космически технологии и аеронавтика, с подкрепата на плана „</w:t>
            </w:r>
            <w:r>
              <w:rPr>
                <w:rFonts w:ascii="Times New Roman" w:hAnsi="Times New Roman"/>
                <w:i/>
                <w:iCs/>
                <w:noProof/>
                <w:color w:val="000000"/>
                <w:sz w:val="18"/>
                <w:szCs w:val="18"/>
              </w:rPr>
              <w:t>Aeronáutica</w:t>
            </w:r>
            <w:r>
              <w:rPr>
                <w:rFonts w:ascii="Times New Roman" w:hAnsi="Times New Roman"/>
                <w:noProof/>
                <w:color w:val="000000"/>
                <w:sz w:val="18"/>
                <w:szCs w:val="18"/>
              </w:rPr>
              <w:t xml:space="preserve">“. В съответствие с критериите за подбор проектите гарантират съответствие с техническите насоки „Ненанасяне на значителни вреди“ (2021/C58/01), с неизбраните и нефинансирани дейности, както и със съответното законодателство на ЕС и националното законодателство в областта на околната среда.  </w:t>
            </w:r>
          </w:p>
        </w:tc>
      </w:tr>
    </w:tbl>
    <w:p>
      <w:pPr>
        <w:spacing w:before="120" w:after="120" w:line="240" w:lineRule="auto"/>
        <w:ind w:left="709"/>
        <w:jc w:val="both"/>
        <w:rPr>
          <w:rFonts w:ascii="Times New Roman" w:hAnsi="Times New Roman" w:cs="Times New Roman"/>
          <w:noProof/>
          <w:sz w:val="24"/>
        </w:rPr>
      </w:pPr>
    </w:p>
    <w:p>
      <w:pPr>
        <w:spacing w:before="120" w:after="120" w:line="240" w:lineRule="auto"/>
        <w:ind w:left="709"/>
        <w:jc w:val="both"/>
        <w:rPr>
          <w:rFonts w:ascii="Times New Roman" w:hAnsi="Times New Roman" w:cs="Times New Roman"/>
          <w:noProof/>
          <w:sz w:val="24"/>
          <w:szCs w:val="24"/>
        </w:rPr>
        <w:sectPr>
          <w:headerReference w:type="even" r:id="rId217"/>
          <w:headerReference w:type="default" r:id="rId218"/>
          <w:footerReference w:type="even" r:id="rId219"/>
          <w:footerReference w:type="default" r:id="rId220"/>
          <w:headerReference w:type="first" r:id="rId221"/>
          <w:footerReference w:type="first" r:id="rId222"/>
          <w:pgSz w:w="16839" w:h="11907" w:orient="landscape"/>
          <w:pgMar w:top="1417" w:right="1134" w:bottom="1417" w:left="1134" w:header="709" w:footer="709" w:gutter="0"/>
          <w:cols w:space="720"/>
          <w:docGrid w:linePitch="360"/>
        </w:sectPr>
      </w:pPr>
    </w:p>
    <w:p>
      <w:pPr>
        <w:pStyle w:val="Heading1"/>
        <w:rPr>
          <w:noProof/>
        </w:rPr>
      </w:pPr>
      <w:r>
        <w:rPr>
          <w:noProof/>
        </w:rPr>
        <w:t>С. КОМПОНЕНТ 18: Обновяване и разширяване на капацитета на националната здравна система</w:t>
      </w:r>
    </w:p>
    <w:p>
      <w:pPr>
        <w:spacing w:before="120" w:after="120" w:line="240" w:lineRule="auto"/>
        <w:jc w:val="both"/>
        <w:rPr>
          <w:rFonts w:ascii="Times New Roman" w:hAnsi="Times New Roman" w:cs="Times New Roman"/>
          <w:noProof/>
          <w:sz w:val="24"/>
        </w:rPr>
      </w:pPr>
      <w:r>
        <w:rPr>
          <w:rFonts w:ascii="Times New Roman" w:hAnsi="Times New Roman"/>
          <w:noProof/>
          <w:sz w:val="24"/>
        </w:rPr>
        <w:t>Здравната криза показа силата на испанската национална здравна система, но също така разкри трудностите, пред които е изправена при справянето със ситуации, изискващи предвиждане, бърза реакция и координация, както и необходимостта от коригиране на съществуващите структурни проблеми, свързани с демографските, социалните, технологичните или икономическите тенденции. Този компонент на испанския план за възстановяване и устойчивост е насочен към следните предизвикателства: I) уязвимостта спрямо световната здравна криза, ii) трансформацията на здравната система поради застаряването на населението, iii) равенството между половете и iv) дългосрочната устойчивост и устойчивост на системата.</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Целите на този компонент са: </w:t>
      </w:r>
    </w:p>
    <w:p>
      <w:pPr>
        <w:numPr>
          <w:ilvl w:val="0"/>
          <w:numId w:val="22"/>
        </w:numPr>
        <w:spacing w:before="120" w:after="120" w:line="240" w:lineRule="auto"/>
        <w:ind w:left="993" w:hanging="284"/>
        <w:jc w:val="both"/>
        <w:rPr>
          <w:rFonts w:ascii="Times New Roman" w:hAnsi="Times New Roman" w:cs="Times New Roman"/>
          <w:noProof/>
          <w:sz w:val="24"/>
        </w:rPr>
      </w:pPr>
      <w:r>
        <w:rPr>
          <w:rFonts w:ascii="Times New Roman" w:hAnsi="Times New Roman"/>
          <w:noProof/>
          <w:sz w:val="24"/>
        </w:rPr>
        <w:t>Да се подготви здравната система за предотвратяване и справяне с потенциални заплахи за здравето в световен мащаб, като например настоящата пандемия от COVID-19, чрез увеличаване на капацитета на общественото здравеопазване и системите за епидемиологично наблюдение.</w:t>
      </w:r>
    </w:p>
    <w:p>
      <w:pPr>
        <w:numPr>
          <w:ilvl w:val="0"/>
          <w:numId w:val="22"/>
        </w:numPr>
        <w:spacing w:before="120" w:after="120" w:line="240" w:lineRule="auto"/>
        <w:ind w:left="993" w:hanging="284"/>
        <w:jc w:val="both"/>
        <w:rPr>
          <w:rFonts w:ascii="Times New Roman" w:hAnsi="Times New Roman" w:cs="Times New Roman"/>
          <w:noProof/>
          <w:sz w:val="24"/>
        </w:rPr>
      </w:pPr>
      <w:r>
        <w:rPr>
          <w:rFonts w:ascii="Times New Roman" w:hAnsi="Times New Roman"/>
          <w:noProof/>
          <w:sz w:val="24"/>
        </w:rPr>
        <w:t>Предоставяне на здравна услуга с най-висока скорост, качество и сигурност, независимо от ресурсите на пациентите, тяхното място на пребиваване, пол, произход или възраст.</w:t>
      </w:r>
    </w:p>
    <w:p>
      <w:pPr>
        <w:numPr>
          <w:ilvl w:val="0"/>
          <w:numId w:val="22"/>
        </w:numPr>
        <w:spacing w:before="120" w:after="120" w:line="240" w:lineRule="auto"/>
        <w:ind w:left="993" w:hanging="284"/>
        <w:jc w:val="both"/>
        <w:rPr>
          <w:rFonts w:ascii="Times New Roman" w:hAnsi="Times New Roman" w:cs="Times New Roman"/>
          <w:noProof/>
          <w:sz w:val="24"/>
        </w:rPr>
      </w:pPr>
      <w:r>
        <w:rPr>
          <w:rFonts w:ascii="Times New Roman" w:hAnsi="Times New Roman"/>
          <w:noProof/>
          <w:sz w:val="24"/>
        </w:rPr>
        <w:t xml:space="preserve">Да държи хората в центъра на здравната система, като подобри участието им и преориентира здравните грижи към нуждите на хората и общностите. </w:t>
      </w:r>
    </w:p>
    <w:p>
      <w:pPr>
        <w:numPr>
          <w:ilvl w:val="0"/>
          <w:numId w:val="22"/>
        </w:numPr>
        <w:spacing w:before="120" w:after="120" w:line="240" w:lineRule="auto"/>
        <w:ind w:left="993" w:hanging="284"/>
        <w:jc w:val="both"/>
        <w:rPr>
          <w:rFonts w:ascii="Times New Roman" w:hAnsi="Times New Roman" w:cs="Times New Roman"/>
          <w:noProof/>
          <w:sz w:val="24"/>
        </w:rPr>
      </w:pPr>
      <w:r>
        <w:rPr>
          <w:rFonts w:ascii="Times New Roman" w:hAnsi="Times New Roman"/>
          <w:noProof/>
          <w:sz w:val="24"/>
        </w:rPr>
        <w:t>Осигуряване на информационни системи, които измерват не само дейността, но и крайните здравни резултати.</w:t>
      </w:r>
    </w:p>
    <w:p>
      <w:pPr>
        <w:numPr>
          <w:ilvl w:val="0"/>
          <w:numId w:val="22"/>
        </w:numPr>
        <w:spacing w:before="120" w:after="120" w:line="240" w:lineRule="auto"/>
        <w:ind w:left="993" w:hanging="284"/>
        <w:jc w:val="both"/>
        <w:rPr>
          <w:rFonts w:ascii="Times New Roman" w:hAnsi="Times New Roman" w:cs="Times New Roman"/>
          <w:noProof/>
          <w:sz w:val="24"/>
        </w:rPr>
      </w:pPr>
      <w:r>
        <w:rPr>
          <w:rFonts w:ascii="Times New Roman" w:hAnsi="Times New Roman"/>
          <w:noProof/>
          <w:sz w:val="24"/>
        </w:rPr>
        <w:t>Активно насърчаване на здравето и благосъстоянието и предотвратяване на болести и зависимост през целия живот.</w:t>
      </w:r>
    </w:p>
    <w:p>
      <w:pPr>
        <w:numPr>
          <w:ilvl w:val="0"/>
          <w:numId w:val="22"/>
        </w:numPr>
        <w:spacing w:before="120" w:after="120" w:line="240" w:lineRule="auto"/>
        <w:ind w:left="993" w:hanging="284"/>
        <w:jc w:val="both"/>
        <w:rPr>
          <w:rFonts w:ascii="Times New Roman" w:hAnsi="Times New Roman" w:cs="Times New Roman"/>
          <w:noProof/>
          <w:sz w:val="24"/>
        </w:rPr>
      </w:pPr>
      <w:r>
        <w:rPr>
          <w:rFonts w:ascii="Times New Roman" w:hAnsi="Times New Roman"/>
          <w:noProof/>
          <w:sz w:val="24"/>
        </w:rPr>
        <w:t>Привличане и задържане на най-добрите специалисти, които им предлагат индивидуални и колективни възможности за развитие.</w:t>
      </w:r>
    </w:p>
    <w:p>
      <w:pPr>
        <w:numPr>
          <w:ilvl w:val="0"/>
          <w:numId w:val="22"/>
        </w:numPr>
        <w:spacing w:before="120" w:after="120" w:line="240" w:lineRule="auto"/>
        <w:ind w:left="993" w:hanging="284"/>
        <w:jc w:val="both"/>
        <w:rPr>
          <w:rFonts w:ascii="Times New Roman" w:hAnsi="Times New Roman" w:cs="Times New Roman"/>
          <w:noProof/>
          <w:sz w:val="24"/>
        </w:rPr>
      </w:pPr>
      <w:r>
        <w:rPr>
          <w:rFonts w:ascii="Times New Roman" w:hAnsi="Times New Roman"/>
          <w:noProof/>
          <w:sz w:val="24"/>
        </w:rPr>
        <w:t>Преминаване към цифровизирана национална здравна система, която генерира информация и знания и която засилва научните изследвания и иновациите в областта на здравеопазването като двигател за създаване на работни места, растеж, производителност и иновации.</w:t>
      </w:r>
    </w:p>
    <w:p>
      <w:pPr>
        <w:numPr>
          <w:ilvl w:val="0"/>
          <w:numId w:val="22"/>
        </w:numPr>
        <w:spacing w:before="120" w:after="120" w:line="240" w:lineRule="auto"/>
        <w:ind w:left="993" w:hanging="284"/>
        <w:jc w:val="both"/>
        <w:rPr>
          <w:rFonts w:ascii="Times New Roman" w:hAnsi="Times New Roman" w:cs="Times New Roman"/>
          <w:noProof/>
          <w:sz w:val="24"/>
        </w:rPr>
      </w:pPr>
      <w:r>
        <w:rPr>
          <w:rFonts w:ascii="Times New Roman" w:hAnsi="Times New Roman"/>
          <w:noProof/>
          <w:sz w:val="24"/>
        </w:rPr>
        <w:t>Осигуряване на достатъчно и устойчиво финансиране за справяне с новите предизвикателства в областта на здравеопазването на едно модерно и развито общество, както и гарантиране на ефективност на разходите.</w:t>
      </w:r>
    </w:p>
    <w:p>
      <w:pPr>
        <w:numPr>
          <w:ilvl w:val="0"/>
          <w:numId w:val="22"/>
        </w:numPr>
        <w:spacing w:before="120" w:after="120" w:line="240" w:lineRule="auto"/>
        <w:ind w:left="993" w:hanging="284"/>
        <w:jc w:val="both"/>
        <w:rPr>
          <w:rFonts w:ascii="Times New Roman" w:hAnsi="Times New Roman" w:cs="Times New Roman"/>
          <w:noProof/>
          <w:sz w:val="24"/>
        </w:rPr>
      </w:pPr>
      <w:r>
        <w:rPr>
          <w:rFonts w:ascii="Times New Roman" w:hAnsi="Times New Roman"/>
          <w:noProof/>
          <w:sz w:val="24"/>
        </w:rPr>
        <w:t>Укрепване и развиване на координацията и многостепенното управление в управлението на националната здравна система и засилване на териториалното сближаване. Активно насърчаване на стратегии за постигане на равенство между половете в здравната система.</w:t>
      </w:r>
    </w:p>
    <w:p>
      <w:pPr>
        <w:spacing w:before="120" w:after="120" w:line="240" w:lineRule="auto"/>
        <w:jc w:val="both"/>
        <w:rPr>
          <w:rFonts w:ascii="Times New Roman" w:hAnsi="Times New Roman" w:cs="Times New Roman"/>
          <w:noProof/>
          <w:sz w:val="24"/>
        </w:rPr>
      </w:pPr>
      <w:r>
        <w:rPr>
          <w:rFonts w:ascii="Times New Roman" w:hAnsi="Times New Roman"/>
          <w:noProof/>
          <w:sz w:val="24"/>
        </w:rPr>
        <w:t>Този компонент на испанския план за възстановяване и устойчивост подкрепя изпълнението на специфичните за всяка държава препоръки относно ефективната борба с пандемията и укрепването на капацитета и устойчивостта на здравната система по отношение на здравните работници и основните медицински продукти и инфраструктура (специфична препоръка 1 2020 за всяка държава) и подкрепата за заетостта чрез мерки за запазване на работните места, ефективни стимули за наемане на работа и развитие на умения (специфичната за държавата препоръка 2 2020 г.).</w:t>
      </w:r>
    </w:p>
    <w:p>
      <w:pPr>
        <w:spacing w:before="120" w:after="120" w:line="240" w:lineRule="auto"/>
        <w:jc w:val="both"/>
        <w:rPr>
          <w:rFonts w:ascii="Times New Roman" w:hAnsi="Times New Roman" w:cs="Times New Roman"/>
          <w:noProof/>
          <w:sz w:val="24"/>
        </w:rPr>
      </w:pPr>
      <w:r>
        <w:rPr>
          <w:rFonts w:ascii="Times New Roman" w:hAnsi="Times New Roman"/>
          <w:noProof/>
          <w:color w:val="000000" w:themeColor="text1"/>
          <w:sz w:val="24"/>
          <w:szCs w:val="24"/>
        </w:rPr>
        <w:t>Очаква се, че нито една мярка в този компонент не вреди в значителна степен на екологичните цели по смисъла на член 17 от Регламент (ЕС) 2020/852, като се вземат предвид описанието на мерките и стъпките за смекчаване на последиците, определени в плана за възстановяване и устойчивост в съответствие с Техническите насоки за спазването на „принципа за ненанасяне на съществена вреда“ (2021/C58/01).</w:t>
      </w:r>
    </w:p>
    <w:p>
      <w:pPr>
        <w:keepNext/>
        <w:spacing w:before="120" w:after="120" w:line="240" w:lineRule="auto"/>
        <w:jc w:val="both"/>
        <w:rPr>
          <w:rFonts w:ascii="Times New Roman" w:hAnsi="Times New Roman" w:cs="Times New Roman"/>
          <w:b/>
          <w:i/>
          <w:noProof/>
          <w:color w:val="4F81BD" w:themeColor="accent1"/>
          <w:sz w:val="24"/>
        </w:rPr>
      </w:pPr>
      <w:r>
        <w:rPr>
          <w:rFonts w:ascii="Times New Roman" w:hAnsi="Times New Roman"/>
          <w:b/>
          <w:bCs/>
          <w:noProof/>
          <w:sz w:val="24"/>
          <w:u w:val="single"/>
        </w:rPr>
        <w:t xml:space="preserve">С.1. </w:t>
      </w:r>
      <w:r>
        <w:rPr>
          <w:rFonts w:ascii="Times New Roman" w:hAnsi="Times New Roman"/>
          <w:b/>
          <w:noProof/>
          <w:sz w:val="24"/>
          <w:u w:val="single"/>
        </w:rPr>
        <w:tab/>
      </w:r>
      <w:r>
        <w:rPr>
          <w:rFonts w:ascii="Times New Roman" w:hAnsi="Times New Roman"/>
          <w:b/>
          <w:bCs/>
          <w:noProof/>
          <w:sz w:val="24"/>
          <w:u w:val="single"/>
        </w:rPr>
        <w:t>Описание на реформите и инвестициите за безвъзмездна финансова подкрепа</w:t>
      </w:r>
    </w:p>
    <w:p>
      <w:pPr>
        <w:keepNext/>
        <w:spacing w:before="120" w:after="120" w:line="240" w:lineRule="auto"/>
        <w:jc w:val="both"/>
        <w:rPr>
          <w:rFonts w:ascii="Times New Roman" w:hAnsi="Times New Roman" w:cs="Times New Roman"/>
          <w:noProof/>
          <w:sz w:val="24"/>
          <w:u w:val="single"/>
        </w:rPr>
      </w:pPr>
      <w:r>
        <w:rPr>
          <w:rFonts w:ascii="Times New Roman" w:hAnsi="Times New Roman"/>
          <w:noProof/>
          <w:sz w:val="24"/>
          <w:u w:val="single"/>
        </w:rPr>
        <w:t>Реформа 1 (C18.R1) – Укрепване на първичните и общностните грижи</w:t>
      </w:r>
    </w:p>
    <w:p>
      <w:pPr>
        <w:keepNext/>
        <w:spacing w:before="120" w:after="120" w:line="240" w:lineRule="auto"/>
        <w:jc w:val="both"/>
        <w:rPr>
          <w:rFonts w:ascii="Times New Roman" w:hAnsi="Times New Roman" w:cs="Times New Roman"/>
          <w:noProof/>
          <w:sz w:val="24"/>
        </w:rPr>
      </w:pPr>
      <w:r>
        <w:rPr>
          <w:rFonts w:ascii="Times New Roman" w:hAnsi="Times New Roman"/>
          <w:noProof/>
          <w:sz w:val="24"/>
        </w:rPr>
        <w:t>Укрепването на първичната медицинска помощ е едно от най-важните здравни предизвикателства, пред които е изправена Испания през следващите години. Целите на тази реформа са да се предложат по-добри отговори на възникващи здравни проблеми, да се подобри индивидуалният опит в грижите за всички и да се предотврати заболяването и да се засили ролята на първичната медицинска помощ.</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Реформата се състои в изготвянето и изпълнението на план за действие за разработване на стратегическа рамка за укрепване на първичните грижи и грижите в общността, приета от централното правителство и автономните области през 2019 г. Планът за действие е структуриран около линиите на действие, в които трябва да се очертае регионалното изпълнение на проектите. Това включва подобряване на процесите на клинично управление, разширяване и подновяване на диагностично оборудване в здравните центрове, разработване на информационни технологии, обучение на специалисти или подобряване на инфраструктурата на здравните центрове и службите за спешна помощ.  Планът за действие се одобрява от Междутериториалния съвет. Изпълнението му няма да бъде финансирано от плана за възстановяване и устойчивост. </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Изпълнението на мярката приключва до 31 декември 2023 г. </w:t>
      </w:r>
    </w:p>
    <w:p>
      <w:pPr>
        <w:spacing w:before="120" w:after="120" w:line="240" w:lineRule="auto"/>
        <w:jc w:val="both"/>
        <w:rPr>
          <w:rFonts w:ascii="Times New Roman" w:hAnsi="Times New Roman" w:cs="Times New Roman"/>
          <w:noProof/>
          <w:sz w:val="24"/>
          <w:u w:val="single"/>
        </w:rPr>
      </w:pPr>
      <w:r>
        <w:rPr>
          <w:rFonts w:ascii="Times New Roman" w:hAnsi="Times New Roman"/>
          <w:noProof/>
          <w:sz w:val="24"/>
          <w:u w:val="single"/>
        </w:rPr>
        <w:t>Реформа 2 (C18.R2) – Реформа на системата за обществено здравеопазване</w:t>
      </w:r>
    </w:p>
    <w:p>
      <w:pPr>
        <w:spacing w:before="120" w:after="120" w:line="240" w:lineRule="auto"/>
        <w:jc w:val="both"/>
        <w:rPr>
          <w:rFonts w:ascii="Times New Roman" w:hAnsi="Times New Roman" w:cs="Times New Roman"/>
          <w:noProof/>
          <w:sz w:val="24"/>
        </w:rPr>
      </w:pPr>
      <w:r>
        <w:rPr>
          <w:rFonts w:ascii="Times New Roman" w:hAnsi="Times New Roman"/>
          <w:noProof/>
          <w:sz w:val="24"/>
        </w:rPr>
        <w:t>Реформата има за цел да установи обща и интегрирана рамка за осигуряване на общественото здраве. Тя се състои в разработването на по-амбициозна, по-интегрирана и по-добре структурирана система за обществено здравеопазване чрез следните действия:</w:t>
      </w:r>
    </w:p>
    <w:p>
      <w:pPr>
        <w:spacing w:before="120" w:after="120" w:line="240" w:lineRule="auto"/>
        <w:ind w:left="850" w:hanging="425"/>
        <w:jc w:val="both"/>
        <w:rPr>
          <w:rFonts w:ascii="Times New Roman" w:hAnsi="Times New Roman" w:cs="Times New Roman"/>
          <w:noProof/>
          <w:sz w:val="24"/>
        </w:rPr>
      </w:pPr>
      <w:r>
        <w:rPr>
          <w:rFonts w:ascii="Times New Roman" w:hAnsi="Times New Roman"/>
          <w:noProof/>
          <w:sz w:val="24"/>
        </w:rPr>
        <w:t>-</w:t>
      </w:r>
      <w:r>
        <w:rPr>
          <w:rFonts w:ascii="Times New Roman" w:hAnsi="Times New Roman"/>
          <w:noProof/>
          <w:sz w:val="24"/>
        </w:rPr>
        <w:tab/>
        <w:t>Стратегия за общественото здраве, която установява обща и интегрирана рамка, която ще бъде взета предвид във всички политики в областта на общественото здраве и е с продължителност пет години, с междинни оценки на всеки две години, през които се анализира степента на изпълнение.</w:t>
      </w:r>
      <w:r>
        <w:rPr>
          <w:rFonts w:ascii="Times New Roman" w:hAnsi="Times New Roman"/>
          <w:noProof/>
          <w:color w:val="000000" w:themeColor="text1"/>
          <w:sz w:val="18"/>
          <w:szCs w:val="18"/>
        </w:rPr>
        <w:t xml:space="preserve"> </w:t>
      </w:r>
      <w:r>
        <w:rPr>
          <w:rFonts w:ascii="Times New Roman" w:hAnsi="Times New Roman"/>
          <w:noProof/>
          <w:sz w:val="24"/>
        </w:rPr>
        <w:t>Стратегията се одобрява със съгласието на Междутериториалния съвет на Националната здравна система.</w:t>
      </w:r>
    </w:p>
    <w:p>
      <w:pPr>
        <w:spacing w:before="120" w:after="120" w:line="240" w:lineRule="auto"/>
        <w:ind w:left="850" w:hanging="425"/>
        <w:jc w:val="both"/>
        <w:rPr>
          <w:rFonts w:ascii="Times New Roman" w:hAnsi="Times New Roman" w:cs="Times New Roman"/>
          <w:noProof/>
          <w:sz w:val="24"/>
          <w:szCs w:val="24"/>
        </w:rPr>
      </w:pPr>
      <w:r>
        <w:rPr>
          <w:rFonts w:ascii="Times New Roman" w:hAnsi="Times New Roman"/>
          <w:noProof/>
          <w:sz w:val="24"/>
          <w:szCs w:val="24"/>
        </w:rPr>
        <w:t>-</w:t>
      </w:r>
      <w:r>
        <w:rPr>
          <w:rFonts w:ascii="Times New Roman" w:hAnsi="Times New Roman"/>
          <w:noProof/>
          <w:sz w:val="24"/>
        </w:rPr>
        <w:tab/>
      </w:r>
      <w:r>
        <w:rPr>
          <w:rFonts w:ascii="Times New Roman" w:hAnsi="Times New Roman"/>
          <w:noProof/>
          <w:sz w:val="24"/>
          <w:szCs w:val="24"/>
        </w:rPr>
        <w:t>Мрежа за наблюдение на общественото здраве и нов държавен център за обществено здраве, които се създават със закон или с кралски указ на правителството.</w:t>
      </w:r>
    </w:p>
    <w:p>
      <w:pPr>
        <w:spacing w:before="120" w:after="120" w:line="240" w:lineRule="auto"/>
        <w:jc w:val="both"/>
        <w:rPr>
          <w:rFonts w:ascii="Times New Roman" w:hAnsi="Times New Roman" w:cs="Times New Roman"/>
          <w:noProof/>
          <w:sz w:val="24"/>
        </w:rPr>
      </w:pPr>
      <w:r>
        <w:rPr>
          <w:rFonts w:ascii="Times New Roman" w:hAnsi="Times New Roman"/>
          <w:noProof/>
          <w:sz w:val="24"/>
        </w:rPr>
        <w:t>Изпълнението на мярката приключва до 31 декември 2023 г.</w:t>
      </w:r>
    </w:p>
    <w:p>
      <w:pPr>
        <w:spacing w:before="120" w:after="120" w:line="240" w:lineRule="auto"/>
        <w:jc w:val="both"/>
        <w:rPr>
          <w:rFonts w:ascii="Times New Roman" w:hAnsi="Times New Roman" w:cs="Times New Roman"/>
          <w:noProof/>
          <w:sz w:val="24"/>
          <w:u w:val="single"/>
        </w:rPr>
      </w:pPr>
      <w:r>
        <w:rPr>
          <w:rFonts w:ascii="Times New Roman" w:hAnsi="Times New Roman"/>
          <w:noProof/>
          <w:sz w:val="24"/>
          <w:u w:val="single"/>
        </w:rPr>
        <w:t>Реформа 3 (C18. R3) – Засилване на сближаването, равнопоставеността и универсалността</w:t>
      </w:r>
    </w:p>
    <w:p>
      <w:pPr>
        <w:spacing w:before="120" w:after="120" w:line="240" w:lineRule="auto"/>
        <w:jc w:val="both"/>
        <w:rPr>
          <w:rFonts w:ascii="Times New Roman" w:hAnsi="Times New Roman" w:cs="Times New Roman"/>
          <w:noProof/>
          <w:sz w:val="24"/>
        </w:rPr>
      </w:pPr>
      <w:r>
        <w:rPr>
          <w:rFonts w:ascii="Times New Roman" w:hAnsi="Times New Roman"/>
          <w:noProof/>
          <w:sz w:val="24"/>
        </w:rPr>
        <w:t>Целта на тази реформа е допълнително да се подобри достъпът до всеобщо здравеопазване в Испания, равенството по отношение на достъпа до здравеопазване и сближаването в областта на здравеопазването между различните територии на страната. Реформата се състои от три стълба:</w:t>
      </w:r>
    </w:p>
    <w:p>
      <w:pPr>
        <w:spacing w:before="120" w:after="120" w:line="240" w:lineRule="auto"/>
        <w:ind w:left="850" w:hanging="425"/>
        <w:jc w:val="both"/>
        <w:rPr>
          <w:rFonts w:ascii="Times New Roman" w:hAnsi="Times New Roman" w:cs="Times New Roman"/>
          <w:noProof/>
          <w:sz w:val="24"/>
        </w:rPr>
      </w:pPr>
      <w:r>
        <w:rPr>
          <w:rFonts w:ascii="Times New Roman" w:hAnsi="Times New Roman"/>
          <w:noProof/>
          <w:sz w:val="24"/>
        </w:rPr>
        <w:t>-</w:t>
      </w:r>
      <w:r>
        <w:rPr>
          <w:rFonts w:ascii="Times New Roman" w:hAnsi="Times New Roman"/>
          <w:noProof/>
          <w:sz w:val="24"/>
        </w:rPr>
        <w:tab/>
        <w:t xml:space="preserve">Закон за справедливостта, универсалността и сближаването на националната здравна система Целите на закона са: </w:t>
      </w:r>
      <w:r>
        <w:rPr>
          <w:rFonts w:ascii="Times New Roman" w:hAnsi="Times New Roman"/>
          <w:noProof/>
          <w:sz w:val="24"/>
          <w:lang w:val="fr-BE"/>
        </w:rPr>
        <w:t>i</w:t>
      </w:r>
      <w:r>
        <w:rPr>
          <w:rFonts w:ascii="Times New Roman" w:hAnsi="Times New Roman"/>
          <w:noProof/>
          <w:sz w:val="24"/>
        </w:rPr>
        <w:t>) осигуряване на достъп до здравеопазване за всички, ii) включване на представители на пациентите в управителните органи на испанската национална здравна система, iii) ограничаване на използването на нови доплащания, iv) промяна на определението за социални и здравни ползи в портфейла от услуги на националната здравна система, v) осигуряване на координация между здравните и социалните органи, vi) въвеждане на оценка на въздействието за всички регулаторни промени в областта и vii) реформиране на използването на фармацевтични продукти в националната здравна система. Този закон се придружава от задълбочена оценка на въздействието, в която се проучва и въздействието му върху дългосрочната устойчивост на публичните финанси, и се оповестява публично.</w:t>
      </w:r>
    </w:p>
    <w:p>
      <w:pPr>
        <w:spacing w:before="120" w:after="120" w:line="240" w:lineRule="auto"/>
        <w:ind w:left="850" w:hanging="425"/>
        <w:jc w:val="both"/>
        <w:rPr>
          <w:rFonts w:ascii="Times New Roman" w:hAnsi="Times New Roman" w:cs="Times New Roman"/>
          <w:noProof/>
          <w:sz w:val="24"/>
        </w:rPr>
      </w:pPr>
      <w:r>
        <w:rPr>
          <w:rFonts w:ascii="Times New Roman" w:hAnsi="Times New Roman"/>
          <w:noProof/>
          <w:sz w:val="24"/>
        </w:rPr>
        <w:t>-</w:t>
      </w:r>
      <w:r>
        <w:rPr>
          <w:rFonts w:ascii="Times New Roman" w:hAnsi="Times New Roman"/>
          <w:noProof/>
          <w:sz w:val="24"/>
        </w:rPr>
        <w:tab/>
        <w:t xml:space="preserve">Преориентиране на много сложни грижи в системата на здравеопазването чрез консолидиране и развитие на мрежата от фокусни точки (CSUR) и преподреждане на изключително сложни грижи, които не са свързани с държавите от ЦБУР. </w:t>
      </w:r>
    </w:p>
    <w:p>
      <w:pPr>
        <w:spacing w:before="120" w:after="120" w:line="240" w:lineRule="auto"/>
        <w:ind w:left="850" w:hanging="425"/>
        <w:jc w:val="both"/>
        <w:rPr>
          <w:rFonts w:ascii="Times New Roman" w:hAnsi="Times New Roman" w:cs="Times New Roman"/>
          <w:noProof/>
          <w:sz w:val="24"/>
        </w:rPr>
      </w:pPr>
      <w:r>
        <w:rPr>
          <w:rFonts w:ascii="Times New Roman" w:hAnsi="Times New Roman"/>
          <w:noProof/>
          <w:sz w:val="24"/>
        </w:rPr>
        <w:t>-</w:t>
      </w:r>
      <w:r>
        <w:rPr>
          <w:rFonts w:ascii="Times New Roman" w:hAnsi="Times New Roman"/>
          <w:noProof/>
          <w:sz w:val="24"/>
        </w:rPr>
        <w:tab/>
        <w:t>Увеличаване на общия портфейл от обществени здравни услуги. Тази реформа ще разшири и подобри услугите от общия портфейл с зъболечение, геномна медицина, ортопедични и протези и профилактични грижи.</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Изпълнението на мярката приключва до 31 декември 2023 г. </w:t>
      </w:r>
    </w:p>
    <w:p>
      <w:pPr>
        <w:spacing w:before="120" w:after="120" w:line="240" w:lineRule="auto"/>
        <w:jc w:val="both"/>
        <w:rPr>
          <w:rFonts w:ascii="Times New Roman" w:hAnsi="Times New Roman" w:cs="Times New Roman"/>
          <w:noProof/>
          <w:sz w:val="24"/>
          <w:u w:val="single"/>
        </w:rPr>
      </w:pPr>
      <w:r>
        <w:rPr>
          <w:rFonts w:ascii="Times New Roman" w:hAnsi="Times New Roman"/>
          <w:noProof/>
          <w:sz w:val="24"/>
          <w:u w:val="single"/>
        </w:rPr>
        <w:t>Реформа 4 (C18. R4) – Укрепване на професионалните умения и намаляване на временната заетост</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Целта на реформата е да се преодолее недостигът на медицински сестри и лекари, да се намали използването на временни договори, да се подобрят условията на труд и да се подобрят обучението и професионалното развитие. </w:t>
      </w:r>
    </w:p>
    <w:p>
      <w:pPr>
        <w:spacing w:before="120" w:after="120" w:line="240" w:lineRule="auto"/>
        <w:jc w:val="both"/>
        <w:rPr>
          <w:rFonts w:ascii="Times New Roman" w:hAnsi="Times New Roman" w:cs="Times New Roman"/>
          <w:noProof/>
          <w:sz w:val="24"/>
        </w:rPr>
      </w:pPr>
      <w:r>
        <w:rPr>
          <w:rFonts w:ascii="Times New Roman" w:hAnsi="Times New Roman"/>
          <w:noProof/>
          <w:sz w:val="24"/>
        </w:rPr>
        <w:t>Реформата обхваща две области:</w:t>
      </w:r>
    </w:p>
    <w:p>
      <w:pPr>
        <w:numPr>
          <w:ilvl w:val="0"/>
          <w:numId w:val="86"/>
        </w:numPr>
        <w:spacing w:before="120" w:after="160" w:line="259" w:lineRule="auto"/>
        <w:ind w:left="1134" w:hanging="425"/>
        <w:jc w:val="both"/>
        <w:rPr>
          <w:rFonts w:ascii="Times New Roman" w:hAnsi="Times New Roman" w:cs="Times New Roman"/>
          <w:noProof/>
          <w:sz w:val="24"/>
          <w:szCs w:val="24"/>
        </w:rPr>
      </w:pPr>
      <w:r>
        <w:rPr>
          <w:rFonts w:ascii="Times New Roman" w:hAnsi="Times New Roman"/>
          <w:noProof/>
          <w:sz w:val="24"/>
          <w:szCs w:val="24"/>
        </w:rPr>
        <w:t>Изменението на закона за здравните работници в Испания („Рамковия статут“), за да се намали временната заетост, да се гарантира заемането на длъжности в определени географски райони, които не се обслужват в достатъчна степен чрез мерки за стимулиране, да се подобрят околната среда и условията на труд чрез мерки, които допринасят за професионалното развитие и да се задържат талантите в испанската система, с подобрения не само в икономическите условия, но и чрез разкриване на възможности за преподаване и научни изследвания. В процеса на изменение на закона се изготвят доклади за икономическото му въздействие, и по-специално за дългосрочното въздействие на Закона върху устойчивостта на публичните финанси.</w:t>
      </w:r>
    </w:p>
    <w:p>
      <w:pPr>
        <w:numPr>
          <w:ilvl w:val="0"/>
          <w:numId w:val="86"/>
        </w:numPr>
        <w:spacing w:before="120" w:after="160" w:line="259" w:lineRule="auto"/>
        <w:ind w:left="1134" w:hanging="425"/>
        <w:contextualSpacing/>
        <w:jc w:val="both"/>
        <w:rPr>
          <w:rFonts w:ascii="Times New Roman" w:hAnsi="Times New Roman" w:cs="Times New Roman"/>
          <w:noProof/>
        </w:rPr>
      </w:pPr>
      <w:r>
        <w:rPr>
          <w:rFonts w:ascii="Times New Roman" w:hAnsi="Times New Roman"/>
          <w:noProof/>
          <w:sz w:val="24"/>
          <w:szCs w:val="24"/>
        </w:rPr>
        <w:t>Влизането в сила на кралски декрет-закон за подобряване на специализираната система за здравно обучение. Законът урежда хоризонталното обучение по здравни специалности, специфични области на обучение и процедурата за валидиране и признаване на квалификациите на специалистите по здравни науки.</w:t>
      </w:r>
    </w:p>
    <w:p>
      <w:pPr>
        <w:spacing w:before="120" w:after="160" w:line="259" w:lineRule="auto"/>
        <w:ind w:left="1134"/>
        <w:contextualSpacing/>
        <w:jc w:val="both"/>
        <w:rPr>
          <w:rFonts w:ascii="Times New Roman" w:hAnsi="Times New Roman" w:cs="Times New Roman"/>
          <w:noProof/>
        </w:rPr>
      </w:pP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Тази реформа е свързана с реформа 1 в раздел 11 (C11.R1). </w:t>
      </w:r>
    </w:p>
    <w:p>
      <w:pPr>
        <w:spacing w:before="120" w:after="120" w:line="240" w:lineRule="auto"/>
        <w:jc w:val="both"/>
        <w:rPr>
          <w:rFonts w:ascii="Times New Roman" w:hAnsi="Times New Roman" w:cs="Times New Roman"/>
          <w:noProof/>
          <w:sz w:val="24"/>
        </w:rPr>
      </w:pPr>
      <w:r>
        <w:rPr>
          <w:rFonts w:ascii="Times New Roman" w:hAnsi="Times New Roman"/>
          <w:noProof/>
          <w:sz w:val="24"/>
        </w:rPr>
        <w:t>Изпълнението на мярката приключва до 31 декември 2023 г.</w:t>
      </w:r>
    </w:p>
    <w:p>
      <w:pPr>
        <w:spacing w:before="120" w:after="120" w:line="240" w:lineRule="auto"/>
        <w:jc w:val="both"/>
        <w:rPr>
          <w:rFonts w:ascii="Times New Roman" w:hAnsi="Times New Roman" w:cs="Times New Roman"/>
          <w:noProof/>
          <w:sz w:val="24"/>
          <w:u w:val="single"/>
        </w:rPr>
      </w:pPr>
      <w:r>
        <w:rPr>
          <w:rFonts w:ascii="Times New Roman" w:hAnsi="Times New Roman"/>
          <w:noProof/>
          <w:sz w:val="24"/>
          <w:u w:val="single"/>
        </w:rPr>
        <w:t>Реформа 5 (C18.R5) – Реформа на регулирането на лекарствата и подобряване на достъпа до лекарства</w:t>
      </w:r>
    </w:p>
    <w:p>
      <w:pPr>
        <w:spacing w:before="120" w:after="120" w:line="240" w:lineRule="auto"/>
        <w:jc w:val="both"/>
        <w:rPr>
          <w:rFonts w:ascii="Times New Roman" w:hAnsi="Times New Roman" w:cs="Times New Roman"/>
          <w:bCs/>
          <w:noProof/>
          <w:sz w:val="24"/>
        </w:rPr>
      </w:pPr>
      <w:r>
        <w:rPr>
          <w:rFonts w:ascii="Times New Roman" w:hAnsi="Times New Roman"/>
          <w:noProof/>
          <w:sz w:val="24"/>
        </w:rPr>
        <w:t xml:space="preserve">Основната цел на тази реформа е да се актуализира испанската регулаторна рамка за лекарствените продукти и медицинските изделия чрез изменение на Закона за гаранциите и рационалното използване на лекарствени продукти и медицински изделия (Кралски законодателен декрет 1/2015 от 24 юли), който понастоящем е законодателството, установяващо съответната регулаторна рамка в Испания. </w:t>
      </w:r>
      <w:r>
        <w:rPr>
          <w:rFonts w:ascii="Times New Roman" w:hAnsi="Times New Roman"/>
          <w:bCs/>
          <w:noProof/>
          <w:sz w:val="24"/>
        </w:rPr>
        <w:t xml:space="preserve">По-специално системата трябва да бъде адаптирана, за да се справя с новите революционни научни разработки, да задълбочава мерките за рационализиране на разходите за фармацевтични продукти, да стимулира рационалното използване на лекарства и да прави промени с оглед на опита по време на пандемията. В процеса на изготвяне на закона се изготвят доклади за икономическото му въздействие, и по-специално за дългосрочното въздействие на закона върху устойчивостта на публичните финанси. </w:t>
      </w:r>
    </w:p>
    <w:p>
      <w:pPr>
        <w:spacing w:before="120" w:after="120" w:line="240" w:lineRule="auto"/>
        <w:jc w:val="both"/>
        <w:rPr>
          <w:rFonts w:ascii="Times New Roman" w:hAnsi="Times New Roman" w:cs="Times New Roman"/>
          <w:noProof/>
          <w:sz w:val="24"/>
        </w:rPr>
      </w:pPr>
      <w:r>
        <w:rPr>
          <w:rFonts w:ascii="Times New Roman" w:hAnsi="Times New Roman"/>
          <w:noProof/>
          <w:sz w:val="24"/>
        </w:rPr>
        <w:t>Изпълнението на мярката приключва до 31 декември 2022 г.</w:t>
      </w:r>
    </w:p>
    <w:p>
      <w:pPr>
        <w:keepNext/>
        <w:spacing w:before="120" w:after="120" w:line="240" w:lineRule="auto"/>
        <w:jc w:val="both"/>
        <w:rPr>
          <w:rFonts w:ascii="Times New Roman" w:hAnsi="Times New Roman" w:cs="Times New Roman"/>
          <w:bCs/>
          <w:noProof/>
          <w:sz w:val="24"/>
          <w:u w:val="single"/>
        </w:rPr>
      </w:pPr>
      <w:r>
        <w:rPr>
          <w:rFonts w:ascii="Times New Roman" w:hAnsi="Times New Roman"/>
          <w:bCs/>
          <w:noProof/>
          <w:sz w:val="24"/>
          <w:u w:val="single"/>
        </w:rPr>
        <w:t>Инвестиция 1 (C18.I1) – План за инвестиции за високотехнологично оборудване в националната здравна система</w:t>
      </w:r>
    </w:p>
    <w:p>
      <w:pPr>
        <w:keepNext/>
        <w:spacing w:before="120" w:after="120" w:line="240" w:lineRule="auto"/>
        <w:jc w:val="both"/>
        <w:rPr>
          <w:rFonts w:ascii="Times New Roman" w:hAnsi="Times New Roman" w:cs="Times New Roman"/>
          <w:bCs/>
          <w:noProof/>
          <w:sz w:val="24"/>
        </w:rPr>
      </w:pPr>
      <w:r>
        <w:rPr>
          <w:rFonts w:ascii="Times New Roman" w:hAnsi="Times New Roman"/>
          <w:bCs/>
          <w:noProof/>
          <w:sz w:val="24"/>
        </w:rPr>
        <w:t>В Испания равнището на остаряване на оборудването е по-високо от средното за Европа и средното равнище на гъстота на оборудването на глава от населението е по-ниско, но с някои изключения, като например скенерите за MRI. Географското разпределение на оборудването също е небалансирано. Целта на тази инвестиция е да се поднови съществуващото оборудване и да се предостави на Испания допълнително високотехнологично медицинско оборудване.</w:t>
      </w:r>
    </w:p>
    <w:p>
      <w:pPr>
        <w:spacing w:before="120" w:after="120" w:line="240" w:lineRule="auto"/>
        <w:jc w:val="both"/>
        <w:rPr>
          <w:rFonts w:ascii="Times New Roman" w:hAnsi="Times New Roman" w:cs="Times New Roman"/>
          <w:bCs/>
          <w:noProof/>
          <w:sz w:val="24"/>
        </w:rPr>
      </w:pPr>
      <w:r>
        <w:rPr>
          <w:rFonts w:ascii="Times New Roman" w:hAnsi="Times New Roman"/>
          <w:bCs/>
          <w:noProof/>
          <w:sz w:val="24"/>
        </w:rPr>
        <w:t>Инвестицията обхваща:</w:t>
      </w:r>
    </w:p>
    <w:p>
      <w:pPr>
        <w:spacing w:before="120" w:after="120" w:line="240" w:lineRule="auto"/>
        <w:ind w:left="709"/>
        <w:jc w:val="both"/>
        <w:rPr>
          <w:rFonts w:ascii="Times New Roman" w:hAnsi="Times New Roman" w:cs="Times New Roman"/>
          <w:bCs/>
          <w:noProof/>
          <w:sz w:val="24"/>
        </w:rPr>
      </w:pPr>
      <w:r>
        <w:rPr>
          <w:rFonts w:ascii="Times New Roman" w:hAnsi="Times New Roman"/>
          <w:bCs/>
          <w:noProof/>
          <w:sz w:val="24"/>
        </w:rPr>
        <w:t>-</w:t>
      </w:r>
      <w:r>
        <w:rPr>
          <w:rFonts w:ascii="Times New Roman" w:hAnsi="Times New Roman"/>
          <w:bCs/>
          <w:noProof/>
          <w:sz w:val="24"/>
        </w:rPr>
        <w:tab/>
        <w:t>Обновяване на оборудването поради остаряване.</w:t>
      </w:r>
    </w:p>
    <w:p>
      <w:pPr>
        <w:spacing w:before="120" w:after="120" w:line="240" w:lineRule="auto"/>
        <w:ind w:left="1418" w:hanging="709"/>
        <w:jc w:val="both"/>
        <w:rPr>
          <w:rFonts w:ascii="Times New Roman" w:hAnsi="Times New Roman" w:cs="Times New Roman"/>
          <w:bCs/>
          <w:noProof/>
          <w:sz w:val="24"/>
        </w:rPr>
      </w:pPr>
      <w:r>
        <w:rPr>
          <w:rFonts w:ascii="Times New Roman" w:hAnsi="Times New Roman"/>
          <w:bCs/>
          <w:noProof/>
          <w:sz w:val="24"/>
        </w:rPr>
        <w:t>-</w:t>
      </w:r>
      <w:r>
        <w:rPr>
          <w:rFonts w:ascii="Times New Roman" w:hAnsi="Times New Roman"/>
          <w:bCs/>
          <w:noProof/>
          <w:sz w:val="24"/>
        </w:rPr>
        <w:tab/>
        <w:t xml:space="preserve"> Увеличаване на запасите от оборудване, за да се балансират междурегионалните различия и постепенно да се достигне средната стойност за Европейския съюз по отношение на броя на един милион жители, като се обърне специално внимание на районите на испанска територия, които са недостатъчно обслужвани на глава от населението в сравнение със средната стойност за страната.</w:t>
      </w:r>
    </w:p>
    <w:p>
      <w:pPr>
        <w:spacing w:before="120" w:after="120" w:line="240" w:lineRule="auto"/>
        <w:jc w:val="both"/>
        <w:rPr>
          <w:rFonts w:ascii="Times New Roman" w:hAnsi="Times New Roman" w:cs="Times New Roman"/>
          <w:bCs/>
          <w:noProof/>
          <w:sz w:val="24"/>
        </w:rPr>
      </w:pPr>
      <w:r>
        <w:rPr>
          <w:rFonts w:ascii="Times New Roman" w:hAnsi="Times New Roman"/>
          <w:bCs/>
          <w:noProof/>
          <w:sz w:val="24"/>
        </w:rPr>
        <w:t>Планът включва следните видове оборудване: линейни ускорители, компютризирана аксиална томография (CAT), включително ускорители за планиране;  магнитен резонанс, позитрон-емисионна томография (PET), позитрон-емисионна томография и ТВТ (PET-CAT), гама камера, цифрово оборудване за брахиотерапия, съдова ангиография, неврорадиологична ангиография и помещения за хемодинамика.</w:t>
      </w:r>
    </w:p>
    <w:p>
      <w:pPr>
        <w:spacing w:before="120" w:after="120" w:line="240" w:lineRule="auto"/>
        <w:jc w:val="both"/>
        <w:rPr>
          <w:rFonts w:ascii="Times New Roman" w:hAnsi="Times New Roman" w:cs="Times New Roman"/>
          <w:noProof/>
          <w:sz w:val="24"/>
        </w:rPr>
      </w:pPr>
      <w:r>
        <w:rPr>
          <w:rFonts w:ascii="Times New Roman" w:hAnsi="Times New Roman"/>
          <w:noProof/>
          <w:sz w:val="24"/>
        </w:rPr>
        <w:t>Изпълнението на инвестицията приключва до 31 декември 2023 г.</w:t>
      </w:r>
    </w:p>
    <w:p>
      <w:pPr>
        <w:spacing w:before="120" w:after="120" w:line="240" w:lineRule="auto"/>
        <w:jc w:val="both"/>
        <w:rPr>
          <w:rFonts w:ascii="Times New Roman" w:hAnsi="Times New Roman" w:cs="Times New Roman"/>
          <w:bCs/>
          <w:noProof/>
          <w:sz w:val="24"/>
          <w:u w:val="single"/>
        </w:rPr>
      </w:pPr>
      <w:r>
        <w:rPr>
          <w:rFonts w:ascii="Times New Roman" w:hAnsi="Times New Roman"/>
          <w:bCs/>
          <w:noProof/>
          <w:sz w:val="24"/>
          <w:u w:val="single"/>
        </w:rPr>
        <w:t>Инвестиции 2 (C18.I2) – Действия за засилване на профилактиката и промоцията на здравето</w:t>
      </w:r>
    </w:p>
    <w:p>
      <w:pPr>
        <w:spacing w:before="120" w:after="120" w:line="240" w:lineRule="auto"/>
        <w:jc w:val="both"/>
        <w:rPr>
          <w:rFonts w:ascii="Times New Roman" w:hAnsi="Times New Roman" w:cs="Times New Roman"/>
          <w:bCs/>
          <w:noProof/>
          <w:sz w:val="24"/>
        </w:rPr>
      </w:pPr>
      <w:r>
        <w:rPr>
          <w:rFonts w:ascii="Times New Roman" w:hAnsi="Times New Roman"/>
          <w:bCs/>
          <w:noProof/>
          <w:sz w:val="24"/>
        </w:rPr>
        <w:t>Целта на тази инвестиция е да се засилят превантивните грижи. Тя е съсредоточена по-специално върху насърчаването на здравословен начин на живот и среда. Той обхваща области като: борба с тютюнопушенето, превенция на консумацията на алкохол, насърчаване на психичното здраве, насърчаване на здравословни условия на живот и начин на живот, план за антимикробна резистентност и превенция на рака, включително разпространение на Европейския кодекс за борба с рака.</w:t>
      </w:r>
    </w:p>
    <w:p>
      <w:pPr>
        <w:spacing w:before="120" w:after="120" w:line="240" w:lineRule="auto"/>
        <w:jc w:val="both"/>
        <w:rPr>
          <w:rFonts w:ascii="Times New Roman" w:hAnsi="Times New Roman" w:cs="Times New Roman"/>
          <w:noProof/>
          <w:sz w:val="24"/>
        </w:rPr>
      </w:pPr>
      <w:r>
        <w:rPr>
          <w:rFonts w:ascii="Times New Roman" w:hAnsi="Times New Roman"/>
          <w:noProof/>
          <w:sz w:val="24"/>
        </w:rPr>
        <w:t>Изпълнението на инвестицията приключва до 31 декември 2023 г.</w:t>
      </w:r>
    </w:p>
    <w:p>
      <w:pPr>
        <w:spacing w:before="120" w:after="120" w:line="240" w:lineRule="auto"/>
        <w:jc w:val="both"/>
        <w:rPr>
          <w:rFonts w:ascii="Times New Roman" w:hAnsi="Times New Roman" w:cs="Times New Roman"/>
          <w:bCs/>
          <w:noProof/>
          <w:sz w:val="24"/>
          <w:u w:val="single"/>
        </w:rPr>
      </w:pPr>
      <w:r>
        <w:rPr>
          <w:rFonts w:ascii="Times New Roman" w:hAnsi="Times New Roman"/>
          <w:bCs/>
          <w:noProof/>
          <w:sz w:val="24"/>
          <w:u w:val="single"/>
        </w:rPr>
        <w:t>Инвестиция 3 (C18.I3) – Увеличаване на капацитета за реагиране при здравни кризи</w:t>
      </w:r>
    </w:p>
    <w:p>
      <w:pPr>
        <w:spacing w:before="120" w:after="120" w:line="240" w:lineRule="auto"/>
        <w:jc w:val="both"/>
        <w:rPr>
          <w:rFonts w:ascii="Times New Roman" w:hAnsi="Times New Roman" w:cs="Times New Roman"/>
          <w:bCs/>
          <w:noProof/>
          <w:sz w:val="24"/>
        </w:rPr>
      </w:pPr>
      <w:r>
        <w:rPr>
          <w:rFonts w:ascii="Times New Roman" w:hAnsi="Times New Roman"/>
          <w:bCs/>
          <w:noProof/>
          <w:sz w:val="24"/>
        </w:rPr>
        <w:t>Пандемията подчерта необходимостта от укрепване на капацитета за надзор, ранно откриване и бърза реакция при критични ситуации, както и необходимостта от укрепване на капацитета на лабораториите и здравните институции. Тези инвестиции се състоят от набор от действия, насочени към увеличаване на капацитета за реагиране при бъдещи здравни кризи:</w:t>
      </w:r>
    </w:p>
    <w:p>
      <w:pPr>
        <w:spacing w:before="120" w:after="120" w:line="240" w:lineRule="auto"/>
        <w:ind w:left="720"/>
        <w:jc w:val="both"/>
        <w:rPr>
          <w:rFonts w:ascii="Times New Roman" w:hAnsi="Times New Roman" w:cs="Times New Roman"/>
          <w:bCs/>
          <w:noProof/>
          <w:sz w:val="24"/>
        </w:rPr>
      </w:pPr>
      <w:r>
        <w:rPr>
          <w:rFonts w:ascii="Times New Roman" w:hAnsi="Times New Roman"/>
          <w:bCs/>
          <w:noProof/>
          <w:sz w:val="24"/>
        </w:rPr>
        <w:t>1. Оборудване за новия Държавен здравен център;</w:t>
      </w:r>
    </w:p>
    <w:p>
      <w:pPr>
        <w:spacing w:before="120" w:after="120" w:line="240" w:lineRule="auto"/>
        <w:ind w:left="720"/>
        <w:jc w:val="both"/>
        <w:rPr>
          <w:rFonts w:ascii="Times New Roman" w:hAnsi="Times New Roman" w:cs="Times New Roman"/>
          <w:bCs/>
          <w:noProof/>
          <w:sz w:val="24"/>
        </w:rPr>
      </w:pPr>
      <w:r>
        <w:rPr>
          <w:rFonts w:ascii="Times New Roman" w:hAnsi="Times New Roman"/>
          <w:bCs/>
          <w:noProof/>
          <w:sz w:val="24"/>
        </w:rPr>
        <w:t>2. Информационна система за наблюдение на общественото здраве, която разширява, подобрява и интегрира съществуващите информационни системи за заразни и незаразни болести в Испания;</w:t>
      </w:r>
    </w:p>
    <w:p>
      <w:pPr>
        <w:spacing w:before="120" w:after="120" w:line="240" w:lineRule="auto"/>
        <w:ind w:left="720"/>
        <w:jc w:val="both"/>
        <w:rPr>
          <w:rFonts w:ascii="Times New Roman" w:hAnsi="Times New Roman" w:cs="Times New Roman"/>
          <w:bCs/>
          <w:noProof/>
          <w:sz w:val="24"/>
        </w:rPr>
      </w:pPr>
      <w:r>
        <w:rPr>
          <w:rFonts w:ascii="Times New Roman" w:hAnsi="Times New Roman"/>
          <w:bCs/>
          <w:noProof/>
          <w:sz w:val="24"/>
        </w:rPr>
        <w:t>3. Завършване на университетската болница в Мелила и изграждане на новата сграда на Националния дозиметричен център;</w:t>
      </w:r>
    </w:p>
    <w:p>
      <w:pPr>
        <w:spacing w:before="120" w:after="120" w:line="240" w:lineRule="auto"/>
        <w:ind w:left="720"/>
        <w:jc w:val="both"/>
        <w:rPr>
          <w:rFonts w:ascii="Times New Roman" w:hAnsi="Times New Roman" w:cs="Times New Roman"/>
          <w:bCs/>
          <w:noProof/>
          <w:sz w:val="24"/>
        </w:rPr>
      </w:pPr>
      <w:r>
        <w:rPr>
          <w:rFonts w:ascii="Times New Roman" w:hAnsi="Times New Roman"/>
          <w:bCs/>
          <w:noProof/>
          <w:sz w:val="24"/>
        </w:rPr>
        <w:t>4. Увеличаване на капацитета на лабораторията за изпитване на индивидуални предпазни средства в Националния център за предпазни средства;</w:t>
      </w:r>
    </w:p>
    <w:p>
      <w:pPr>
        <w:spacing w:before="120" w:after="120" w:line="240" w:lineRule="auto"/>
        <w:ind w:left="720"/>
        <w:jc w:val="both"/>
        <w:rPr>
          <w:rFonts w:ascii="Times New Roman" w:hAnsi="Times New Roman" w:cs="Times New Roman"/>
          <w:bCs/>
          <w:noProof/>
          <w:sz w:val="24"/>
        </w:rPr>
      </w:pPr>
      <w:r>
        <w:rPr>
          <w:rFonts w:ascii="Times New Roman" w:hAnsi="Times New Roman"/>
          <w:bCs/>
          <w:noProof/>
          <w:sz w:val="24"/>
        </w:rPr>
        <w:t>5. Укрепване на Националния център за храни и лаборатории за биотоксини;</w:t>
      </w:r>
    </w:p>
    <w:p>
      <w:pPr>
        <w:spacing w:before="120" w:after="120" w:line="240" w:lineRule="auto"/>
        <w:ind w:left="720"/>
        <w:jc w:val="both"/>
        <w:rPr>
          <w:rFonts w:ascii="Times New Roman" w:hAnsi="Times New Roman" w:cs="Times New Roman"/>
          <w:bCs/>
          <w:noProof/>
          <w:sz w:val="24"/>
        </w:rPr>
      </w:pPr>
      <w:r>
        <w:rPr>
          <w:rFonts w:ascii="Times New Roman" w:hAnsi="Times New Roman"/>
          <w:bCs/>
          <w:noProof/>
          <w:sz w:val="24"/>
        </w:rPr>
        <w:t>6. Технологични инвестиции в Агенцията по лекарствата и Националната организация по трансплантация;</w:t>
      </w:r>
    </w:p>
    <w:p>
      <w:pPr>
        <w:spacing w:before="120" w:after="120" w:line="240" w:lineRule="auto"/>
        <w:ind w:left="720"/>
        <w:jc w:val="both"/>
        <w:rPr>
          <w:rFonts w:ascii="Times New Roman" w:hAnsi="Times New Roman" w:cs="Times New Roman"/>
          <w:bCs/>
          <w:noProof/>
          <w:sz w:val="24"/>
        </w:rPr>
      </w:pPr>
      <w:r>
        <w:rPr>
          <w:rFonts w:ascii="Times New Roman" w:hAnsi="Times New Roman"/>
          <w:bCs/>
          <w:noProof/>
          <w:sz w:val="24"/>
        </w:rPr>
        <w:t>7. Оценка на функционирането на националната здравна система по време на пандемията.</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Изпълнението на инвестицията приключва до 31 декември 2023 г. </w:t>
      </w:r>
    </w:p>
    <w:p>
      <w:pPr>
        <w:keepNext/>
        <w:spacing w:before="120" w:after="120" w:line="240" w:lineRule="auto"/>
        <w:jc w:val="both"/>
        <w:rPr>
          <w:rFonts w:ascii="Times New Roman" w:hAnsi="Times New Roman" w:cs="Times New Roman"/>
          <w:bCs/>
          <w:noProof/>
          <w:sz w:val="24"/>
          <w:u w:val="single"/>
        </w:rPr>
      </w:pPr>
      <w:r>
        <w:rPr>
          <w:rFonts w:ascii="Times New Roman" w:hAnsi="Times New Roman"/>
          <w:bCs/>
          <w:noProof/>
          <w:sz w:val="24"/>
          <w:u w:val="single"/>
        </w:rPr>
        <w:t>Инвестиция 4 (C18.I4) – Обучение на здравни специалисти и ресурси за споделяне на знания</w:t>
      </w:r>
    </w:p>
    <w:p>
      <w:pPr>
        <w:keepNext/>
        <w:tabs>
          <w:tab w:val="left" w:pos="1560"/>
        </w:tabs>
        <w:spacing w:before="120" w:after="120" w:line="240" w:lineRule="auto"/>
        <w:jc w:val="both"/>
        <w:rPr>
          <w:rFonts w:ascii="Times New Roman" w:hAnsi="Times New Roman" w:cs="Times New Roman"/>
          <w:bCs/>
          <w:noProof/>
          <w:sz w:val="24"/>
        </w:rPr>
      </w:pPr>
      <w:r>
        <w:rPr>
          <w:rFonts w:ascii="Times New Roman" w:hAnsi="Times New Roman"/>
          <w:bCs/>
          <w:noProof/>
          <w:sz w:val="24"/>
        </w:rPr>
        <w:t xml:space="preserve">Целта на тази инвестиция е да се укрепят уменията и компетентностите на здравните специалисти, като се обърне специално внимание на обучението, свързано с реформите и инвестициите по този компонент на испанския план за възстановяване и устойчивост. Тя също така има за цел да насърчава инструменти, които да дадат възможност на здравните специалисти да споделят знания с цел подобряване на координацията и качеството на здравните грижи, включително в приоритетните области, обхванати от този компонент. </w:t>
      </w:r>
    </w:p>
    <w:p>
      <w:pPr>
        <w:keepNext/>
        <w:tabs>
          <w:tab w:val="left" w:pos="1560"/>
        </w:tabs>
        <w:spacing w:before="120" w:after="120" w:line="240" w:lineRule="auto"/>
        <w:jc w:val="both"/>
        <w:rPr>
          <w:rFonts w:ascii="Times New Roman" w:hAnsi="Times New Roman" w:cs="Times New Roman"/>
          <w:bCs/>
          <w:noProof/>
          <w:sz w:val="24"/>
        </w:rPr>
      </w:pPr>
      <w:r>
        <w:rPr>
          <w:rFonts w:ascii="Times New Roman" w:hAnsi="Times New Roman"/>
          <w:bCs/>
          <w:noProof/>
          <w:sz w:val="24"/>
        </w:rPr>
        <w:t>Инвестицията обхваща четири области:</w:t>
      </w:r>
    </w:p>
    <w:p>
      <w:pPr>
        <w:numPr>
          <w:ilvl w:val="0"/>
          <w:numId w:val="87"/>
        </w:numPr>
        <w:spacing w:before="120" w:after="160" w:line="259" w:lineRule="auto"/>
        <w:contextualSpacing/>
        <w:jc w:val="both"/>
        <w:rPr>
          <w:rFonts w:ascii="Times New Roman" w:hAnsi="Times New Roman" w:cs="Times New Roman"/>
          <w:bCs/>
          <w:noProof/>
          <w:sz w:val="24"/>
          <w:szCs w:val="24"/>
        </w:rPr>
      </w:pPr>
      <w:r>
        <w:rPr>
          <w:rFonts w:ascii="Times New Roman" w:hAnsi="Times New Roman"/>
          <w:bCs/>
          <w:noProof/>
          <w:sz w:val="24"/>
          <w:szCs w:val="24"/>
        </w:rPr>
        <w:t>Текущо обучение в следните области: използване на здравни технологии и информационни системи, наблюдение на общественото здраве и епидемиологията, безопасността на пациентите и професионалната безопасност, рационално използване на диагностичните и терапевтичните ресурси, ранно откриване на ракови заболявания, психично здраве, опазване на околната среда, профилактика на рисковите фактори, ранно откриване на насилието, основано на пола, ранно откриване на насилие над деца, биоетика, грижи в края на живота, клинична комуникация, основана на факти медицина, работа в екип, научноизследователска методология, развитие на управленски умения на лицата, отговарящи за здравните центрове, обучение на инструктори по специализирано обучение в областта на здравеопазването.</w:t>
      </w:r>
    </w:p>
    <w:p>
      <w:pPr>
        <w:numPr>
          <w:ilvl w:val="0"/>
          <w:numId w:val="87"/>
        </w:numPr>
        <w:spacing w:before="120" w:after="160" w:line="259" w:lineRule="auto"/>
        <w:contextualSpacing/>
        <w:jc w:val="both"/>
        <w:rPr>
          <w:rFonts w:ascii="Times New Roman" w:hAnsi="Times New Roman" w:cs="Times New Roman"/>
          <w:bCs/>
          <w:noProof/>
          <w:sz w:val="24"/>
          <w:szCs w:val="24"/>
        </w:rPr>
      </w:pPr>
      <w:r>
        <w:rPr>
          <w:rFonts w:ascii="Times New Roman" w:hAnsi="Times New Roman"/>
          <w:bCs/>
          <w:noProof/>
          <w:sz w:val="24"/>
          <w:szCs w:val="24"/>
        </w:rPr>
        <w:t>Създаване на система за оценка и акредитиране на нерегулираните умения, придобити от специалистите от националната здравна система</w:t>
      </w:r>
    </w:p>
    <w:p>
      <w:pPr>
        <w:numPr>
          <w:ilvl w:val="0"/>
          <w:numId w:val="87"/>
        </w:numPr>
        <w:spacing w:before="120" w:after="160" w:line="259" w:lineRule="auto"/>
        <w:contextualSpacing/>
        <w:jc w:val="both"/>
        <w:rPr>
          <w:rFonts w:ascii="Times New Roman" w:hAnsi="Times New Roman" w:cs="Times New Roman"/>
          <w:bCs/>
          <w:noProof/>
          <w:sz w:val="24"/>
          <w:szCs w:val="24"/>
        </w:rPr>
      </w:pPr>
      <w:r>
        <w:rPr>
          <w:rFonts w:ascii="Times New Roman" w:hAnsi="Times New Roman"/>
          <w:bCs/>
          <w:noProof/>
          <w:sz w:val="24"/>
          <w:szCs w:val="24"/>
        </w:rPr>
        <w:t>Инструменти за сътрудничество за справяне с изключително сложни условия.</w:t>
      </w:r>
    </w:p>
    <w:p>
      <w:pPr>
        <w:numPr>
          <w:ilvl w:val="0"/>
          <w:numId w:val="87"/>
        </w:numPr>
        <w:spacing w:before="120" w:after="160" w:line="259" w:lineRule="auto"/>
        <w:contextualSpacing/>
        <w:jc w:val="both"/>
        <w:rPr>
          <w:rFonts w:ascii="Times New Roman" w:hAnsi="Times New Roman" w:cs="Times New Roman"/>
          <w:bCs/>
          <w:noProof/>
          <w:sz w:val="24"/>
          <w:szCs w:val="24"/>
        </w:rPr>
      </w:pPr>
      <w:r>
        <w:rPr>
          <w:rFonts w:ascii="Times New Roman" w:hAnsi="Times New Roman"/>
          <w:bCs/>
          <w:noProof/>
          <w:sz w:val="24"/>
          <w:szCs w:val="24"/>
        </w:rPr>
        <w:t>Разработване на компютризирано картографиране за визуализиране на споделени ресурси и услуги за ранна грижа и геномна медицина в Испания.</w:t>
      </w:r>
    </w:p>
    <w:p>
      <w:pPr>
        <w:spacing w:before="120" w:after="160" w:line="259" w:lineRule="auto"/>
        <w:ind w:left="720"/>
        <w:contextualSpacing/>
        <w:jc w:val="both"/>
        <w:rPr>
          <w:rFonts w:ascii="Times New Roman" w:hAnsi="Times New Roman" w:cs="Times New Roman"/>
          <w:bCs/>
          <w:noProof/>
          <w:sz w:val="24"/>
          <w:szCs w:val="24"/>
        </w:rPr>
      </w:pP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Изпълнението на инвестицията приключва до 31 декември 2023 г. </w:t>
      </w:r>
    </w:p>
    <w:p>
      <w:pPr>
        <w:spacing w:before="120" w:after="120" w:line="240" w:lineRule="auto"/>
        <w:jc w:val="both"/>
        <w:rPr>
          <w:rFonts w:ascii="Times New Roman" w:hAnsi="Times New Roman" w:cs="Times New Roman"/>
          <w:noProof/>
          <w:sz w:val="24"/>
          <w:u w:val="single"/>
        </w:rPr>
      </w:pPr>
      <w:r>
        <w:rPr>
          <w:rFonts w:ascii="Times New Roman" w:hAnsi="Times New Roman"/>
          <w:noProof/>
          <w:sz w:val="24"/>
          <w:u w:val="single"/>
        </w:rPr>
        <w:t>Инвестиция 5 (C18.I5) – План за рационализиране на потреблението на фармацевтични продукти и насърчаване на устойчивостта</w:t>
      </w:r>
    </w:p>
    <w:p>
      <w:pPr>
        <w:spacing w:before="120" w:after="120" w:line="240" w:lineRule="auto"/>
        <w:jc w:val="both"/>
        <w:rPr>
          <w:rFonts w:ascii="Times New Roman" w:hAnsi="Times New Roman" w:cs="Times New Roman"/>
          <w:bCs/>
          <w:noProof/>
          <w:sz w:val="24"/>
          <w:szCs w:val="24"/>
        </w:rPr>
      </w:pPr>
      <w:r>
        <w:rPr>
          <w:rFonts w:ascii="Times New Roman" w:hAnsi="Times New Roman"/>
          <w:bCs/>
          <w:noProof/>
          <w:sz w:val="24"/>
          <w:szCs w:val="24"/>
        </w:rPr>
        <w:t>Тази инвестиция се състои в изпълнението на план за рационализиране на използването на лекарства и медицински изделия. Планът има за цел постигането на следните цели:</w:t>
      </w:r>
    </w:p>
    <w:p>
      <w:pPr>
        <w:numPr>
          <w:ilvl w:val="0"/>
          <w:numId w:val="88"/>
        </w:numPr>
        <w:spacing w:before="120" w:after="160" w:line="259" w:lineRule="auto"/>
        <w:contextualSpacing/>
        <w:jc w:val="both"/>
        <w:rPr>
          <w:rFonts w:ascii="Times New Roman" w:hAnsi="Times New Roman" w:cs="Times New Roman"/>
          <w:bCs/>
          <w:noProof/>
          <w:sz w:val="24"/>
          <w:szCs w:val="24"/>
        </w:rPr>
      </w:pPr>
      <w:r>
        <w:rPr>
          <w:rFonts w:ascii="Times New Roman" w:hAnsi="Times New Roman"/>
          <w:noProof/>
          <w:sz w:val="24"/>
          <w:szCs w:val="24"/>
        </w:rPr>
        <w:t>да използват медицински продукти само когато са необходими и, ако се използват, да използват тези, които са икономически най-ефективни;</w:t>
      </w:r>
    </w:p>
    <w:p>
      <w:pPr>
        <w:numPr>
          <w:ilvl w:val="0"/>
          <w:numId w:val="88"/>
        </w:numPr>
        <w:spacing w:before="120" w:after="160" w:line="259" w:lineRule="auto"/>
        <w:contextualSpacing/>
        <w:jc w:val="both"/>
        <w:rPr>
          <w:rFonts w:ascii="Times New Roman" w:hAnsi="Times New Roman" w:cs="Times New Roman"/>
          <w:noProof/>
          <w:sz w:val="24"/>
          <w:szCs w:val="24"/>
        </w:rPr>
      </w:pPr>
      <w:r>
        <w:rPr>
          <w:rFonts w:ascii="Times New Roman" w:hAnsi="Times New Roman"/>
          <w:noProof/>
          <w:sz w:val="24"/>
          <w:szCs w:val="24"/>
        </w:rPr>
        <w:t xml:space="preserve">намаляване на полифармацията (над пет лекарства) и ненужната употреба на лекарства; </w:t>
      </w:r>
    </w:p>
    <w:p>
      <w:pPr>
        <w:numPr>
          <w:ilvl w:val="0"/>
          <w:numId w:val="88"/>
        </w:numPr>
        <w:spacing w:before="120" w:after="160" w:line="259" w:lineRule="auto"/>
        <w:contextualSpacing/>
        <w:jc w:val="both"/>
        <w:rPr>
          <w:rFonts w:ascii="Times New Roman" w:hAnsi="Times New Roman" w:cs="Times New Roman"/>
          <w:noProof/>
          <w:sz w:val="24"/>
          <w:szCs w:val="24"/>
        </w:rPr>
      </w:pPr>
      <w:r>
        <w:rPr>
          <w:rFonts w:ascii="Times New Roman" w:hAnsi="Times New Roman"/>
          <w:noProof/>
          <w:sz w:val="24"/>
          <w:szCs w:val="24"/>
        </w:rPr>
        <w:t>намаляване на клиничната несигурност, свързана с новите лекарства, чрез увеличаване на научните познания, подобряване на наличната информация и намаляване на финансовата несигурност.</w:t>
      </w:r>
    </w:p>
    <w:p>
      <w:pPr>
        <w:spacing w:before="120" w:after="160" w:line="259" w:lineRule="auto"/>
        <w:ind w:left="720"/>
        <w:contextualSpacing/>
        <w:jc w:val="both"/>
        <w:rPr>
          <w:rFonts w:ascii="Times New Roman" w:hAnsi="Times New Roman" w:cs="Times New Roman"/>
          <w:noProof/>
          <w:sz w:val="24"/>
          <w:szCs w:val="24"/>
        </w:rPr>
      </w:pPr>
    </w:p>
    <w:p>
      <w:pPr>
        <w:spacing w:before="120" w:after="120" w:line="240" w:lineRule="auto"/>
        <w:jc w:val="both"/>
        <w:rPr>
          <w:rFonts w:ascii="Times New Roman" w:hAnsi="Times New Roman" w:cs="Times New Roman"/>
          <w:bCs/>
          <w:noProof/>
          <w:sz w:val="24"/>
          <w:szCs w:val="24"/>
        </w:rPr>
      </w:pPr>
      <w:r>
        <w:rPr>
          <w:rFonts w:ascii="Times New Roman" w:hAnsi="Times New Roman"/>
          <w:bCs/>
          <w:noProof/>
          <w:sz w:val="24"/>
          <w:szCs w:val="24"/>
        </w:rPr>
        <w:t>Планът включва създаването или по-нататъшното разработване на три системи за подобряване на оценката на наркотиците и здравните технологии в Испания:</w:t>
      </w:r>
    </w:p>
    <w:p>
      <w:pPr>
        <w:numPr>
          <w:ilvl w:val="0"/>
          <w:numId w:val="90"/>
        </w:numPr>
        <w:spacing w:before="120" w:after="160" w:line="259" w:lineRule="auto"/>
        <w:contextualSpacing/>
        <w:jc w:val="both"/>
        <w:rPr>
          <w:rFonts w:ascii="Times New Roman" w:hAnsi="Times New Roman" w:cs="Times New Roman"/>
          <w:bCs/>
          <w:noProof/>
          <w:sz w:val="24"/>
          <w:szCs w:val="24"/>
        </w:rPr>
      </w:pPr>
      <w:r>
        <w:rPr>
          <w:rFonts w:ascii="Times New Roman" w:hAnsi="Times New Roman"/>
          <w:bCs/>
          <w:noProof/>
          <w:sz w:val="24"/>
          <w:szCs w:val="24"/>
        </w:rPr>
        <w:t>Създаване на Мрежа за оценка на лекарствата в националната здравна система: Разработва се технологична платформа за управление и споделяне на докладите за оценка и позициониране на лекарствата (в които се анализира добавената стойност на новите лекарства въз основа на тяхната разходна ефективност) в различните им етапи на разработване.</w:t>
      </w:r>
    </w:p>
    <w:p>
      <w:pPr>
        <w:numPr>
          <w:ilvl w:val="0"/>
          <w:numId w:val="90"/>
        </w:numPr>
        <w:spacing w:before="120" w:after="160" w:line="259" w:lineRule="auto"/>
        <w:contextualSpacing/>
        <w:jc w:val="both"/>
        <w:rPr>
          <w:rFonts w:ascii="Times New Roman" w:hAnsi="Times New Roman" w:cs="Times New Roman"/>
          <w:bCs/>
          <w:noProof/>
          <w:sz w:val="24"/>
          <w:szCs w:val="24"/>
        </w:rPr>
      </w:pPr>
      <w:r>
        <w:rPr>
          <w:rFonts w:ascii="Times New Roman" w:hAnsi="Times New Roman"/>
          <w:bCs/>
          <w:noProof/>
          <w:sz w:val="24"/>
          <w:szCs w:val="24"/>
        </w:rPr>
        <w:t>Разширяване на системата за медикаменти с голямо въздействие (VALTERMED). Този инструмент се основава на регистър на административните, клиничните и терапевтичните данни за проследяване и анализ на първоначалното състояние и развитие на пациентите след началото на фармакологичното лечение. Целта на този нов инструмент ще бъде интегрирана в информационните системи на автономните области и ще включва информация, свързана с въздействието на лекарствата върху качеството на живот на пациентите.</w:t>
      </w:r>
    </w:p>
    <w:p>
      <w:pPr>
        <w:numPr>
          <w:ilvl w:val="0"/>
          <w:numId w:val="90"/>
        </w:numPr>
        <w:spacing w:before="120" w:after="160" w:line="240" w:lineRule="auto"/>
        <w:contextualSpacing/>
        <w:jc w:val="both"/>
        <w:rPr>
          <w:rFonts w:ascii="Times New Roman" w:hAnsi="Times New Roman" w:cs="Times New Roman"/>
          <w:bCs/>
          <w:noProof/>
          <w:sz w:val="24"/>
          <w:szCs w:val="24"/>
        </w:rPr>
      </w:pPr>
      <w:r>
        <w:rPr>
          <w:rFonts w:ascii="Times New Roman" w:hAnsi="Times New Roman"/>
          <w:bCs/>
          <w:noProof/>
          <w:sz w:val="24"/>
          <w:szCs w:val="24"/>
        </w:rPr>
        <w:t>Създаване на Испанската мрежа на здравните технологии и грижи (RedETS). Тази мрежа играе ключова роля в предоставянето на научни и технически консултации за вземане на решения относно включването на здравни технологии и услуги в публичното финансиране. Технологичната платформа дава възможност за управление и споделяне на различните продукти на RedETS в различните им етапи на разработване сред агенциите/звената на мрежата, както и за наблюдение на спазването на сроковете, определени за всеки от етапите.</w:t>
      </w:r>
    </w:p>
    <w:p>
      <w:pPr>
        <w:spacing w:before="120" w:after="120" w:line="240" w:lineRule="auto"/>
        <w:contextualSpacing/>
        <w:jc w:val="both"/>
        <w:rPr>
          <w:rFonts w:ascii="Times New Roman" w:hAnsi="Times New Roman" w:cs="Times New Roman"/>
          <w:bCs/>
          <w:noProof/>
          <w:sz w:val="24"/>
          <w:szCs w:val="24"/>
        </w:rPr>
      </w:pPr>
      <w:r>
        <w:rPr>
          <w:rFonts w:ascii="Times New Roman" w:hAnsi="Times New Roman"/>
          <w:bCs/>
          <w:noProof/>
          <w:sz w:val="24"/>
          <w:szCs w:val="24"/>
        </w:rPr>
        <w:t>Инвестицията ще включва проекти, свързани с: насърчаване на употребата на генерични и биоподобни лекарства, разработване и модернизиране на ортопедични и протезни услуги и продукти, обучение на здравни специалисти относно рационалното използване на лекарства и решения за насърчаване на иновациите в областта на лекарствените продукти.</w:t>
      </w:r>
    </w:p>
    <w:p>
      <w:pPr>
        <w:spacing w:before="120" w:after="120" w:line="240" w:lineRule="auto"/>
        <w:jc w:val="both"/>
        <w:rPr>
          <w:rFonts w:ascii="Times New Roman" w:hAnsi="Times New Roman" w:cs="Times New Roman"/>
          <w:noProof/>
          <w:sz w:val="24"/>
        </w:rPr>
      </w:pPr>
      <w:r>
        <w:rPr>
          <w:rFonts w:ascii="Times New Roman" w:hAnsi="Times New Roman"/>
          <w:noProof/>
          <w:sz w:val="24"/>
        </w:rPr>
        <w:t>Изпълнението на инвестицията приключва до 31 декември 2023 г.</w:t>
      </w:r>
    </w:p>
    <w:p>
      <w:pPr>
        <w:spacing w:before="120" w:after="120" w:line="240" w:lineRule="auto"/>
        <w:jc w:val="both"/>
        <w:rPr>
          <w:rFonts w:ascii="Times New Roman" w:hAnsi="Times New Roman" w:cs="Times New Roman"/>
          <w:bCs/>
          <w:noProof/>
          <w:sz w:val="24"/>
          <w:szCs w:val="24"/>
          <w:u w:val="single"/>
        </w:rPr>
      </w:pPr>
      <w:r>
        <w:rPr>
          <w:rFonts w:ascii="Times New Roman" w:hAnsi="Times New Roman"/>
          <w:bCs/>
          <w:noProof/>
          <w:sz w:val="24"/>
          <w:szCs w:val="24"/>
          <w:u w:val="single"/>
        </w:rPr>
        <w:t>Инвестиция 6 (C18.I6) – Езеро със здравни данни</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Тази инвестиция се състои в създаването на езеро със здравни данни, което събира информация от различни информационни системи, включително регионални системи, с цел улесняване на масовия анализ на данни в реално време с цел подпомагане и подобряване на диагностиката и лечението, идентифициране на рисковите фактори, анализ на тенденциите, установяване на модели, прогнозиране на ситуации, свързани със здравни рискове, и програмиране на ресурсите за справяне с тях, включително използване на алгоритми за изкуствен интелект, както и нови системни архитектури и нови инструменти за обработка и идентифициране на модели.</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Изпълнението на инвестицията приключва до 31 декември 2023 г.</w:t>
      </w:r>
    </w:p>
    <w:p>
      <w:pPr>
        <w:spacing w:before="120" w:after="120" w:line="240" w:lineRule="auto"/>
        <w:ind w:left="709"/>
        <w:jc w:val="both"/>
        <w:rPr>
          <w:rFonts w:ascii="Times New Roman" w:hAnsi="Times New Roman" w:cs="Times New Roman"/>
          <w:b/>
          <w:noProof/>
          <w:sz w:val="24"/>
          <w:szCs w:val="24"/>
          <w:u w:val="single"/>
        </w:rPr>
      </w:pPr>
      <w:r>
        <w:rPr>
          <w:rFonts w:ascii="Times New Roman" w:hAnsi="Times New Roman"/>
          <w:b/>
          <w:noProof/>
          <w:sz w:val="24"/>
          <w:szCs w:val="24"/>
          <w:u w:val="single"/>
        </w:rPr>
        <w:t xml:space="preserve">С.2. </w:t>
      </w:r>
      <w:r>
        <w:rPr>
          <w:rFonts w:ascii="Times New Roman" w:hAnsi="Times New Roman"/>
          <w:b/>
          <w:noProof/>
          <w:sz w:val="24"/>
          <w:u w:val="single"/>
        </w:rPr>
        <w:tab/>
      </w:r>
      <w:r>
        <w:rPr>
          <w:rFonts w:ascii="Times New Roman" w:hAnsi="Times New Roman"/>
          <w:b/>
          <w:noProof/>
          <w:sz w:val="24"/>
          <w:szCs w:val="24"/>
          <w:u w:val="single"/>
        </w:rPr>
        <w:t>Ключови етапи, цели, показатели и график за мониторинг и изпълнение на безвъзмездната финансова подкрепа</w:t>
      </w:r>
    </w:p>
    <w:p>
      <w:pPr>
        <w:spacing w:before="120" w:after="120" w:line="240" w:lineRule="auto"/>
        <w:jc w:val="both"/>
        <w:rPr>
          <w:rFonts w:ascii="Times New Roman" w:hAnsi="Times New Roman" w:cs="Times New Roman"/>
          <w:noProof/>
          <w:color w:val="1F497D"/>
        </w:rPr>
      </w:pPr>
      <w:r>
        <w:rPr>
          <w:rFonts w:ascii="Times New Roman" w:hAnsi="Times New Roman"/>
          <w:i/>
          <w:noProof/>
          <w:color w:val="000000"/>
          <w:sz w:val="24"/>
          <w:szCs w:val="24"/>
        </w:rPr>
        <w:t>Вж. таблицата по-долу.</w:t>
      </w:r>
      <w:r>
        <w:rPr>
          <w:rFonts w:ascii="Times New Roman" w:hAnsi="Times New Roman"/>
          <w:noProof/>
          <w:color w:val="1F497D"/>
          <w:sz w:val="24"/>
          <w:szCs w:val="24"/>
        </w:rPr>
        <w:t xml:space="preserve"> </w:t>
      </w:r>
      <w:r>
        <w:rPr>
          <w:rFonts w:ascii="Times New Roman" w:hAnsi="Times New Roman"/>
          <w:i/>
          <w:noProof/>
          <w:color w:val="000000"/>
          <w:sz w:val="24"/>
          <w:szCs w:val="24"/>
        </w:rPr>
        <w:t>Датата на базовата линия за всички показатели е 1 февруари 2020 г., освен ако не е посочено друго в описанието на действието. Сумите в таблицата не включват ДДС.</w:t>
      </w:r>
    </w:p>
    <w:p>
      <w:pPr>
        <w:spacing w:before="120" w:after="120" w:line="240" w:lineRule="auto"/>
        <w:jc w:val="both"/>
        <w:rPr>
          <w:rFonts w:ascii="Times New Roman" w:hAnsi="Times New Roman" w:cs="Times New Roman"/>
          <w:noProof/>
          <w:sz w:val="24"/>
          <w:lang w:val="en-IE"/>
        </w:rPr>
        <w:sectPr>
          <w:headerReference w:type="even" r:id="rId223"/>
          <w:headerReference w:type="default" r:id="rId224"/>
          <w:footerReference w:type="even" r:id="rId225"/>
          <w:footerReference w:type="default" r:id="rId226"/>
          <w:headerReference w:type="first" r:id="rId227"/>
          <w:footerReference w:type="first" r:id="rId228"/>
          <w:pgSz w:w="11907" w:h="16839"/>
          <w:pgMar w:top="1134" w:right="1417" w:bottom="1134" w:left="1417" w:header="709" w:footer="709" w:gutter="0"/>
          <w:cols w:space="720"/>
          <w:docGrid w:linePitch="360"/>
        </w:sectPr>
      </w:pPr>
    </w:p>
    <w:tbl>
      <w:tblPr>
        <w:tblW w:w="15310"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09"/>
        <w:gridCol w:w="851"/>
        <w:gridCol w:w="850"/>
        <w:gridCol w:w="2835"/>
        <w:gridCol w:w="1276"/>
        <w:gridCol w:w="821"/>
        <w:gridCol w:w="630"/>
        <w:gridCol w:w="534"/>
        <w:gridCol w:w="276"/>
        <w:gridCol w:w="716"/>
        <w:gridCol w:w="5812"/>
      </w:tblGrid>
      <w:tr>
        <w:trPr>
          <w:trHeight w:val="309"/>
          <w:tblHeader/>
        </w:trPr>
        <w:tc>
          <w:tcPr>
            <w:tcW w:w="709"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szCs w:val="18"/>
              </w:rPr>
              <w:t>Номер</w:t>
            </w:r>
          </w:p>
        </w:tc>
        <w:tc>
          <w:tcPr>
            <w:tcW w:w="851"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szCs w:val="18"/>
              </w:rPr>
              <w:t>Мярка</w:t>
            </w:r>
          </w:p>
        </w:tc>
        <w:tc>
          <w:tcPr>
            <w:tcW w:w="850"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szCs w:val="18"/>
              </w:rPr>
              <w:t>Ключов етап / Цел</w:t>
            </w:r>
          </w:p>
        </w:tc>
        <w:tc>
          <w:tcPr>
            <w:tcW w:w="2835"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szCs w:val="18"/>
              </w:rPr>
              <w:t>Наименование</w:t>
            </w:r>
          </w:p>
        </w:tc>
        <w:tc>
          <w:tcPr>
            <w:tcW w:w="1276"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szCs w:val="18"/>
              </w:rPr>
              <w:t>Качествени показатели за ключовите етапи</w:t>
            </w:r>
          </w:p>
        </w:tc>
        <w:tc>
          <w:tcPr>
            <w:tcW w:w="1985" w:type="dxa"/>
            <w:gridSpan w:val="3"/>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szCs w:val="18"/>
              </w:rPr>
              <w:t>Количествени показатели за целите</w:t>
            </w:r>
          </w:p>
        </w:tc>
        <w:tc>
          <w:tcPr>
            <w:tcW w:w="992" w:type="dxa"/>
            <w:gridSpan w:val="2"/>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szCs w:val="18"/>
              </w:rPr>
              <w:t>Време</w:t>
            </w:r>
          </w:p>
        </w:tc>
        <w:tc>
          <w:tcPr>
            <w:tcW w:w="5812"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bCs/>
                <w:noProof/>
                <w:sz w:val="18"/>
                <w:szCs w:val="18"/>
              </w:rPr>
              <w:t>Описание на всеки ключов етап и всяка цел</w:t>
            </w:r>
          </w:p>
        </w:tc>
      </w:tr>
      <w:tr>
        <w:trPr>
          <w:trHeight w:val="309"/>
          <w:tblHeader/>
        </w:trPr>
        <w:tc>
          <w:tcPr>
            <w:tcW w:w="709"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851"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850"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2835" w:type="dxa"/>
            <w:tcBorders>
              <w:top w:val="nil"/>
            </w:tcBorders>
            <w:shd w:val="clear" w:color="auto" w:fill="C6D9F1" w:themeFill="text2" w:themeFillTint="33"/>
            <w:noWrap/>
          </w:tcPr>
          <w:p>
            <w:pPr>
              <w:spacing w:after="0" w:line="240" w:lineRule="auto"/>
              <w:rPr>
                <w:rFonts w:ascii="Times New Roman" w:hAnsi="Times New Roman" w:cs="Times New Roman"/>
                <w:b/>
                <w:noProof/>
                <w:color w:val="000000"/>
                <w:sz w:val="18"/>
                <w:szCs w:val="18"/>
              </w:rPr>
            </w:pPr>
          </w:p>
        </w:tc>
        <w:tc>
          <w:tcPr>
            <w:tcW w:w="1276"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821" w:type="dxa"/>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szCs w:val="18"/>
              </w:rPr>
              <w:t>Мерна единица</w:t>
            </w:r>
          </w:p>
        </w:tc>
        <w:tc>
          <w:tcPr>
            <w:tcW w:w="630" w:type="dxa"/>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szCs w:val="18"/>
              </w:rPr>
              <w:t>Базова линия</w:t>
            </w:r>
          </w:p>
        </w:tc>
        <w:tc>
          <w:tcPr>
            <w:tcW w:w="534" w:type="dxa"/>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szCs w:val="18"/>
              </w:rPr>
              <w:t>Цел</w:t>
            </w:r>
          </w:p>
        </w:tc>
        <w:tc>
          <w:tcPr>
            <w:tcW w:w="276" w:type="dxa"/>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szCs w:val="18"/>
              </w:rPr>
              <w:t>T</w:t>
            </w:r>
          </w:p>
        </w:tc>
        <w:tc>
          <w:tcPr>
            <w:tcW w:w="716" w:type="dxa"/>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szCs w:val="18"/>
              </w:rPr>
              <w:t>Година</w:t>
            </w:r>
          </w:p>
        </w:tc>
        <w:tc>
          <w:tcPr>
            <w:tcW w:w="5812" w:type="dxa"/>
            <w:tcBorders>
              <w:top w:val="nil"/>
            </w:tcBorders>
            <w:shd w:val="clear" w:color="auto" w:fill="C6D9F1" w:themeFill="text2" w:themeFillTint="33"/>
            <w:noWrap/>
          </w:tcPr>
          <w:p>
            <w:pPr>
              <w:spacing w:after="0" w:line="240" w:lineRule="auto"/>
              <w:rPr>
                <w:rFonts w:ascii="Times New Roman" w:hAnsi="Times New Roman" w:cs="Times New Roman"/>
                <w:b/>
                <w:noProof/>
                <w:color w:val="000000"/>
                <w:sz w:val="18"/>
                <w:szCs w:val="18"/>
                <w:lang w:val="en-IE"/>
              </w:rPr>
            </w:pP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273</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C18.R1</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2835"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szCs w:val="18"/>
              </w:rPr>
              <w:t>План за действие за първична медицинска помощ и грижи в общността</w:t>
            </w:r>
          </w:p>
        </w:tc>
        <w:tc>
          <w:tcPr>
            <w:tcW w:w="1276"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Одобрение от </w:t>
            </w:r>
            <w:r>
              <w:rPr>
                <w:rFonts w:ascii="Times New Roman" w:hAnsi="Times New Roman"/>
                <w:i/>
                <w:noProof/>
                <w:color w:val="000000"/>
                <w:sz w:val="18"/>
                <w:szCs w:val="18"/>
              </w:rPr>
              <w:t>Consejo Interterritorial</w:t>
            </w:r>
          </w:p>
        </w:tc>
        <w:tc>
          <w:tcPr>
            <w:tcW w:w="82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63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534"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276"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716"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2021</w:t>
            </w:r>
          </w:p>
        </w:tc>
        <w:tc>
          <w:tcPr>
            <w:tcW w:w="5812"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Основната цел на плана за действие е да се укрепи първичната медицинска помощ в националната здравна система, за да се предложат по-добри отговори на възникващи здравни проблеми, да се подобри индивидуалният опит в грижите за всички, да се предотврати заболяването и да се увеличи капацитетът на първичните здравни грижи за разрешаване на здравни проблеми.</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274</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C18.R2</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2835"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Одобряване на испанската стратегия за обществено здраве </w:t>
            </w:r>
          </w:p>
        </w:tc>
        <w:tc>
          <w:tcPr>
            <w:tcW w:w="1276"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Одобрение от </w:t>
            </w:r>
            <w:r>
              <w:rPr>
                <w:rFonts w:ascii="Times New Roman" w:hAnsi="Times New Roman"/>
                <w:i/>
                <w:noProof/>
                <w:color w:val="000000"/>
                <w:sz w:val="18"/>
                <w:szCs w:val="18"/>
              </w:rPr>
              <w:t>Consejo Interterritorial Sanidad</w:t>
            </w:r>
          </w:p>
        </w:tc>
        <w:tc>
          <w:tcPr>
            <w:tcW w:w="82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63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534"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276"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T2</w:t>
            </w:r>
          </w:p>
        </w:tc>
        <w:tc>
          <w:tcPr>
            <w:tcW w:w="716"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2022</w:t>
            </w:r>
          </w:p>
        </w:tc>
        <w:tc>
          <w:tcPr>
            <w:tcW w:w="5812"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Стратегията за обществено здраве определя стратегическите насоки за действията в областта на общественото здраве в цяла Испания. Целта на стратегията е да се подобри здравето на испанското население чрез определяне на основните насоки и приоритети, които да бъдат следвани от всички здравни администрации в техните политики за насърчаване, профилактика и опазване на общественото здраве, в действия, насочени към целевите групи от населението, при информиране на гражданите, обучение на специалисти и удовлетворяване на техните потребности. Стратегията гарантира, че общественото здраве и равният достъп до здравеопазване се вземат предвид във всички публични политики и улеснява междусекторните действия в тази област. Той е с продължителност пет години, като междинните оценки се извършват на всеки две години, през които се анализира степента на изпълнение. Тя включва мерки и действия във връзка с всички области на общественото здраве, които се прилагат в политиките, плановете и програмите на всички здравни администрации в Испания по време на срока на действие на стратегията, в сроковете, определени в стратегията.  </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275</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C18.R3</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2835"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Закон за справедливостта, универсалността и сближаването на националната здравна система</w:t>
            </w:r>
          </w:p>
        </w:tc>
        <w:tc>
          <w:tcPr>
            <w:tcW w:w="1276"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Дата на влизане в сила на закона:</w:t>
            </w:r>
          </w:p>
        </w:tc>
        <w:tc>
          <w:tcPr>
            <w:tcW w:w="82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63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534"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276"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716"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2023</w:t>
            </w:r>
          </w:p>
        </w:tc>
        <w:tc>
          <w:tcPr>
            <w:tcW w:w="5812"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Целите на закона и градивните елементи са: Осигуряване на достъп до здравеопазване за всички, включване на представители на пациентите в управителните органи на испанската национална здравна система, ограничаване на използването на нови доплащания, промяна на определението за социални и здравни ползи в портфейла на националната здравна система, осигуряване на координация между здравните и социалните органи и въвеждане на оценка на въздействието за всички регулаторни промени в областта и, накрая, реформиране на използването на фармацевтични продукти в националната здравна система. Този закон се придружава от задълбочена оценка на въздействието, която също се оповестява публично, като се проучва и въздействието му върху дългосрочната устойчивост на публичните финанси. </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276</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C18.R4</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2835"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Закон за рамковия статут на персонала на задължителните здравни служби.</w:t>
            </w:r>
          </w:p>
        </w:tc>
        <w:tc>
          <w:tcPr>
            <w:tcW w:w="1276"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Влизане в сила на изменението на закона</w:t>
            </w:r>
          </w:p>
        </w:tc>
        <w:tc>
          <w:tcPr>
            <w:tcW w:w="82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63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534"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276"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716"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2023</w:t>
            </w:r>
          </w:p>
        </w:tc>
        <w:tc>
          <w:tcPr>
            <w:tcW w:w="5812"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Рамковият статут е основната норма, която урежда достъпа до статута на здравен служител и урежда предоставянето на длъжности, повишаването в длъжност, мобилността и условията на труд. Изменението има следните цели:</w:t>
            </w:r>
            <w:r>
              <w:rPr>
                <w:rFonts w:ascii="Times New Roman" w:hAnsi="Times New Roman"/>
                <w:noProof/>
                <w:color w:val="000000"/>
                <w:sz w:val="18"/>
                <w:szCs w:val="18"/>
              </w:rPr>
              <w:br/>
              <w:t>- Намаляване на временните договори.</w:t>
            </w:r>
            <w:r>
              <w:rPr>
                <w:rFonts w:ascii="Times New Roman" w:hAnsi="Times New Roman"/>
                <w:noProof/>
                <w:color w:val="000000"/>
                <w:sz w:val="18"/>
                <w:szCs w:val="18"/>
              </w:rPr>
              <w:br/>
              <w:t>- Гарантиране разполагането на специалисти в определени географски райони, които не са достатъчно добре обслужени чрез мерки за стимулиране.</w:t>
            </w:r>
            <w:r>
              <w:rPr>
                <w:rFonts w:ascii="Times New Roman" w:hAnsi="Times New Roman"/>
                <w:noProof/>
                <w:color w:val="000000"/>
                <w:sz w:val="18"/>
                <w:szCs w:val="18"/>
              </w:rPr>
              <w:br/>
              <w:t>- Подобряване на околната среда и условията на труд чрез мерки, които допринасят за професионалното развитие и задържат талантите в испанската система, с подобрения не само по отношение на икономическите условия, но и чрез разкриване на възможности в областта на здравеопазването, преподаването и научните изследвания.</w:t>
            </w:r>
            <w:r>
              <w:rPr>
                <w:rFonts w:ascii="Times New Roman" w:hAnsi="Times New Roman"/>
                <w:noProof/>
                <w:color w:val="000000"/>
                <w:sz w:val="18"/>
                <w:szCs w:val="18"/>
              </w:rPr>
              <w:br/>
              <w:t>Този закон се придружава от задълбочена оценка на въздействието, в която се проучва и въздействието му върху дългосрочната устойчивост на публичните финанси.</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277</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C18.R5</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2835"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Закон за гаранциите и рационалното използване на медицински продукти</w:t>
            </w:r>
          </w:p>
        </w:tc>
        <w:tc>
          <w:tcPr>
            <w:tcW w:w="1276"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Дата на влизане в сила на закона:</w:t>
            </w:r>
          </w:p>
        </w:tc>
        <w:tc>
          <w:tcPr>
            <w:tcW w:w="82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63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534"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276"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716"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2023</w:t>
            </w:r>
          </w:p>
        </w:tc>
        <w:tc>
          <w:tcPr>
            <w:tcW w:w="5812" w:type="dxa"/>
            <w:shd w:val="clear" w:color="auto" w:fill="C6EFCE"/>
            <w:noWrap/>
          </w:tcPr>
          <w:p>
            <w:pPr>
              <w:spacing w:after="0" w:line="240" w:lineRule="auto"/>
              <w:rPr>
                <w:rFonts w:ascii="Times New Roman" w:hAnsi="Times New Roman"/>
                <w:noProof/>
                <w:color w:val="000000"/>
                <w:sz w:val="18"/>
                <w:szCs w:val="18"/>
              </w:rPr>
            </w:pPr>
            <w:r>
              <w:rPr>
                <w:rFonts w:ascii="Times New Roman" w:hAnsi="Times New Roman"/>
                <w:noProof/>
                <w:color w:val="000000"/>
                <w:sz w:val="18"/>
                <w:szCs w:val="18"/>
              </w:rPr>
              <w:t xml:space="preserve">Влизане в сила на Закона за гаранциите и рационалното използване на медицинските продукти. Някои от основните цели на тази правна реформа са: </w:t>
            </w:r>
            <w:r>
              <w:rPr>
                <w:rFonts w:ascii="Times New Roman" w:hAnsi="Times New Roman"/>
                <w:noProof/>
                <w:color w:val="000000"/>
                <w:sz w:val="18"/>
                <w:szCs w:val="18"/>
              </w:rPr>
              <w:br/>
              <w:t>- Изменение на системата на референтните цени чрез въвеждане на елементи, които увеличават конкуренцията.</w:t>
            </w:r>
            <w:r>
              <w:rPr>
                <w:rFonts w:ascii="Times New Roman" w:hAnsi="Times New Roman"/>
                <w:noProof/>
                <w:color w:val="000000"/>
                <w:sz w:val="18"/>
                <w:szCs w:val="18"/>
              </w:rPr>
              <w:br/>
              <w:t>- Консолидиране на дистанционното предоставяне на лекарства.</w:t>
            </w:r>
            <w:r>
              <w:rPr>
                <w:rFonts w:ascii="Times New Roman" w:hAnsi="Times New Roman"/>
                <w:noProof/>
                <w:color w:val="000000"/>
                <w:sz w:val="18"/>
                <w:szCs w:val="18"/>
              </w:rPr>
              <w:br/>
              <w:t>- Даване на възможност на складовете за лекарства на социално-санитарните центрове да бъдат свързани с фармацевтичните услуги за първична медицинска помощ.</w:t>
            </w:r>
          </w:p>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Позволяване на свързването на складовете за лекарства на социално-санитарните центрове с фармацевтичните услуги за първична медицинска помощ.</w:t>
            </w:r>
            <w:r>
              <w:rPr>
                <w:rFonts w:ascii="Times New Roman" w:hAnsi="Times New Roman"/>
                <w:noProof/>
                <w:color w:val="000000"/>
                <w:sz w:val="18"/>
                <w:szCs w:val="18"/>
              </w:rPr>
              <w:br/>
              <w:t>- Изясняване на компетенциите по отношение на контрола върху рекламата на наркотици.</w:t>
            </w:r>
            <w:r>
              <w:rPr>
                <w:rFonts w:ascii="Times New Roman" w:hAnsi="Times New Roman"/>
                <w:noProof/>
                <w:color w:val="000000"/>
                <w:sz w:val="18"/>
                <w:szCs w:val="18"/>
              </w:rPr>
              <w:br/>
              <w:t>- Промяна на ставките, прилагани от Агенцията по лекарствата.</w:t>
            </w:r>
            <w:r>
              <w:rPr>
                <w:rFonts w:ascii="Times New Roman" w:hAnsi="Times New Roman"/>
                <w:noProof/>
                <w:color w:val="000000"/>
                <w:sz w:val="18"/>
                <w:szCs w:val="18"/>
              </w:rPr>
              <w:br/>
              <w:t>- Промяна и актуализиране на процедурата за налагане на санкции и нарушенията.</w:t>
            </w:r>
            <w:r>
              <w:rPr>
                <w:rFonts w:ascii="Times New Roman" w:hAnsi="Times New Roman"/>
                <w:noProof/>
                <w:color w:val="000000"/>
                <w:sz w:val="18"/>
                <w:szCs w:val="18"/>
              </w:rPr>
              <w:br/>
              <w:t>Този закон се придружава от задълбочена оценка на въздействието, в която се проучва и въздействието му върху дългосрочната устойчивост на публичните финанси.</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278</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C18.I1</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2835"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Одобряване на инвестиционния план за оборудване и разпределение на средствата </w:t>
            </w:r>
          </w:p>
        </w:tc>
        <w:tc>
          <w:tcPr>
            <w:tcW w:w="1276"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Одобрение от </w:t>
            </w:r>
            <w:r>
              <w:rPr>
                <w:rFonts w:ascii="Times New Roman" w:hAnsi="Times New Roman"/>
                <w:i/>
                <w:noProof/>
                <w:color w:val="000000"/>
                <w:sz w:val="18"/>
                <w:szCs w:val="18"/>
              </w:rPr>
              <w:t>Consejo Interterritorial Sanidad</w:t>
            </w:r>
          </w:p>
        </w:tc>
        <w:tc>
          <w:tcPr>
            <w:tcW w:w="82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63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5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276"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Q4</w:t>
            </w:r>
          </w:p>
        </w:tc>
        <w:tc>
          <w:tcPr>
            <w:tcW w:w="716"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2021</w:t>
            </w:r>
          </w:p>
        </w:tc>
        <w:tc>
          <w:tcPr>
            <w:tcW w:w="5812"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szCs w:val="18"/>
              </w:rPr>
              <w:t xml:space="preserve">Одобрение от </w:t>
            </w:r>
            <w:r>
              <w:rPr>
                <w:rFonts w:ascii="Times New Roman" w:hAnsi="Times New Roman"/>
                <w:i/>
                <w:noProof/>
                <w:color w:val="000000"/>
                <w:sz w:val="18"/>
                <w:szCs w:val="18"/>
              </w:rPr>
              <w:t>Consejo Interterritorial</w:t>
            </w:r>
            <w:r>
              <w:rPr>
                <w:rFonts w:ascii="Times New Roman" w:hAnsi="Times New Roman"/>
                <w:noProof/>
                <w:color w:val="000000"/>
                <w:sz w:val="18"/>
                <w:szCs w:val="18"/>
              </w:rPr>
              <w:t xml:space="preserve"> на плана и разпределението на средствата, като се определят механизми за отпускане на безвъзмездни средства в размер на 796 100 000 EUR. </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279</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C18.I1</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w:t>
            </w:r>
          </w:p>
        </w:tc>
        <w:tc>
          <w:tcPr>
            <w:tcW w:w="2835"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Инсталиране/подновяване/разширение на устройствата за оборудване </w:t>
            </w:r>
          </w:p>
        </w:tc>
        <w:tc>
          <w:tcPr>
            <w:tcW w:w="1276"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w:t>
            </w:r>
          </w:p>
        </w:tc>
        <w:tc>
          <w:tcPr>
            <w:tcW w:w="82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Номер</w:t>
            </w:r>
          </w:p>
        </w:tc>
        <w:tc>
          <w:tcPr>
            <w:tcW w:w="63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0</w:t>
            </w:r>
          </w:p>
        </w:tc>
        <w:tc>
          <w:tcPr>
            <w:tcW w:w="534"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750</w:t>
            </w:r>
          </w:p>
        </w:tc>
        <w:tc>
          <w:tcPr>
            <w:tcW w:w="276"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716"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2023</w:t>
            </w:r>
          </w:p>
        </w:tc>
        <w:tc>
          <w:tcPr>
            <w:tcW w:w="5812"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Въвеждане в експлоатация на най-малко 750 нови устройства за оборудване чрез подновяване, разширяване или нови инсталации в цялата страна.</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280</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C18.I2</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w:t>
            </w:r>
          </w:p>
        </w:tc>
        <w:tc>
          <w:tcPr>
            <w:tcW w:w="2835"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Кампании и действия в областта на общественото здраве</w:t>
            </w:r>
          </w:p>
        </w:tc>
        <w:tc>
          <w:tcPr>
            <w:tcW w:w="1276"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w:t>
            </w:r>
          </w:p>
        </w:tc>
        <w:tc>
          <w:tcPr>
            <w:tcW w:w="82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Номер</w:t>
            </w:r>
          </w:p>
        </w:tc>
        <w:tc>
          <w:tcPr>
            <w:tcW w:w="63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0</w:t>
            </w:r>
          </w:p>
        </w:tc>
        <w:tc>
          <w:tcPr>
            <w:tcW w:w="534"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11</w:t>
            </w:r>
          </w:p>
        </w:tc>
        <w:tc>
          <w:tcPr>
            <w:tcW w:w="276"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716"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2023</w:t>
            </w:r>
          </w:p>
        </w:tc>
        <w:tc>
          <w:tcPr>
            <w:tcW w:w="5812"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Проведени са най-малко 11 кампании за разпространение или скрининг в областта на общественото здраве в области като: борба с тютюнопушенето, превенция на консумацията на алкохол, насърчаване на психичното здраве, насърчаване на здравословни условия на живот и начин на живот, план за антимикробна резистентност и превенция на рака, включително разпространение на Европейския кодекс за борба с рака.  Кампаниите са на национално равнище. Разпространението се извършва чрез радио, печатни медии, интернет, директен маркетинг и дейности на открито.</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281</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C18.I3</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2835"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Информационна система на мрежата за наблюдение на общественото здраве</w:t>
            </w:r>
          </w:p>
        </w:tc>
        <w:tc>
          <w:tcPr>
            <w:tcW w:w="1276"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Сертификат за пускане в експлоатация</w:t>
            </w:r>
          </w:p>
        </w:tc>
        <w:tc>
          <w:tcPr>
            <w:tcW w:w="82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63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534"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276"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716"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2023</w:t>
            </w:r>
          </w:p>
        </w:tc>
        <w:tc>
          <w:tcPr>
            <w:tcW w:w="5812"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Функционира система за наблюдение на държавата и автономните области (Мрежа за наблюдение на общественото здраве), за да се даде възможност за ранно предупреждение и бърза реакция, за да се открият проблеми, които могат да представляват риск за здравето, да се разпространява информация от компетентните органи и да се улесни прилагането на мерките за контрол.</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282</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C18.I4</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w:t>
            </w:r>
          </w:p>
        </w:tc>
        <w:tc>
          <w:tcPr>
            <w:tcW w:w="2835"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Медицински специалисти, обучени в рамките на планове за продължаващо образование </w:t>
            </w:r>
          </w:p>
        </w:tc>
        <w:tc>
          <w:tcPr>
            <w:tcW w:w="1276"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w:t>
            </w:r>
          </w:p>
        </w:tc>
        <w:tc>
          <w:tcPr>
            <w:tcW w:w="82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Номер</w:t>
            </w:r>
          </w:p>
        </w:tc>
        <w:tc>
          <w:tcPr>
            <w:tcW w:w="63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0</w:t>
            </w:r>
          </w:p>
        </w:tc>
        <w:tc>
          <w:tcPr>
            <w:tcW w:w="534"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90 000</w:t>
            </w:r>
          </w:p>
        </w:tc>
        <w:tc>
          <w:tcPr>
            <w:tcW w:w="276"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716"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2023</w:t>
            </w:r>
          </w:p>
        </w:tc>
        <w:tc>
          <w:tcPr>
            <w:tcW w:w="5812"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Най-малко 90 000 здравни специалисти са завършили общо 360 000 кредита за продължаващо образование (CEC), равняващи се на общо 3,6 милиона часа обучение в рамките на планове за продължаващо образование, разработени в съответствие с приоритетите, установени в определението на C18.I4. Обученията обхващат: Използването на здравни технологии и информационни системи, наблюдението и епидемиологията на общественото здраве, безопасността на пациентите и професионалната безопасност, рационалното използване на диагностичните и терапевтичните ресурси, ранното откриване на рака, психичното здраве, здравето на околната среда, профилактиката на рисковите фактори, ранното откриване на основано на пола насилие, ранното откриване на малтретиране на деца, биоетиката, клиничната комуникация, основаната на доказателства медицина, работата с други лица, методите на разследване, развитието на управленските компетентности на ръководителите на здравни институции и обучението на наставниците за специализирано обучение в областта на здравеопазването. Проведени са обучения под формата на обучение в класна стая, онлайн и смесени формати за обучение, които са завършени от квалифицирани здравни специалисти и специалисти в областта на здравното обслужване в областта на професионалното обучение.</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283</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C18.I5</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2835"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Система VALTERMED и платформа за оценка на здравните технологии и ползи от националната здравна система </w:t>
            </w:r>
          </w:p>
        </w:tc>
        <w:tc>
          <w:tcPr>
            <w:tcW w:w="1276"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Сертификат за пускане в експлоатация</w:t>
            </w:r>
          </w:p>
        </w:tc>
        <w:tc>
          <w:tcPr>
            <w:tcW w:w="82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63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534"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276"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716"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2023</w:t>
            </w:r>
          </w:p>
        </w:tc>
        <w:tc>
          <w:tcPr>
            <w:tcW w:w="5812"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Функционира мрежата между Министерството на здравеопазването и автономните региони за оценка на лекарствените продукти, функционира системата VALTERMED и е създадена платформа за Испанската мрежа от агенции за оценка на здравните технологии и ползите от националната здравна система (SNS REDETS).</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284</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C18.I6</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w:t>
            </w:r>
          </w:p>
        </w:tc>
        <w:tc>
          <w:tcPr>
            <w:tcW w:w="2835"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Езерото със здравни данни функционира </w:t>
            </w:r>
          </w:p>
        </w:tc>
        <w:tc>
          <w:tcPr>
            <w:tcW w:w="1276"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w:t>
            </w:r>
          </w:p>
        </w:tc>
        <w:tc>
          <w:tcPr>
            <w:tcW w:w="82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Номер</w:t>
            </w:r>
          </w:p>
        </w:tc>
        <w:tc>
          <w:tcPr>
            <w:tcW w:w="63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0</w:t>
            </w:r>
          </w:p>
        </w:tc>
        <w:tc>
          <w:tcPr>
            <w:tcW w:w="534"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17</w:t>
            </w:r>
          </w:p>
        </w:tc>
        <w:tc>
          <w:tcPr>
            <w:tcW w:w="276"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716"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2023</w:t>
            </w:r>
          </w:p>
        </w:tc>
        <w:tc>
          <w:tcPr>
            <w:tcW w:w="5812"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Езерото със здравни данни функционира за държавата и включва най-малко 17 автономни региона или града с цел да се даде възможност за извършване на масов анализ на данните с цел идентифициране и подобряване на диагностиката и лечението.</w:t>
            </w:r>
          </w:p>
        </w:tc>
      </w:tr>
    </w:tbl>
    <w:p>
      <w:pPr>
        <w:spacing w:before="120" w:after="120" w:line="240" w:lineRule="auto"/>
        <w:ind w:left="709"/>
        <w:jc w:val="both"/>
        <w:rPr>
          <w:rFonts w:ascii="Times New Roman" w:hAnsi="Times New Roman" w:cs="Times New Roman"/>
          <w:noProof/>
          <w:sz w:val="24"/>
          <w:szCs w:val="24"/>
        </w:rPr>
        <w:sectPr>
          <w:headerReference w:type="even" r:id="rId229"/>
          <w:headerReference w:type="default" r:id="rId230"/>
          <w:footerReference w:type="even" r:id="rId231"/>
          <w:footerReference w:type="default" r:id="rId232"/>
          <w:headerReference w:type="first" r:id="rId233"/>
          <w:footerReference w:type="first" r:id="rId234"/>
          <w:pgSz w:w="16839" w:h="11907" w:orient="landscape"/>
          <w:pgMar w:top="1417" w:right="1134" w:bottom="1417" w:left="1134" w:header="709" w:footer="709" w:gutter="0"/>
          <w:cols w:space="720"/>
          <w:docGrid w:linePitch="360"/>
        </w:sectPr>
      </w:pPr>
    </w:p>
    <w:p>
      <w:pPr>
        <w:pStyle w:val="Heading1"/>
        <w:rPr>
          <w:noProof/>
        </w:rPr>
      </w:pPr>
      <w:r>
        <w:rPr>
          <w:noProof/>
        </w:rPr>
        <w:t>Т. КОМПОНЕНТ 19: Умения в областта на цифровите технологии</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Основната цел на този компонент на испанския план за възстановяване и устойчивост е да се повиши равнището на цифровите умения (основни и задълбочени) чрез действия, насочени към различни групи от населението. Придобиването на тези умения е от ключово значение, за да може Испания да се възползва от възможностите, предлагани от засилената цифровизация на икономиката и обществото.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Целенасочените действия за цифровизацията на МСП допълват мерките, предвидени в раздел 13 от плана (Подкрепа за МСП). Действията за увеличаване на броя на висококвалифицираните лица в областта на ИКТ допълват действията по компонент 15 (Цифрова свързаност). И накрая, действията за цифровизация на училищата следва да засилят мерките по раздел 21 (Образование) и да увеличат въздействието на действията, предвидени в компонент 23 (пазар на труда).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Компонентът е насочен към специфичните за всяка държава препоръки относно насърчаването на иновациите (специфична за всяка държава препоръка 3 2019 г.), достъпа до цифрово обучение (специфична препоръка за отделните държави 2 2020 г.) и съсредоточаването на инвестициите върху екологичния и цифровия преход (специфична за всяка държава препоръка 3 2020 г.).</w:t>
      </w:r>
    </w:p>
    <w:p>
      <w:pPr>
        <w:spacing w:before="120" w:after="120" w:line="240" w:lineRule="auto"/>
        <w:jc w:val="both"/>
        <w:rPr>
          <w:rFonts w:ascii="Times New Roman" w:hAnsi="Times New Roman" w:cs="Times New Roman"/>
          <w:noProof/>
          <w:sz w:val="24"/>
          <w:szCs w:val="24"/>
        </w:rPr>
      </w:pPr>
      <w:r>
        <w:rPr>
          <w:rFonts w:ascii="Times New Roman" w:hAnsi="Times New Roman"/>
          <w:noProof/>
          <w:color w:val="000000" w:themeColor="text1"/>
          <w:sz w:val="24"/>
          <w:szCs w:val="24"/>
        </w:rPr>
        <w:t>Очаква се, че нито една мярка в този компонент не вреди в значителна степен на екологичните цели по смисъла на член 17 от Регламент (ЕС) 2020/852, като се вземат предвид описанието на мерките и стъпките за смекчаване на последиците, определени в плана за възстановяване и устойчивост в съответствие с Техническите насоки за спазването на „принципа за ненанасяне на съществена вреда“ (2021/C58/01).</w:t>
      </w:r>
    </w:p>
    <w:p>
      <w:pPr>
        <w:spacing w:before="120" w:after="120" w:line="240" w:lineRule="auto"/>
        <w:ind w:left="709"/>
        <w:jc w:val="both"/>
        <w:rPr>
          <w:rFonts w:ascii="Times New Roman" w:hAnsi="Times New Roman" w:cs="Times New Roman"/>
          <w:b/>
          <w:i/>
          <w:noProof/>
          <w:color w:val="4F81BD" w:themeColor="accent1"/>
          <w:sz w:val="24"/>
          <w:szCs w:val="24"/>
        </w:rPr>
      </w:pPr>
      <w:r>
        <w:rPr>
          <w:rFonts w:ascii="Times New Roman" w:hAnsi="Times New Roman"/>
          <w:b/>
          <w:noProof/>
          <w:sz w:val="24"/>
          <w:szCs w:val="24"/>
          <w:u w:val="single"/>
        </w:rPr>
        <w:t xml:space="preserve">Т.1. </w:t>
      </w:r>
      <w:r>
        <w:rPr>
          <w:rFonts w:ascii="Times New Roman" w:hAnsi="Times New Roman"/>
          <w:b/>
          <w:noProof/>
          <w:sz w:val="24"/>
          <w:u w:val="single"/>
        </w:rPr>
        <w:tab/>
      </w:r>
      <w:r>
        <w:rPr>
          <w:rFonts w:ascii="Times New Roman" w:hAnsi="Times New Roman"/>
          <w:b/>
          <w:noProof/>
          <w:sz w:val="24"/>
          <w:szCs w:val="24"/>
          <w:u w:val="single"/>
        </w:rPr>
        <w:t>Описание на реформите и инвестициите за безвъзмездна финансова подкрепа</w:t>
      </w:r>
    </w:p>
    <w:p>
      <w:pPr>
        <w:spacing w:before="120" w:after="120" w:line="240" w:lineRule="auto"/>
        <w:jc w:val="both"/>
        <w:rPr>
          <w:rFonts w:ascii="Times New Roman" w:hAnsi="Times New Roman" w:cs="Times New Roman"/>
          <w:noProof/>
          <w:sz w:val="24"/>
          <w:szCs w:val="24"/>
          <w:u w:val="single"/>
        </w:rPr>
      </w:pPr>
      <w:r>
        <w:rPr>
          <w:rFonts w:ascii="Times New Roman" w:hAnsi="Times New Roman"/>
          <w:noProof/>
          <w:sz w:val="24"/>
          <w:szCs w:val="24"/>
          <w:u w:val="single"/>
        </w:rPr>
        <w:t>Реформа 1 (C19.R1) – Национален план за цифрови компетентности</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Тази мярка се състои от стратегически план, който има за цел: </w:t>
      </w:r>
      <w:r>
        <w:rPr>
          <w:rFonts w:ascii="Times New Roman" w:hAnsi="Times New Roman"/>
          <w:noProof/>
          <w:sz w:val="24"/>
          <w:szCs w:val="24"/>
          <w:lang w:val="fr-BE"/>
        </w:rPr>
        <w:t>i</w:t>
      </w:r>
      <w:r>
        <w:rPr>
          <w:rFonts w:ascii="Times New Roman" w:hAnsi="Times New Roman"/>
          <w:noProof/>
          <w:sz w:val="24"/>
          <w:szCs w:val="24"/>
        </w:rPr>
        <w:t xml:space="preserve">) предоставяне на обучение за придобиване на цифрови умения за населението като цяло; </w:t>
      </w:r>
      <w:r>
        <w:rPr>
          <w:rFonts w:ascii="Times New Roman" w:hAnsi="Times New Roman"/>
          <w:noProof/>
          <w:sz w:val="24"/>
          <w:szCs w:val="24"/>
          <w:lang w:val="fr-BE"/>
        </w:rPr>
        <w:t>ii</w:t>
      </w:r>
      <w:r>
        <w:rPr>
          <w:rFonts w:ascii="Times New Roman" w:hAnsi="Times New Roman"/>
          <w:noProof/>
          <w:sz w:val="24"/>
          <w:szCs w:val="24"/>
        </w:rPr>
        <w:t xml:space="preserve">) преодоляване на цифровото разделение между половете; </w:t>
      </w:r>
      <w:r>
        <w:rPr>
          <w:rFonts w:ascii="Times New Roman" w:hAnsi="Times New Roman"/>
          <w:noProof/>
          <w:sz w:val="24"/>
          <w:szCs w:val="24"/>
          <w:lang w:val="fr-BE"/>
        </w:rPr>
        <w:t>iii</w:t>
      </w:r>
      <w:r>
        <w:rPr>
          <w:rFonts w:ascii="Times New Roman" w:hAnsi="Times New Roman"/>
          <w:noProof/>
          <w:sz w:val="24"/>
          <w:szCs w:val="24"/>
        </w:rPr>
        <w:t>) цифровизиране на образователната система и развиване на цифрови умения за учене; iv) предоставяне на цифрови умения за по-добра пригодност за заетост на частните работници и безработните, v) подкрепа за цифровите умения на работещите в публичния сектор; v</w:t>
      </w:r>
      <w:r>
        <w:rPr>
          <w:rFonts w:ascii="Times New Roman" w:hAnsi="Times New Roman"/>
          <w:noProof/>
          <w:sz w:val="24"/>
          <w:szCs w:val="24"/>
          <w:lang w:val="fr-BE"/>
        </w:rPr>
        <w:t>i</w:t>
      </w:r>
      <w:r>
        <w:rPr>
          <w:rFonts w:ascii="Times New Roman" w:hAnsi="Times New Roman"/>
          <w:noProof/>
          <w:sz w:val="24"/>
          <w:szCs w:val="24"/>
        </w:rPr>
        <w:t>) развиване на цифрови умения в МСП; и vii) увеличаване на броя на специалистите по ИКТ. Инвестициите в компонента спомагат за постигането на целите на стратегическия план.</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Изпълнението на мярката приключва до 31 януари 2021 г.</w:t>
      </w:r>
    </w:p>
    <w:p>
      <w:pPr>
        <w:spacing w:before="120" w:after="120" w:line="240" w:lineRule="auto"/>
        <w:jc w:val="both"/>
        <w:rPr>
          <w:rFonts w:ascii="Times New Roman" w:hAnsi="Times New Roman" w:cs="Times New Roman"/>
          <w:noProof/>
          <w:sz w:val="24"/>
          <w:u w:val="single"/>
        </w:rPr>
      </w:pPr>
      <w:r>
        <w:rPr>
          <w:rFonts w:ascii="Times New Roman" w:hAnsi="Times New Roman"/>
          <w:noProof/>
          <w:sz w:val="24"/>
          <w:u w:val="single"/>
        </w:rPr>
        <w:t xml:space="preserve">Инвестиция 1 (C19. I1) – Трансверсални цифрови умения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Целта на тази мярка е да се подобри равнището на цифровите умения на населението. Мярката предвижда: а) развитието на мрежа от центрове за подпомагане на обучението по основни и задълбочени цифрови умения, б) действия за електронно приобщаване с оглед предоставяне на повече права на възрастните хора или улесняване на обучението на уязвими деца, в) различни кампании за повишаване на осведомеността, г) дейности за увеличаване на цифровите способности на населението като цяло и д) разработване на цифрови ресурси за разпространение и преподаване на испански език. Мярката също така насърчава цифровото овластяване на жените и насърчава научните и технологичните призвания в училище. </w:t>
      </w:r>
    </w:p>
    <w:p>
      <w:pPr>
        <w:spacing w:before="120" w:after="120" w:line="240" w:lineRule="auto"/>
        <w:jc w:val="both"/>
        <w:rPr>
          <w:rFonts w:ascii="Times New Roman" w:hAnsi="Times New Roman" w:cs="Times New Roman"/>
          <w:noProof/>
          <w:sz w:val="24"/>
          <w:szCs w:val="24"/>
          <w:u w:val="single"/>
        </w:rPr>
      </w:pPr>
      <w:r>
        <w:rPr>
          <w:rFonts w:ascii="Times New Roman" w:hAnsi="Times New Roman"/>
          <w:noProof/>
          <w:sz w:val="24"/>
          <w:szCs w:val="24"/>
        </w:rPr>
        <w:t xml:space="preserve">Изпълнението на мярката приключва до 31 декември 2025 г. </w:t>
      </w:r>
    </w:p>
    <w:p>
      <w:pPr>
        <w:spacing w:before="120" w:after="120" w:line="240" w:lineRule="auto"/>
        <w:jc w:val="both"/>
        <w:rPr>
          <w:rFonts w:ascii="Times New Roman" w:hAnsi="Times New Roman" w:cs="Times New Roman"/>
          <w:noProof/>
          <w:sz w:val="24"/>
          <w:szCs w:val="24"/>
          <w:u w:val="single"/>
        </w:rPr>
      </w:pPr>
      <w:r>
        <w:rPr>
          <w:rFonts w:ascii="Times New Roman" w:hAnsi="Times New Roman"/>
          <w:noProof/>
          <w:sz w:val="24"/>
          <w:szCs w:val="24"/>
          <w:u w:val="single"/>
        </w:rPr>
        <w:t>Инвестиция 2 (C19. I2) – Цифрова трансформация на образованието</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Целта на тази мярка е да се подобри достъпът до цифрово обучение чрез предоставяне на преносими устройства на най-малко 300 000 ученици от уязвими групи в публични или публично субсидирани училища. Тя също така инсталира, актуализира и поддържа интерактивни цифрови системи (IDS) в най-малко 240 000 класни стаи в публични и публично субсидирани училища, за да се даде възможност за дистанционно и смесено обучение. Мярката подпомага също така изготвянето или преразглеждането на цифрова стратегия в най-малко 22 000 обществени и публично субсидирани училищни центрове и включва цифровото обучение на 700 000 учители.</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Тази мярка подпомага също така изпълнението на плана за цифрово ПОО. Това се постига чрез цифров инструмент за управление на акредитацията за професионални умения, придобити чрез професионален опит (който се очаква да служи за акредитация на 3 500 000 души), и чрез създаването на цифрови инструменти за управление на ПОО за заетост в съответствие с националния каталог на квалификациите и с регистъра на професионалния живот на обучението. И накрая, мярката подкрепя създаването на тренажори, цифрови близнаци и технологични центрове.</w:t>
      </w:r>
    </w:p>
    <w:p>
      <w:pPr>
        <w:spacing w:before="120" w:after="120" w:line="240" w:lineRule="auto"/>
        <w:jc w:val="both"/>
        <w:rPr>
          <w:rFonts w:ascii="Times New Roman" w:hAnsi="Times New Roman" w:cs="Times New Roman"/>
          <w:noProof/>
          <w:sz w:val="24"/>
          <w:szCs w:val="24"/>
          <w:u w:val="single"/>
        </w:rPr>
      </w:pPr>
      <w:r>
        <w:rPr>
          <w:rFonts w:ascii="Times New Roman" w:hAnsi="Times New Roman"/>
          <w:noProof/>
          <w:sz w:val="24"/>
          <w:szCs w:val="24"/>
        </w:rPr>
        <w:t xml:space="preserve">Изпълнението на мярката приключва до 31 декември 2025 г. </w:t>
      </w:r>
    </w:p>
    <w:p>
      <w:pPr>
        <w:spacing w:before="120" w:after="120" w:line="240" w:lineRule="auto"/>
        <w:jc w:val="both"/>
        <w:rPr>
          <w:rFonts w:ascii="Times New Roman" w:hAnsi="Times New Roman" w:cs="Times New Roman"/>
          <w:noProof/>
          <w:sz w:val="24"/>
          <w:szCs w:val="24"/>
          <w:u w:val="single"/>
        </w:rPr>
      </w:pPr>
      <w:r>
        <w:rPr>
          <w:rFonts w:ascii="Times New Roman" w:hAnsi="Times New Roman"/>
          <w:noProof/>
          <w:sz w:val="24"/>
          <w:szCs w:val="24"/>
          <w:u w:val="single"/>
        </w:rPr>
        <w:t>Инвестиция 3 (C19. I3) – Цифрови умения за заетост</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Целта на тази мярка е да се подобрят цифровите умения на заетите лица и на безработните, особено на младите хора, за да се подобри тяхната пригодност за заетост. Обучението е насочено и към публичната администрация (наред с другото, здравни специалисти, войски и морски лица във въоръжените сили и запаси от специална наличност, персонал, работещ в областта на социалната сигурност и финансите). И накрая, мярката подкрепя цифровизацията на МСП чрез действия, насочени към конкретни сектори на икономиката, и обучение на лица, които могат да действат като катализатори на промени, включително експерти и ръководители на предприятия.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Целта на тази инвестиция е да се достигне до частта от работната сила с много ограничени цифрови умения. Въз основа на данни от Националния статистически институт (INE) през 2019 г. тази част от населението представлява 3,62 % от общата работна сила, което се равнява на приблизително 832 600 души. Тази мярка има за цел да достигне до 60 % от тази група, което съответства на целта за малко под 500 000 души.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Изпълнението на мярката приключва до 31 декември 2025 г. </w:t>
      </w:r>
    </w:p>
    <w:p>
      <w:pPr>
        <w:spacing w:before="120" w:after="120" w:line="240" w:lineRule="auto"/>
        <w:jc w:val="both"/>
        <w:rPr>
          <w:rFonts w:ascii="Times New Roman" w:hAnsi="Times New Roman" w:cs="Times New Roman"/>
          <w:noProof/>
          <w:sz w:val="24"/>
          <w:u w:val="single"/>
        </w:rPr>
      </w:pPr>
      <w:r>
        <w:rPr>
          <w:rFonts w:ascii="Times New Roman" w:hAnsi="Times New Roman"/>
          <w:noProof/>
          <w:sz w:val="24"/>
          <w:u w:val="single"/>
        </w:rPr>
        <w:t>Инвестиция 4 (C19. I4) – Цифрови специалисти</w:t>
      </w:r>
    </w:p>
    <w:p>
      <w:pPr>
        <w:spacing w:before="120" w:after="120" w:line="240" w:lineRule="auto"/>
        <w:jc w:val="both"/>
        <w:rPr>
          <w:rFonts w:ascii="Times New Roman" w:hAnsi="Times New Roman" w:cs="Times New Roman"/>
          <w:noProof/>
          <w:sz w:val="24"/>
        </w:rPr>
      </w:pPr>
      <w:r>
        <w:rPr>
          <w:rFonts w:ascii="Times New Roman" w:hAnsi="Times New Roman"/>
          <w:noProof/>
          <w:sz w:val="24"/>
        </w:rPr>
        <w:t>Целта на тази мярка е да се адаптира съществуващото предлагане на професионално обучение за задълбочени цифрови умения и да се привлекат и задържат таланти в тези области. Той също така създава образователни ресурси със свободен достъп за цифрово преподаване в областта на изкуствения интелект и киберсигурността на различни равнища.</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Мярката включва специални обучения за около 20 000 експерти в областта на информационните технологии с акцент върху киберсигурността, както и финансиране на 4-годишни стипендии за привличане и задържане на таланти в напреднали цифрови умения. </w:t>
      </w:r>
    </w:p>
    <w:p>
      <w:pPr>
        <w:spacing w:before="120" w:after="120" w:line="240" w:lineRule="auto"/>
        <w:jc w:val="both"/>
        <w:rPr>
          <w:rFonts w:ascii="Times New Roman" w:hAnsi="Times New Roman" w:cs="Times New Roman"/>
          <w:b/>
          <w:noProof/>
          <w:sz w:val="24"/>
          <w:szCs w:val="24"/>
          <w:u w:val="single"/>
        </w:rPr>
      </w:pPr>
      <w:r>
        <w:rPr>
          <w:rFonts w:ascii="Times New Roman" w:hAnsi="Times New Roman"/>
          <w:noProof/>
          <w:sz w:val="24"/>
          <w:szCs w:val="24"/>
        </w:rPr>
        <w:t xml:space="preserve">Изпълнението на мярката приключва до 31 декември 2025 г. </w:t>
      </w:r>
    </w:p>
    <w:p>
      <w:pPr>
        <w:spacing w:before="120" w:after="120" w:line="240" w:lineRule="auto"/>
        <w:jc w:val="both"/>
        <w:rPr>
          <w:rFonts w:ascii="Times New Roman" w:hAnsi="Times New Roman" w:cs="Times New Roman"/>
          <w:b/>
          <w:bCs/>
          <w:noProof/>
          <w:sz w:val="24"/>
          <w:u w:val="single"/>
        </w:rPr>
      </w:pPr>
      <w:r>
        <w:rPr>
          <w:rFonts w:ascii="Times New Roman" w:hAnsi="Times New Roman"/>
          <w:b/>
          <w:bCs/>
          <w:noProof/>
          <w:sz w:val="24"/>
          <w:u w:val="single"/>
        </w:rPr>
        <w:t xml:space="preserve">Т.2. </w:t>
      </w:r>
      <w:r>
        <w:rPr>
          <w:rFonts w:ascii="Times New Roman" w:hAnsi="Times New Roman"/>
          <w:b/>
          <w:noProof/>
          <w:sz w:val="24"/>
          <w:u w:val="single"/>
        </w:rPr>
        <w:tab/>
      </w:r>
      <w:r>
        <w:rPr>
          <w:rFonts w:ascii="Times New Roman" w:hAnsi="Times New Roman"/>
          <w:b/>
          <w:bCs/>
          <w:noProof/>
          <w:sz w:val="24"/>
          <w:u w:val="single"/>
        </w:rPr>
        <w:t>Ключови етапи, цели, показатели и график за мониторинг и изпълнение на безвъзмездната финансова подкрепа</w:t>
      </w:r>
    </w:p>
    <w:p>
      <w:pPr>
        <w:spacing w:before="120" w:after="120" w:line="240" w:lineRule="auto"/>
        <w:jc w:val="both"/>
        <w:rPr>
          <w:rFonts w:ascii="Times New Roman" w:hAnsi="Times New Roman" w:cs="Times New Roman"/>
          <w:noProof/>
          <w:color w:val="1F497D"/>
        </w:rPr>
      </w:pPr>
      <w:r>
        <w:rPr>
          <w:rFonts w:ascii="Times New Roman" w:hAnsi="Times New Roman"/>
          <w:i/>
          <w:iCs/>
          <w:noProof/>
          <w:color w:val="000000"/>
          <w:sz w:val="24"/>
        </w:rPr>
        <w:t>Вж. таблицата по-долу.</w:t>
      </w:r>
      <w:r>
        <w:rPr>
          <w:rFonts w:ascii="Times New Roman" w:hAnsi="Times New Roman"/>
          <w:noProof/>
          <w:color w:val="1F497D"/>
          <w:sz w:val="24"/>
        </w:rPr>
        <w:t xml:space="preserve"> </w:t>
      </w:r>
      <w:r>
        <w:rPr>
          <w:rFonts w:ascii="Times New Roman" w:hAnsi="Times New Roman"/>
          <w:i/>
          <w:iCs/>
          <w:noProof/>
          <w:color w:val="000000"/>
          <w:sz w:val="24"/>
        </w:rPr>
        <w:t>Датата на базовата линия за всички показатели е началото на действието, освен ако не е посочено друго в описанието на действието. Сумите в таблицата не включват ДДС.</w:t>
      </w:r>
    </w:p>
    <w:p>
      <w:pPr>
        <w:spacing w:before="120" w:after="120" w:line="240" w:lineRule="auto"/>
        <w:jc w:val="both"/>
        <w:rPr>
          <w:rFonts w:ascii="Times New Roman" w:hAnsi="Times New Roman" w:cs="Times New Roman"/>
          <w:b/>
          <w:bCs/>
          <w:noProof/>
          <w:sz w:val="24"/>
          <w:u w:val="single"/>
          <w:lang w:val="en-IE"/>
        </w:rPr>
      </w:pPr>
    </w:p>
    <w:p>
      <w:pPr>
        <w:spacing w:before="120" w:after="120" w:line="240" w:lineRule="auto"/>
        <w:ind w:left="709"/>
        <w:jc w:val="both"/>
        <w:rPr>
          <w:rFonts w:ascii="Times New Roman" w:hAnsi="Times New Roman" w:cs="Times New Roman"/>
          <w:noProof/>
          <w:sz w:val="24"/>
          <w:lang w:val="en-IE"/>
        </w:rPr>
      </w:pPr>
    </w:p>
    <w:p>
      <w:pPr>
        <w:spacing w:before="120" w:after="120" w:line="240" w:lineRule="auto"/>
        <w:ind w:left="709"/>
        <w:jc w:val="both"/>
        <w:rPr>
          <w:rFonts w:ascii="Times New Roman" w:hAnsi="Times New Roman" w:cs="Times New Roman"/>
          <w:noProof/>
          <w:sz w:val="24"/>
          <w:lang w:val="en-IE"/>
        </w:rPr>
        <w:sectPr>
          <w:headerReference w:type="even" r:id="rId235"/>
          <w:headerReference w:type="default" r:id="rId236"/>
          <w:footerReference w:type="even" r:id="rId237"/>
          <w:footerReference w:type="default" r:id="rId238"/>
          <w:headerReference w:type="first" r:id="rId239"/>
          <w:footerReference w:type="first" r:id="rId240"/>
          <w:pgSz w:w="11907" w:h="16839"/>
          <w:pgMar w:top="1134" w:right="1417" w:bottom="1134" w:left="1417" w:header="709" w:footer="709" w:gutter="0"/>
          <w:cols w:space="720"/>
          <w:docGrid w:linePitch="360"/>
        </w:sectPr>
      </w:pPr>
    </w:p>
    <w:tbl>
      <w:tblPr>
        <w:tblW w:w="15310"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11"/>
        <w:gridCol w:w="818"/>
        <w:gridCol w:w="852"/>
        <w:gridCol w:w="2700"/>
        <w:gridCol w:w="1420"/>
        <w:gridCol w:w="841"/>
        <w:gridCol w:w="720"/>
        <w:gridCol w:w="570"/>
        <w:gridCol w:w="330"/>
        <w:gridCol w:w="665"/>
        <w:gridCol w:w="5683"/>
      </w:tblGrid>
      <w:tr>
        <w:trPr>
          <w:trHeight w:val="309"/>
          <w:tblHeader/>
        </w:trPr>
        <w:tc>
          <w:tcPr>
            <w:tcW w:w="711" w:type="dxa"/>
            <w:tcBorders>
              <w:bottom w:val="nil"/>
            </w:tcBorders>
            <w:shd w:val="clear" w:color="auto" w:fill="C6D9F1" w:themeFill="text2" w:themeFillTint="33"/>
            <w:noWrap/>
          </w:tcPr>
          <w:p>
            <w:pPr>
              <w:spacing w:after="0" w:line="240" w:lineRule="auto"/>
              <w:jc w:val="center"/>
              <w:rPr>
                <w:rFonts w:ascii="Times New Roman" w:hAnsi="Times New Roman" w:cs="Times New Roman"/>
                <w:b/>
                <w:bCs/>
                <w:noProof/>
                <w:color w:val="000000" w:themeColor="text1"/>
                <w:sz w:val="18"/>
                <w:szCs w:val="18"/>
              </w:rPr>
            </w:pPr>
            <w:r>
              <w:rPr>
                <w:rFonts w:ascii="Times New Roman" w:hAnsi="Times New Roman"/>
                <w:b/>
                <w:bCs/>
                <w:noProof/>
                <w:color w:val="000000" w:themeColor="text1"/>
                <w:sz w:val="18"/>
                <w:szCs w:val="18"/>
              </w:rPr>
              <w:t>Номер</w:t>
            </w:r>
          </w:p>
        </w:tc>
        <w:tc>
          <w:tcPr>
            <w:tcW w:w="818" w:type="dxa"/>
            <w:tcBorders>
              <w:bottom w:val="nil"/>
            </w:tcBorders>
            <w:shd w:val="clear" w:color="auto" w:fill="C6D9F1" w:themeFill="text2" w:themeFillTint="33"/>
            <w:noWrap/>
          </w:tcPr>
          <w:p>
            <w:pPr>
              <w:spacing w:after="0" w:line="240" w:lineRule="auto"/>
              <w:jc w:val="center"/>
              <w:rPr>
                <w:rFonts w:ascii="Times New Roman" w:hAnsi="Times New Roman" w:cs="Times New Roman"/>
                <w:b/>
                <w:bCs/>
                <w:noProof/>
                <w:color w:val="000000" w:themeColor="text1"/>
                <w:sz w:val="18"/>
                <w:szCs w:val="18"/>
              </w:rPr>
            </w:pPr>
            <w:r>
              <w:rPr>
                <w:rFonts w:ascii="Times New Roman" w:hAnsi="Times New Roman"/>
                <w:b/>
                <w:bCs/>
                <w:noProof/>
                <w:color w:val="000000" w:themeColor="text1"/>
                <w:sz w:val="18"/>
                <w:szCs w:val="18"/>
              </w:rPr>
              <w:t>Мярка</w:t>
            </w:r>
          </w:p>
        </w:tc>
        <w:tc>
          <w:tcPr>
            <w:tcW w:w="852" w:type="dxa"/>
            <w:tcBorders>
              <w:bottom w:val="nil"/>
            </w:tcBorders>
            <w:shd w:val="clear" w:color="auto" w:fill="C6D9F1" w:themeFill="text2" w:themeFillTint="33"/>
            <w:noWrap/>
          </w:tcPr>
          <w:p>
            <w:pPr>
              <w:spacing w:after="0" w:line="240" w:lineRule="auto"/>
              <w:jc w:val="center"/>
              <w:rPr>
                <w:rFonts w:ascii="Times New Roman" w:hAnsi="Times New Roman" w:cs="Times New Roman"/>
                <w:b/>
                <w:bCs/>
                <w:noProof/>
                <w:color w:val="000000" w:themeColor="text1"/>
                <w:sz w:val="18"/>
                <w:szCs w:val="18"/>
              </w:rPr>
            </w:pPr>
            <w:r>
              <w:rPr>
                <w:rFonts w:ascii="Times New Roman" w:hAnsi="Times New Roman"/>
                <w:b/>
                <w:bCs/>
                <w:noProof/>
                <w:color w:val="000000" w:themeColor="text1"/>
                <w:sz w:val="18"/>
                <w:szCs w:val="18"/>
              </w:rPr>
              <w:t>Ключов етап /Цел</w:t>
            </w:r>
          </w:p>
        </w:tc>
        <w:tc>
          <w:tcPr>
            <w:tcW w:w="2700" w:type="dxa"/>
            <w:tcBorders>
              <w:bottom w:val="nil"/>
            </w:tcBorders>
            <w:shd w:val="clear" w:color="auto" w:fill="C6D9F1" w:themeFill="text2" w:themeFillTint="33"/>
            <w:noWrap/>
          </w:tcPr>
          <w:p>
            <w:pPr>
              <w:spacing w:after="0" w:line="240" w:lineRule="auto"/>
              <w:jc w:val="center"/>
              <w:rPr>
                <w:rFonts w:ascii="Times New Roman" w:hAnsi="Times New Roman" w:cs="Times New Roman"/>
                <w:b/>
                <w:bCs/>
                <w:noProof/>
                <w:color w:val="000000" w:themeColor="text1"/>
                <w:sz w:val="18"/>
                <w:szCs w:val="18"/>
              </w:rPr>
            </w:pPr>
            <w:r>
              <w:rPr>
                <w:rFonts w:ascii="Times New Roman" w:hAnsi="Times New Roman"/>
                <w:b/>
                <w:bCs/>
                <w:noProof/>
                <w:color w:val="000000" w:themeColor="text1"/>
                <w:sz w:val="18"/>
                <w:szCs w:val="18"/>
              </w:rPr>
              <w:t>Наименование</w:t>
            </w:r>
          </w:p>
        </w:tc>
        <w:tc>
          <w:tcPr>
            <w:tcW w:w="1420" w:type="dxa"/>
            <w:tcBorders>
              <w:bottom w:val="nil"/>
            </w:tcBorders>
            <w:shd w:val="clear" w:color="auto" w:fill="C6D9F1" w:themeFill="text2" w:themeFillTint="33"/>
            <w:noWrap/>
          </w:tcPr>
          <w:p>
            <w:pPr>
              <w:spacing w:after="0" w:line="240" w:lineRule="auto"/>
              <w:jc w:val="center"/>
              <w:rPr>
                <w:rFonts w:ascii="Times New Roman" w:hAnsi="Times New Roman" w:cs="Times New Roman"/>
                <w:b/>
                <w:bCs/>
                <w:noProof/>
                <w:color w:val="000000" w:themeColor="text1"/>
                <w:sz w:val="18"/>
                <w:szCs w:val="18"/>
              </w:rPr>
            </w:pPr>
            <w:r>
              <w:rPr>
                <w:rFonts w:ascii="Times New Roman" w:hAnsi="Times New Roman"/>
                <w:b/>
                <w:bCs/>
                <w:noProof/>
                <w:color w:val="000000" w:themeColor="text1"/>
                <w:sz w:val="18"/>
                <w:szCs w:val="18"/>
              </w:rPr>
              <w:t>Качествени показатели за ключовите етапи</w:t>
            </w:r>
          </w:p>
        </w:tc>
        <w:tc>
          <w:tcPr>
            <w:tcW w:w="2131" w:type="dxa"/>
            <w:gridSpan w:val="3"/>
            <w:shd w:val="clear" w:color="auto" w:fill="C6D9F1" w:themeFill="text2" w:themeFillTint="33"/>
            <w:noWrap/>
          </w:tcPr>
          <w:p>
            <w:pPr>
              <w:spacing w:after="0" w:line="240" w:lineRule="auto"/>
              <w:jc w:val="center"/>
              <w:rPr>
                <w:rFonts w:ascii="Times New Roman" w:hAnsi="Times New Roman" w:cs="Times New Roman"/>
                <w:b/>
                <w:bCs/>
                <w:noProof/>
                <w:color w:val="000000" w:themeColor="text1"/>
                <w:sz w:val="18"/>
                <w:szCs w:val="18"/>
              </w:rPr>
            </w:pPr>
            <w:r>
              <w:rPr>
                <w:rFonts w:ascii="Times New Roman" w:hAnsi="Times New Roman"/>
                <w:b/>
                <w:bCs/>
                <w:noProof/>
                <w:color w:val="000000" w:themeColor="text1"/>
                <w:sz w:val="18"/>
                <w:szCs w:val="18"/>
              </w:rPr>
              <w:t>Количествени показатели за целите</w:t>
            </w:r>
          </w:p>
        </w:tc>
        <w:tc>
          <w:tcPr>
            <w:tcW w:w="995" w:type="dxa"/>
            <w:gridSpan w:val="2"/>
            <w:shd w:val="clear" w:color="auto" w:fill="C6D9F1" w:themeFill="text2" w:themeFillTint="33"/>
            <w:noWrap/>
          </w:tcPr>
          <w:p>
            <w:pPr>
              <w:spacing w:after="0" w:line="240" w:lineRule="auto"/>
              <w:jc w:val="center"/>
              <w:rPr>
                <w:rFonts w:ascii="Times New Roman" w:hAnsi="Times New Roman" w:cs="Times New Roman"/>
                <w:b/>
                <w:bCs/>
                <w:noProof/>
                <w:color w:val="000000" w:themeColor="text1"/>
                <w:sz w:val="18"/>
                <w:szCs w:val="18"/>
              </w:rPr>
            </w:pPr>
            <w:r>
              <w:rPr>
                <w:rFonts w:ascii="Times New Roman" w:hAnsi="Times New Roman"/>
                <w:b/>
                <w:bCs/>
                <w:noProof/>
                <w:color w:val="000000" w:themeColor="text1"/>
                <w:sz w:val="18"/>
                <w:szCs w:val="18"/>
              </w:rPr>
              <w:t>Време</w:t>
            </w:r>
          </w:p>
        </w:tc>
        <w:tc>
          <w:tcPr>
            <w:tcW w:w="5683" w:type="dxa"/>
            <w:tcBorders>
              <w:bottom w:val="nil"/>
            </w:tcBorders>
            <w:shd w:val="clear" w:color="auto" w:fill="C6D9F1" w:themeFill="text2" w:themeFillTint="33"/>
            <w:noWrap/>
          </w:tcPr>
          <w:p>
            <w:pPr>
              <w:spacing w:after="0" w:line="240" w:lineRule="auto"/>
              <w:jc w:val="center"/>
              <w:rPr>
                <w:rFonts w:ascii="Times New Roman" w:hAnsi="Times New Roman" w:cs="Times New Roman"/>
                <w:b/>
                <w:bCs/>
                <w:noProof/>
                <w:color w:val="000000" w:themeColor="text1"/>
                <w:sz w:val="18"/>
                <w:szCs w:val="18"/>
              </w:rPr>
            </w:pPr>
            <w:r>
              <w:rPr>
                <w:rFonts w:ascii="Times New Roman" w:hAnsi="Times New Roman"/>
                <w:b/>
                <w:bCs/>
                <w:noProof/>
                <w:sz w:val="18"/>
                <w:szCs w:val="18"/>
              </w:rPr>
              <w:t>Описание на всеки ключов етап и всяка цел</w:t>
            </w:r>
          </w:p>
        </w:tc>
      </w:tr>
      <w:tr>
        <w:trPr>
          <w:trHeight w:val="309"/>
          <w:tblHeader/>
        </w:trPr>
        <w:tc>
          <w:tcPr>
            <w:tcW w:w="711"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818"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852"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2700" w:type="dxa"/>
            <w:tcBorders>
              <w:top w:val="nil"/>
            </w:tcBorders>
            <w:shd w:val="clear" w:color="auto" w:fill="C6D9F1" w:themeFill="text2" w:themeFillTint="33"/>
            <w:noWrap/>
          </w:tcPr>
          <w:p>
            <w:pPr>
              <w:spacing w:after="0" w:line="240" w:lineRule="auto"/>
              <w:rPr>
                <w:rFonts w:ascii="Times New Roman" w:hAnsi="Times New Roman" w:cs="Times New Roman"/>
                <w:b/>
                <w:noProof/>
                <w:color w:val="000000"/>
                <w:sz w:val="18"/>
                <w:szCs w:val="18"/>
              </w:rPr>
            </w:pPr>
          </w:p>
        </w:tc>
        <w:tc>
          <w:tcPr>
            <w:tcW w:w="1420"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841" w:type="dxa"/>
            <w:shd w:val="clear" w:color="auto" w:fill="C6D9F1" w:themeFill="text2" w:themeFillTint="33"/>
            <w:noWrap/>
          </w:tcPr>
          <w:p>
            <w:pPr>
              <w:spacing w:after="0" w:line="240" w:lineRule="auto"/>
              <w:jc w:val="center"/>
              <w:rPr>
                <w:rFonts w:ascii="Times New Roman" w:hAnsi="Times New Roman" w:cs="Times New Roman"/>
                <w:b/>
                <w:bCs/>
                <w:noProof/>
                <w:color w:val="000000" w:themeColor="text1"/>
                <w:sz w:val="18"/>
                <w:szCs w:val="18"/>
              </w:rPr>
            </w:pPr>
            <w:r>
              <w:rPr>
                <w:rFonts w:ascii="Times New Roman" w:hAnsi="Times New Roman"/>
                <w:b/>
                <w:bCs/>
                <w:noProof/>
                <w:color w:val="000000" w:themeColor="text1"/>
                <w:sz w:val="18"/>
                <w:szCs w:val="18"/>
              </w:rPr>
              <w:t>Мерна единица</w:t>
            </w:r>
          </w:p>
        </w:tc>
        <w:tc>
          <w:tcPr>
            <w:tcW w:w="720" w:type="dxa"/>
            <w:shd w:val="clear" w:color="auto" w:fill="C6D9F1" w:themeFill="text2" w:themeFillTint="33"/>
            <w:noWrap/>
          </w:tcPr>
          <w:p>
            <w:pPr>
              <w:spacing w:after="0" w:line="240" w:lineRule="auto"/>
              <w:jc w:val="center"/>
              <w:rPr>
                <w:rFonts w:ascii="Times New Roman" w:hAnsi="Times New Roman" w:cs="Times New Roman"/>
                <w:b/>
                <w:bCs/>
                <w:noProof/>
                <w:color w:val="000000" w:themeColor="text1"/>
                <w:sz w:val="18"/>
                <w:szCs w:val="18"/>
              </w:rPr>
            </w:pPr>
            <w:r>
              <w:rPr>
                <w:rFonts w:ascii="Times New Roman" w:hAnsi="Times New Roman"/>
                <w:b/>
                <w:bCs/>
                <w:noProof/>
                <w:color w:val="000000" w:themeColor="text1"/>
                <w:sz w:val="18"/>
                <w:szCs w:val="18"/>
              </w:rPr>
              <w:t>Базова линия</w:t>
            </w:r>
          </w:p>
        </w:tc>
        <w:tc>
          <w:tcPr>
            <w:tcW w:w="570" w:type="dxa"/>
            <w:shd w:val="clear" w:color="auto" w:fill="C6D9F1" w:themeFill="text2" w:themeFillTint="33"/>
            <w:noWrap/>
          </w:tcPr>
          <w:p>
            <w:pPr>
              <w:spacing w:after="0" w:line="240" w:lineRule="auto"/>
              <w:jc w:val="center"/>
              <w:rPr>
                <w:rFonts w:ascii="Times New Roman" w:hAnsi="Times New Roman" w:cs="Times New Roman"/>
                <w:b/>
                <w:bCs/>
                <w:noProof/>
                <w:color w:val="000000" w:themeColor="text1"/>
                <w:sz w:val="18"/>
                <w:szCs w:val="18"/>
              </w:rPr>
            </w:pPr>
            <w:r>
              <w:rPr>
                <w:rFonts w:ascii="Times New Roman" w:hAnsi="Times New Roman"/>
                <w:b/>
                <w:bCs/>
                <w:noProof/>
                <w:color w:val="000000" w:themeColor="text1"/>
                <w:sz w:val="18"/>
                <w:szCs w:val="18"/>
              </w:rPr>
              <w:t>Цел</w:t>
            </w:r>
          </w:p>
        </w:tc>
        <w:tc>
          <w:tcPr>
            <w:tcW w:w="330" w:type="dxa"/>
            <w:shd w:val="clear" w:color="auto" w:fill="C6D9F1" w:themeFill="text2" w:themeFillTint="33"/>
            <w:noWrap/>
          </w:tcPr>
          <w:p>
            <w:pPr>
              <w:spacing w:after="0" w:line="240" w:lineRule="auto"/>
              <w:jc w:val="center"/>
              <w:rPr>
                <w:rFonts w:ascii="Times New Roman" w:hAnsi="Times New Roman" w:cs="Times New Roman"/>
                <w:b/>
                <w:bCs/>
                <w:noProof/>
                <w:color w:val="000000" w:themeColor="text1"/>
                <w:sz w:val="18"/>
                <w:szCs w:val="18"/>
              </w:rPr>
            </w:pPr>
            <w:r>
              <w:rPr>
                <w:rFonts w:ascii="Times New Roman" w:hAnsi="Times New Roman"/>
                <w:b/>
                <w:bCs/>
                <w:noProof/>
                <w:color w:val="000000" w:themeColor="text1"/>
                <w:sz w:val="18"/>
                <w:szCs w:val="18"/>
              </w:rPr>
              <w:t>T</w:t>
            </w:r>
          </w:p>
        </w:tc>
        <w:tc>
          <w:tcPr>
            <w:tcW w:w="665" w:type="dxa"/>
            <w:shd w:val="clear" w:color="auto" w:fill="C6D9F1" w:themeFill="text2" w:themeFillTint="33"/>
            <w:noWrap/>
          </w:tcPr>
          <w:p>
            <w:pPr>
              <w:spacing w:after="0" w:line="240" w:lineRule="auto"/>
              <w:jc w:val="center"/>
              <w:rPr>
                <w:rFonts w:ascii="Times New Roman" w:hAnsi="Times New Roman" w:cs="Times New Roman"/>
                <w:b/>
                <w:bCs/>
                <w:noProof/>
                <w:color w:val="000000" w:themeColor="text1"/>
                <w:sz w:val="18"/>
                <w:szCs w:val="18"/>
              </w:rPr>
            </w:pPr>
            <w:r>
              <w:rPr>
                <w:rFonts w:ascii="Times New Roman" w:hAnsi="Times New Roman"/>
                <w:b/>
                <w:bCs/>
                <w:noProof/>
                <w:color w:val="000000" w:themeColor="text1"/>
                <w:sz w:val="18"/>
                <w:szCs w:val="18"/>
              </w:rPr>
              <w:t>Година</w:t>
            </w:r>
          </w:p>
        </w:tc>
        <w:tc>
          <w:tcPr>
            <w:tcW w:w="5683" w:type="dxa"/>
            <w:tcBorders>
              <w:top w:val="nil"/>
            </w:tcBorders>
            <w:shd w:val="clear" w:color="auto" w:fill="C6D9F1" w:themeFill="text2" w:themeFillTint="33"/>
            <w:noWrap/>
          </w:tcPr>
          <w:p>
            <w:pPr>
              <w:spacing w:after="0" w:line="240" w:lineRule="auto"/>
              <w:rPr>
                <w:rFonts w:ascii="Times New Roman" w:hAnsi="Times New Roman" w:cs="Times New Roman"/>
                <w:b/>
                <w:noProof/>
                <w:color w:val="000000"/>
                <w:sz w:val="18"/>
                <w:szCs w:val="18"/>
                <w:lang w:val="en-IE"/>
              </w:rPr>
            </w:pPr>
          </w:p>
        </w:tc>
      </w:tr>
      <w:tr>
        <w:trPr>
          <w:trHeight w:val="309"/>
        </w:trPr>
        <w:tc>
          <w:tcPr>
            <w:tcW w:w="71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285</w:t>
            </w:r>
          </w:p>
        </w:tc>
        <w:tc>
          <w:tcPr>
            <w:tcW w:w="818"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C19.R1</w:t>
            </w:r>
          </w:p>
        </w:tc>
        <w:tc>
          <w:tcPr>
            <w:tcW w:w="852"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2700"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Одобряване на Националния план за компетентност в областта на цифровите технологии от Министерския съвет</w:t>
            </w:r>
          </w:p>
        </w:tc>
        <w:tc>
          <w:tcPr>
            <w:tcW w:w="142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Референтен номер на Министерския съвет</w:t>
            </w:r>
          </w:p>
        </w:tc>
        <w:tc>
          <w:tcPr>
            <w:tcW w:w="84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72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57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33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T1</w:t>
            </w:r>
          </w:p>
        </w:tc>
        <w:tc>
          <w:tcPr>
            <w:tcW w:w="66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2021</w:t>
            </w:r>
          </w:p>
        </w:tc>
        <w:tc>
          <w:tcPr>
            <w:tcW w:w="5683"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Одобряване на Националния план за компетентност в областта на цифровите технологии от Министерския съвет. Планът има за цел: (1) предоставяне на обучение за придобиване на цифрови умения за населението като цяло; (2) преодоляване на цифровото разделение между половете; (3) цифровизиране на образователната система и развиване на цифрови умения за учене; (4, 5) предоставяне на цифрови умения за по-добра пригодност за заетост на работниците от частния и публичния сектор; (6) развиване на цифрови умения в МСП; и (7) увеличаване на броя на специалистите в областта на ИКТ, тъй като те не са обвързващи за регионите и местните органи.</w:t>
            </w:r>
          </w:p>
        </w:tc>
      </w:tr>
      <w:tr>
        <w:trPr>
          <w:trHeight w:val="309"/>
        </w:trPr>
        <w:tc>
          <w:tcPr>
            <w:tcW w:w="71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286</w:t>
            </w:r>
          </w:p>
        </w:tc>
        <w:tc>
          <w:tcPr>
            <w:tcW w:w="818"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C19.I1</w:t>
            </w:r>
          </w:p>
        </w:tc>
        <w:tc>
          <w:tcPr>
            <w:tcW w:w="852"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w:t>
            </w:r>
          </w:p>
        </w:tc>
        <w:tc>
          <w:tcPr>
            <w:tcW w:w="2700"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Обучение на гражданите относно цифровите умения.</w:t>
            </w:r>
          </w:p>
        </w:tc>
        <w:tc>
          <w:tcPr>
            <w:tcW w:w="142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w:t>
            </w:r>
          </w:p>
        </w:tc>
        <w:tc>
          <w:tcPr>
            <w:tcW w:w="84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72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0</w:t>
            </w:r>
          </w:p>
        </w:tc>
        <w:tc>
          <w:tcPr>
            <w:tcW w:w="57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75</w:t>
            </w:r>
          </w:p>
        </w:tc>
        <w:tc>
          <w:tcPr>
            <w:tcW w:w="33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66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2023</w:t>
            </w:r>
          </w:p>
        </w:tc>
        <w:tc>
          <w:tcPr>
            <w:tcW w:w="5683"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Поне 75 % от бюджета трябва да са заделени за действия по линия на инвестицията за обучение на гражданите в областта на цифровите умения.</w:t>
            </w:r>
          </w:p>
        </w:tc>
      </w:tr>
      <w:tr>
        <w:trPr>
          <w:trHeight w:val="309"/>
        </w:trPr>
        <w:tc>
          <w:tcPr>
            <w:tcW w:w="711"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287</w:t>
            </w:r>
          </w:p>
        </w:tc>
        <w:tc>
          <w:tcPr>
            <w:tcW w:w="818"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C19.I1</w:t>
            </w:r>
          </w:p>
        </w:tc>
        <w:tc>
          <w:tcPr>
            <w:tcW w:w="852"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2700" w:type="dxa"/>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szCs w:val="18"/>
              </w:rPr>
              <w:t>Приключване на действия за подобряване на цифровия капацитет</w:t>
            </w:r>
          </w:p>
        </w:tc>
        <w:tc>
          <w:tcPr>
            <w:tcW w:w="1420"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Сертификат за квалификация от национални центрове за цифрово обучение</w:t>
            </w:r>
          </w:p>
        </w:tc>
        <w:tc>
          <w:tcPr>
            <w:tcW w:w="841"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 </w:t>
            </w:r>
          </w:p>
        </w:tc>
        <w:tc>
          <w:tcPr>
            <w:tcW w:w="720" w:type="dxa"/>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szCs w:val="18"/>
              </w:rPr>
              <w:t> </w:t>
            </w:r>
          </w:p>
        </w:tc>
        <w:tc>
          <w:tcPr>
            <w:tcW w:w="570" w:type="dxa"/>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szCs w:val="18"/>
              </w:rPr>
              <w:t> </w:t>
            </w:r>
          </w:p>
        </w:tc>
        <w:tc>
          <w:tcPr>
            <w:tcW w:w="330"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665"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2024</w:t>
            </w:r>
          </w:p>
        </w:tc>
        <w:tc>
          <w:tcPr>
            <w:tcW w:w="5683" w:type="dxa"/>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szCs w:val="18"/>
              </w:rPr>
              <w:t>Създаване на национална мрежа за цифрови умения (включително реформа на 1500 центъра за професионално обучение) и изпълнение на кампании за повишаване на осведомеността и комуникационни планове</w:t>
            </w:r>
          </w:p>
        </w:tc>
      </w:tr>
      <w:tr>
        <w:trPr>
          <w:trHeight w:val="309"/>
        </w:trPr>
        <w:tc>
          <w:tcPr>
            <w:tcW w:w="71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288</w:t>
            </w:r>
          </w:p>
        </w:tc>
        <w:tc>
          <w:tcPr>
            <w:tcW w:w="818"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C19.I1</w:t>
            </w:r>
          </w:p>
        </w:tc>
        <w:tc>
          <w:tcPr>
            <w:tcW w:w="852"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w:t>
            </w:r>
          </w:p>
        </w:tc>
        <w:tc>
          <w:tcPr>
            <w:tcW w:w="2700"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Обучение на гражданите относно цифровите умения.</w:t>
            </w:r>
          </w:p>
        </w:tc>
        <w:tc>
          <w:tcPr>
            <w:tcW w:w="142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w:t>
            </w:r>
          </w:p>
        </w:tc>
        <w:tc>
          <w:tcPr>
            <w:tcW w:w="84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Номер</w:t>
            </w:r>
          </w:p>
        </w:tc>
        <w:tc>
          <w:tcPr>
            <w:tcW w:w="72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0</w:t>
            </w:r>
          </w:p>
        </w:tc>
        <w:tc>
          <w:tcPr>
            <w:tcW w:w="57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2 600 000 </w:t>
            </w:r>
          </w:p>
        </w:tc>
        <w:tc>
          <w:tcPr>
            <w:tcW w:w="33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66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2025</w:t>
            </w:r>
          </w:p>
        </w:tc>
        <w:tc>
          <w:tcPr>
            <w:tcW w:w="5683"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2 600 000 граждани, обучени в областта на цифровите умения, в съответствие с действията по мярката. Обучението трябва да бъде най-малко 10 ECTS. </w:t>
            </w:r>
          </w:p>
        </w:tc>
      </w:tr>
      <w:tr>
        <w:trPr>
          <w:trHeight w:val="309"/>
        </w:trPr>
        <w:tc>
          <w:tcPr>
            <w:tcW w:w="71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289</w:t>
            </w:r>
          </w:p>
        </w:tc>
        <w:tc>
          <w:tcPr>
            <w:tcW w:w="818"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C19.I2</w:t>
            </w:r>
          </w:p>
        </w:tc>
        <w:tc>
          <w:tcPr>
            <w:tcW w:w="852"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2700"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Програма за оборудване на обществените и публично субсидираните училища с цифрови инструменти</w:t>
            </w:r>
          </w:p>
        </w:tc>
        <w:tc>
          <w:tcPr>
            <w:tcW w:w="142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Публикуване в Официален вестник</w:t>
            </w:r>
          </w:p>
        </w:tc>
        <w:tc>
          <w:tcPr>
            <w:tcW w:w="84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72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570"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33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66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2021</w:t>
            </w:r>
          </w:p>
        </w:tc>
        <w:tc>
          <w:tcPr>
            <w:tcW w:w="5683"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Одобряване на програмата за оборудване на минимум 240 000 класни стаи, обучение на 700 000 учители и подготовка или преразглеждане на цифровата стратегия за най-малко 22 000 обществени и публично субсидирани училищни центъра, както и предоставяне на 300 000 свързани цифрови устройства (лаптопи, таблети) в публични и публично субсидирани училища в сътрудничество с автономните области. Програмата е обвързваща за автономните области.</w:t>
            </w:r>
          </w:p>
        </w:tc>
      </w:tr>
      <w:tr>
        <w:trPr>
          <w:trHeight w:val="309"/>
        </w:trPr>
        <w:tc>
          <w:tcPr>
            <w:tcW w:w="71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290</w:t>
            </w:r>
          </w:p>
        </w:tc>
        <w:tc>
          <w:tcPr>
            <w:tcW w:w="818"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C19.I2</w:t>
            </w:r>
          </w:p>
        </w:tc>
        <w:tc>
          <w:tcPr>
            <w:tcW w:w="852"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2700"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Приключване на действията за цифровата трансформация на образованието</w:t>
            </w:r>
          </w:p>
        </w:tc>
        <w:tc>
          <w:tcPr>
            <w:tcW w:w="142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Сертифициране от държавната и регионалната администрация</w:t>
            </w:r>
          </w:p>
        </w:tc>
        <w:tc>
          <w:tcPr>
            <w:tcW w:w="84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 </w:t>
            </w:r>
          </w:p>
        </w:tc>
        <w:tc>
          <w:tcPr>
            <w:tcW w:w="72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w:t>
            </w:r>
          </w:p>
        </w:tc>
        <w:tc>
          <w:tcPr>
            <w:tcW w:w="57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w:t>
            </w:r>
          </w:p>
        </w:tc>
        <w:tc>
          <w:tcPr>
            <w:tcW w:w="33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T3</w:t>
            </w:r>
          </w:p>
        </w:tc>
        <w:tc>
          <w:tcPr>
            <w:tcW w:w="66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2024</w:t>
            </w:r>
          </w:p>
        </w:tc>
        <w:tc>
          <w:tcPr>
            <w:tcW w:w="5683"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Приключване на действията за цифрова трансформация на образованието, включително сертифициране на цифровите умения на най-малко 80 % от 700 000 учители, обучени в областта на цифровите умения; и най-малко 22 000 центъра, подпомагани при подготовката и преразглеждането на техните цифрови стратегии. </w:t>
            </w:r>
          </w:p>
        </w:tc>
      </w:tr>
      <w:tr>
        <w:trPr>
          <w:trHeight w:val="309"/>
        </w:trPr>
        <w:tc>
          <w:tcPr>
            <w:tcW w:w="711"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szCs w:val="18"/>
              </w:rPr>
              <w:t>291</w:t>
            </w:r>
          </w:p>
        </w:tc>
        <w:tc>
          <w:tcPr>
            <w:tcW w:w="818"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szCs w:val="18"/>
              </w:rPr>
              <w:t>C19.I2</w:t>
            </w:r>
          </w:p>
        </w:tc>
        <w:tc>
          <w:tcPr>
            <w:tcW w:w="852"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szCs w:val="18"/>
              </w:rPr>
              <w:t>T</w:t>
            </w:r>
          </w:p>
        </w:tc>
        <w:tc>
          <w:tcPr>
            <w:tcW w:w="2700"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rPr>
                <w:rFonts w:ascii="Times New Roman" w:hAnsi="Times New Roman" w:cs="Times New Roman"/>
                <w:noProof/>
                <w:color w:val="000000" w:themeColor="text1"/>
                <w:sz w:val="18"/>
                <w:szCs w:val="18"/>
              </w:rPr>
            </w:pPr>
            <w:r>
              <w:rPr>
                <w:rFonts w:ascii="Times New Roman" w:hAnsi="Times New Roman"/>
                <w:noProof/>
                <w:color w:val="000000"/>
                <w:sz w:val="18"/>
                <w:szCs w:val="18"/>
              </w:rPr>
              <w:t>Предоставяне на свързани цифрови устройства в публични и публично субсидирани училища за преодоляване на „цифровото разделение“ и оборудване на минимум 240 000 класни стаи</w:t>
            </w:r>
          </w:p>
        </w:tc>
        <w:tc>
          <w:tcPr>
            <w:tcW w:w="1420"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szCs w:val="18"/>
              </w:rPr>
              <w:t>-</w:t>
            </w:r>
          </w:p>
        </w:tc>
        <w:tc>
          <w:tcPr>
            <w:tcW w:w="841"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szCs w:val="18"/>
              </w:rPr>
              <w:t>Номер</w:t>
            </w:r>
          </w:p>
        </w:tc>
        <w:tc>
          <w:tcPr>
            <w:tcW w:w="720"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szCs w:val="18"/>
              </w:rPr>
              <w:t>0</w:t>
            </w:r>
          </w:p>
        </w:tc>
        <w:tc>
          <w:tcPr>
            <w:tcW w:w="570"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right"/>
              <w:rPr>
                <w:rFonts w:ascii="Times New Roman" w:hAnsi="Times New Roman" w:cs="Times New Roman"/>
                <w:noProof/>
                <w:color w:val="000000" w:themeColor="text1"/>
                <w:sz w:val="18"/>
                <w:szCs w:val="18"/>
              </w:rPr>
            </w:pPr>
            <w:r>
              <w:rPr>
                <w:rFonts w:ascii="Times New Roman" w:hAnsi="Times New Roman"/>
                <w:noProof/>
                <w:color w:val="000000"/>
                <w:sz w:val="18"/>
                <w:szCs w:val="18"/>
              </w:rPr>
              <w:t>540 000</w:t>
            </w:r>
          </w:p>
        </w:tc>
        <w:tc>
          <w:tcPr>
            <w:tcW w:w="330"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szCs w:val="18"/>
              </w:rPr>
              <w:t>T4</w:t>
            </w:r>
          </w:p>
        </w:tc>
        <w:tc>
          <w:tcPr>
            <w:tcW w:w="665"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szCs w:val="18"/>
              </w:rPr>
              <w:t>2025</w:t>
            </w:r>
          </w:p>
        </w:tc>
        <w:tc>
          <w:tcPr>
            <w:tcW w:w="5683"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szCs w:val="18"/>
              </w:rPr>
              <w:t>Завършване на предоставянето на свързани и интерактивни цифрови устройства за най-малко 300 000 ученици и оборудване за най-малко 240 000 класни стаи в публични и публично субсидирани училища, за да се преодолее „цифровото разделение“. Сертифициране от държавната и регионалната администрация на придобиването и доставката на оборудването.</w:t>
            </w:r>
          </w:p>
        </w:tc>
      </w:tr>
      <w:tr>
        <w:trPr>
          <w:trHeight w:val="309"/>
        </w:trPr>
        <w:tc>
          <w:tcPr>
            <w:tcW w:w="711"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292</w:t>
            </w:r>
          </w:p>
        </w:tc>
        <w:tc>
          <w:tcPr>
            <w:tcW w:w="818"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C19.I3</w:t>
            </w:r>
          </w:p>
        </w:tc>
        <w:tc>
          <w:tcPr>
            <w:tcW w:w="852"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T</w:t>
            </w:r>
          </w:p>
        </w:tc>
        <w:tc>
          <w:tcPr>
            <w:tcW w:w="2700" w:type="dxa"/>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szCs w:val="18"/>
              </w:rPr>
              <w:t>Обучение в областта на цифровите технологии за заетост</w:t>
            </w:r>
          </w:p>
        </w:tc>
        <w:tc>
          <w:tcPr>
            <w:tcW w:w="1420"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w:t>
            </w:r>
          </w:p>
        </w:tc>
        <w:tc>
          <w:tcPr>
            <w:tcW w:w="841"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Номер</w:t>
            </w:r>
          </w:p>
        </w:tc>
        <w:tc>
          <w:tcPr>
            <w:tcW w:w="720" w:type="dxa"/>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szCs w:val="18"/>
              </w:rPr>
              <w:t>0</w:t>
            </w:r>
          </w:p>
        </w:tc>
        <w:tc>
          <w:tcPr>
            <w:tcW w:w="570" w:type="dxa"/>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szCs w:val="18"/>
              </w:rPr>
              <w:t>450 000</w:t>
            </w:r>
          </w:p>
        </w:tc>
        <w:tc>
          <w:tcPr>
            <w:tcW w:w="330"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665"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2025</w:t>
            </w:r>
          </w:p>
        </w:tc>
        <w:tc>
          <w:tcPr>
            <w:tcW w:w="5683" w:type="dxa"/>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Най-малко 450 000 души участваха в обучения по цифрови умения. Всяко обучение трябва да има минимум 15 ECTS. </w:t>
            </w:r>
          </w:p>
        </w:tc>
      </w:tr>
      <w:tr>
        <w:trPr>
          <w:trHeight w:val="309"/>
        </w:trPr>
        <w:tc>
          <w:tcPr>
            <w:tcW w:w="711"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szCs w:val="18"/>
              </w:rPr>
              <w:t>293</w:t>
            </w:r>
          </w:p>
        </w:tc>
        <w:tc>
          <w:tcPr>
            <w:tcW w:w="818"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szCs w:val="18"/>
              </w:rPr>
              <w:t>C19.I4</w:t>
            </w:r>
          </w:p>
        </w:tc>
        <w:tc>
          <w:tcPr>
            <w:tcW w:w="852"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szCs w:val="18"/>
              </w:rPr>
              <w:t>T</w:t>
            </w:r>
          </w:p>
        </w:tc>
        <w:tc>
          <w:tcPr>
            <w:tcW w:w="2700"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rPr>
                <w:rFonts w:ascii="Times New Roman" w:hAnsi="Times New Roman" w:cs="Times New Roman"/>
                <w:noProof/>
                <w:color w:val="000000" w:themeColor="text1"/>
                <w:sz w:val="18"/>
                <w:szCs w:val="18"/>
              </w:rPr>
            </w:pPr>
            <w:r>
              <w:rPr>
                <w:rFonts w:ascii="Times New Roman" w:hAnsi="Times New Roman"/>
                <w:noProof/>
                <w:color w:val="000000"/>
                <w:sz w:val="18"/>
                <w:szCs w:val="18"/>
              </w:rPr>
              <w:t xml:space="preserve">Програми за стипендии за таланти в областта на цифровите технологии </w:t>
            </w:r>
          </w:p>
        </w:tc>
        <w:tc>
          <w:tcPr>
            <w:tcW w:w="1420"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szCs w:val="18"/>
              </w:rPr>
              <w:t>-</w:t>
            </w:r>
          </w:p>
        </w:tc>
        <w:tc>
          <w:tcPr>
            <w:tcW w:w="841"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szCs w:val="18"/>
              </w:rPr>
              <w:t>Номер</w:t>
            </w:r>
          </w:p>
        </w:tc>
        <w:tc>
          <w:tcPr>
            <w:tcW w:w="720"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szCs w:val="18"/>
              </w:rPr>
              <w:t>0</w:t>
            </w:r>
          </w:p>
        </w:tc>
        <w:tc>
          <w:tcPr>
            <w:tcW w:w="570"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right"/>
              <w:rPr>
                <w:rFonts w:ascii="Times New Roman" w:hAnsi="Times New Roman" w:cs="Times New Roman"/>
                <w:noProof/>
                <w:color w:val="000000" w:themeColor="text1"/>
                <w:sz w:val="18"/>
                <w:szCs w:val="18"/>
              </w:rPr>
            </w:pPr>
            <w:r>
              <w:rPr>
                <w:rFonts w:ascii="Times New Roman" w:hAnsi="Times New Roman"/>
                <w:noProof/>
                <w:color w:val="000000"/>
                <w:sz w:val="18"/>
                <w:szCs w:val="18"/>
              </w:rPr>
              <w:t>300</w:t>
            </w:r>
          </w:p>
        </w:tc>
        <w:tc>
          <w:tcPr>
            <w:tcW w:w="330"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szCs w:val="18"/>
              </w:rPr>
              <w:t>T4</w:t>
            </w:r>
          </w:p>
        </w:tc>
        <w:tc>
          <w:tcPr>
            <w:tcW w:w="665"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szCs w:val="18"/>
              </w:rPr>
              <w:t>2024</w:t>
            </w:r>
          </w:p>
        </w:tc>
        <w:tc>
          <w:tcPr>
            <w:tcW w:w="5683"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szCs w:val="18"/>
              </w:rPr>
              <w:t>Най-малко 300 получатели са получили стипендии за привличане и задържане на таланти в областта на цифровите технологии (кумулативно за периода 2021—2024 г.). Всяка програма трябва да има минимум 240 ECTS.</w:t>
            </w:r>
          </w:p>
        </w:tc>
      </w:tr>
      <w:tr>
        <w:trPr>
          <w:trHeight w:val="309"/>
        </w:trPr>
        <w:tc>
          <w:tcPr>
            <w:tcW w:w="711"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szCs w:val="18"/>
              </w:rPr>
              <w:t>294</w:t>
            </w:r>
          </w:p>
        </w:tc>
        <w:tc>
          <w:tcPr>
            <w:tcW w:w="818"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szCs w:val="18"/>
              </w:rPr>
              <w:t>C19.I4</w:t>
            </w:r>
          </w:p>
        </w:tc>
        <w:tc>
          <w:tcPr>
            <w:tcW w:w="852"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szCs w:val="18"/>
              </w:rPr>
              <w:t>T</w:t>
            </w:r>
          </w:p>
        </w:tc>
        <w:tc>
          <w:tcPr>
            <w:tcW w:w="2700" w:type="dxa"/>
            <w:shd w:val="clear" w:color="auto" w:fill="C6EFCE"/>
            <w:noWrap/>
          </w:tcPr>
          <w:p>
            <w:pPr>
              <w:spacing w:after="0" w:line="240" w:lineRule="auto"/>
              <w:rPr>
                <w:rFonts w:ascii="Times New Roman" w:hAnsi="Times New Roman" w:cs="Times New Roman"/>
                <w:noProof/>
                <w:color w:val="000000" w:themeColor="text1"/>
                <w:sz w:val="18"/>
                <w:szCs w:val="18"/>
              </w:rPr>
            </w:pPr>
            <w:r>
              <w:rPr>
                <w:rFonts w:ascii="Times New Roman" w:hAnsi="Times New Roman"/>
                <w:noProof/>
                <w:color w:val="000000"/>
                <w:sz w:val="18"/>
                <w:szCs w:val="18"/>
              </w:rPr>
              <w:t>Обучение на ИТ специалисти</w:t>
            </w:r>
          </w:p>
        </w:tc>
        <w:tc>
          <w:tcPr>
            <w:tcW w:w="1420"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szCs w:val="18"/>
              </w:rPr>
              <w:t> </w:t>
            </w:r>
          </w:p>
        </w:tc>
        <w:tc>
          <w:tcPr>
            <w:tcW w:w="841"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szCs w:val="18"/>
              </w:rPr>
              <w:t>Номер</w:t>
            </w:r>
          </w:p>
        </w:tc>
        <w:tc>
          <w:tcPr>
            <w:tcW w:w="720"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szCs w:val="18"/>
              </w:rPr>
              <w:t>0</w:t>
            </w:r>
          </w:p>
        </w:tc>
        <w:tc>
          <w:tcPr>
            <w:tcW w:w="570" w:type="dxa"/>
            <w:shd w:val="clear" w:color="auto" w:fill="C6EFCE"/>
            <w:noWrap/>
          </w:tcPr>
          <w:p>
            <w:pPr>
              <w:spacing w:after="0" w:line="240" w:lineRule="auto"/>
              <w:jc w:val="right"/>
              <w:rPr>
                <w:rFonts w:ascii="Times New Roman" w:hAnsi="Times New Roman" w:cs="Times New Roman"/>
                <w:noProof/>
                <w:color w:val="000000" w:themeColor="text1"/>
                <w:sz w:val="18"/>
                <w:szCs w:val="18"/>
              </w:rPr>
            </w:pPr>
            <w:r>
              <w:rPr>
                <w:rFonts w:ascii="Times New Roman" w:hAnsi="Times New Roman"/>
                <w:noProof/>
                <w:color w:val="000000"/>
                <w:sz w:val="18"/>
                <w:szCs w:val="18"/>
              </w:rPr>
              <w:t>ex 2207 18 000</w:t>
            </w:r>
          </w:p>
        </w:tc>
        <w:tc>
          <w:tcPr>
            <w:tcW w:w="330"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szCs w:val="18"/>
              </w:rPr>
              <w:t>T4</w:t>
            </w:r>
          </w:p>
        </w:tc>
        <w:tc>
          <w:tcPr>
            <w:tcW w:w="665" w:type="dxa"/>
            <w:shd w:val="clear" w:color="auto" w:fill="C6EFCE"/>
            <w:noWrap/>
          </w:tcPr>
          <w:p>
            <w:pPr>
              <w:spacing w:after="0" w:line="240" w:lineRule="auto"/>
              <w:jc w:val="center"/>
              <w:rPr>
                <w:rFonts w:ascii="Times New Roman" w:hAnsi="Times New Roman" w:cs="Times New Roman"/>
                <w:noProof/>
                <w:color w:val="000000" w:themeColor="text1"/>
                <w:sz w:val="18"/>
                <w:szCs w:val="18"/>
              </w:rPr>
            </w:pPr>
            <w:r>
              <w:rPr>
                <w:rFonts w:ascii="Times New Roman" w:hAnsi="Times New Roman"/>
                <w:noProof/>
                <w:color w:val="000000"/>
                <w:sz w:val="18"/>
                <w:szCs w:val="18"/>
              </w:rPr>
              <w:t>2025</w:t>
            </w:r>
          </w:p>
        </w:tc>
        <w:tc>
          <w:tcPr>
            <w:tcW w:w="5683"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szCs w:val="18"/>
              </w:rPr>
              <w:t xml:space="preserve">Най-малко 18 000 ИТ специалисти, преминали специализирани курсове с продължителност най-малко 250 часа. </w:t>
            </w:r>
          </w:p>
        </w:tc>
      </w:tr>
    </w:tbl>
    <w:p>
      <w:pPr>
        <w:spacing w:before="120" w:after="120" w:line="240" w:lineRule="auto"/>
        <w:ind w:left="709"/>
        <w:jc w:val="both"/>
        <w:rPr>
          <w:rFonts w:ascii="Times New Roman" w:hAnsi="Times New Roman" w:cs="Times New Roman"/>
          <w:noProof/>
          <w:sz w:val="24"/>
        </w:rPr>
      </w:pPr>
    </w:p>
    <w:p>
      <w:pPr>
        <w:spacing w:before="120" w:after="120" w:line="240" w:lineRule="auto"/>
        <w:ind w:left="709"/>
        <w:jc w:val="both"/>
        <w:rPr>
          <w:rFonts w:ascii="Times New Roman" w:hAnsi="Times New Roman" w:cs="Times New Roman"/>
          <w:noProof/>
          <w:sz w:val="24"/>
          <w:szCs w:val="24"/>
        </w:rPr>
        <w:sectPr>
          <w:headerReference w:type="even" r:id="rId241"/>
          <w:headerReference w:type="default" r:id="rId242"/>
          <w:footerReference w:type="even" r:id="rId243"/>
          <w:footerReference w:type="default" r:id="rId244"/>
          <w:headerReference w:type="first" r:id="rId245"/>
          <w:footerReference w:type="first" r:id="rId246"/>
          <w:pgSz w:w="16839" w:h="11907" w:orient="landscape"/>
          <w:pgMar w:top="1417" w:right="1134" w:bottom="1417" w:left="1134" w:header="709" w:footer="709" w:gutter="0"/>
          <w:cols w:space="720"/>
          <w:docGrid w:linePitch="360"/>
        </w:sectPr>
      </w:pPr>
    </w:p>
    <w:p>
      <w:pPr>
        <w:pStyle w:val="Heading1"/>
        <w:rPr>
          <w:noProof/>
        </w:rPr>
      </w:pPr>
      <w:r>
        <w:rPr>
          <w:noProof/>
        </w:rPr>
        <w:t>У. КОМПОНЕНТ 20: Стратегически план за насърчаване на професионалното обучение</w:t>
      </w:r>
    </w:p>
    <w:p>
      <w:pPr>
        <w:spacing w:before="120" w:after="120" w:line="240" w:lineRule="auto"/>
        <w:jc w:val="both"/>
        <w:rPr>
          <w:rFonts w:ascii="Times New Roman" w:hAnsi="Times New Roman" w:cs="Times New Roman"/>
          <w:noProof/>
          <w:color w:val="000000" w:themeColor="text1"/>
          <w:sz w:val="24"/>
          <w:szCs w:val="24"/>
        </w:rPr>
      </w:pPr>
      <w:r>
        <w:rPr>
          <w:rFonts w:ascii="Times New Roman" w:hAnsi="Times New Roman"/>
          <w:noProof/>
          <w:sz w:val="24"/>
          <w:szCs w:val="24"/>
        </w:rPr>
        <w:t>Компонентът на испанския план за възстановяване и устойчивост има за цел да трансформира и модернизира системата за професионално образование и обучение (ПОО), като я адаптира, за да отговори на промените в производствените сектори на икономиката. За тази цел компонентът има за цел да допринесе за подобряване на пригодността за заетост и трудовата мобилност на работниците, а оттам и за повишаване на производителността и конкурентоспособността.</w:t>
      </w:r>
      <w:r>
        <w:rPr>
          <w:rFonts w:ascii="Times New Roman" w:hAnsi="Times New Roman"/>
          <w:noProof/>
          <w:color w:val="000000" w:themeColor="text1"/>
          <w:sz w:val="24"/>
          <w:szCs w:val="24"/>
        </w:rPr>
        <w:t xml:space="preserve"> </w:t>
      </w:r>
    </w:p>
    <w:p>
      <w:pPr>
        <w:spacing w:before="120" w:after="12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Съществуващите несъответствия между търсените и предлаганите умения се разглеждат, за да се подобри балансът между равнището на образование и обучение на населението и потребностите на пазара на труда, по-специално чрез подкрепа за повишаване на квалификацията на нискоквалифицираните лица с цел придобиване на повече междинни умения и преквалификация. </w:t>
      </w:r>
      <w:r>
        <w:rPr>
          <w:rFonts w:ascii="Times New Roman" w:hAnsi="Times New Roman"/>
          <w:noProof/>
          <w:sz w:val="24"/>
          <w:szCs w:val="24"/>
        </w:rPr>
        <w:t xml:space="preserve">Особено внимание се обръща на техническите и цифровите умения, като се преодолява разликата между половете по отношение на уменията и се повишава привлекателността на програмите за висше ПОО с цел подобряване на записването. Компонентът също така предвижда признаване на съществуващите умения с оглед на предоставянето на достъп до нови възможности за обучение и нови квалификации в една по-интегрирана система за ПОО, която придружава хората както в задължителното образование – допринасяйки за намаляване на преждевременното напускане на училище – така и през целия трудов живот. </w:t>
      </w:r>
    </w:p>
    <w:p>
      <w:pPr>
        <w:spacing w:before="120" w:after="120" w:line="240" w:lineRule="auto"/>
        <w:jc w:val="both"/>
        <w:textAlignment w:val="baseline"/>
        <w:rPr>
          <w:rFonts w:ascii="Times New Roman" w:eastAsia="Times New Roman" w:hAnsi="Times New Roman" w:cs="Times New Roman"/>
          <w:noProof/>
          <w:sz w:val="24"/>
          <w:szCs w:val="24"/>
        </w:rPr>
      </w:pPr>
      <w:r>
        <w:rPr>
          <w:rFonts w:ascii="Times New Roman" w:hAnsi="Times New Roman"/>
          <w:noProof/>
          <w:sz w:val="24"/>
          <w:szCs w:val="24"/>
        </w:rPr>
        <w:t>Компонентът допринася за изпълнението на специфичните за всяка държава препоръки, свързани с намаляване на преждевременното напускане на училище (специфичната за държавата препоръка 2/2019); засилване на сътрудничеството между образованието и бизнеса с цел подобряване на предоставянето на подходящи за пазара на труда умения и квалификации, по-специално в областта на информационните и комуникационните технологии (специфична препоръка за отделните държави 2 2019 г.); подкрепа за заетостта чрез мерки за запазване на работните места, ефективни стимули за наемане на работа и развиване на умения (специфичната за държавата препоръка 2 2020 г.); подобряване на достъпа до цифрово обучение (специфичната за държавата препоръка 2 2020 г.).</w:t>
      </w:r>
    </w:p>
    <w:p>
      <w:pPr>
        <w:spacing w:before="120" w:after="120" w:line="240" w:lineRule="auto"/>
        <w:jc w:val="both"/>
        <w:textAlignment w:val="baseline"/>
        <w:rPr>
          <w:rFonts w:ascii="Times New Roman" w:eastAsia="Times New Roman" w:hAnsi="Times New Roman" w:cs="Times New Roman"/>
          <w:noProof/>
          <w:sz w:val="24"/>
          <w:szCs w:val="24"/>
        </w:rPr>
      </w:pPr>
      <w:r>
        <w:rPr>
          <w:rFonts w:ascii="Times New Roman" w:hAnsi="Times New Roman"/>
          <w:noProof/>
          <w:color w:val="000000" w:themeColor="text1"/>
          <w:sz w:val="24"/>
          <w:szCs w:val="24"/>
        </w:rPr>
        <w:t>Очаква се, че нито една мярка в този компонент не вреди в значителна степен на екологичните цели по смисъла на член 17 от Регламент (ЕС) 2020/852, като се вземат предвид описанието на мерките и стъпките за смекчаване на последиците, определени в плана за възстановяване и устойчивост в съответствие с Техническите насоки за спазването на „принципа за ненанасяне на съществена вреда“ (2021/C58/01).</w:t>
      </w:r>
    </w:p>
    <w:p>
      <w:pPr>
        <w:spacing w:before="120" w:after="120" w:line="240" w:lineRule="auto"/>
        <w:ind w:left="709"/>
        <w:jc w:val="both"/>
        <w:rPr>
          <w:rFonts w:ascii="Times New Roman" w:hAnsi="Times New Roman" w:cs="Times New Roman"/>
          <w:b/>
          <w:i/>
          <w:noProof/>
          <w:color w:val="4F81BD" w:themeColor="accent1"/>
          <w:sz w:val="24"/>
          <w:szCs w:val="24"/>
        </w:rPr>
      </w:pPr>
      <w:r>
        <w:rPr>
          <w:rFonts w:ascii="Times New Roman" w:hAnsi="Times New Roman"/>
          <w:b/>
          <w:noProof/>
          <w:sz w:val="24"/>
          <w:szCs w:val="24"/>
          <w:u w:val="single"/>
        </w:rPr>
        <w:t xml:space="preserve">У.1. </w:t>
      </w:r>
      <w:r>
        <w:rPr>
          <w:rFonts w:ascii="Times New Roman" w:hAnsi="Times New Roman"/>
          <w:b/>
          <w:noProof/>
          <w:sz w:val="24"/>
          <w:u w:val="single"/>
        </w:rPr>
        <w:tab/>
      </w:r>
      <w:r>
        <w:rPr>
          <w:rFonts w:ascii="Times New Roman" w:hAnsi="Times New Roman"/>
          <w:b/>
          <w:noProof/>
          <w:sz w:val="24"/>
          <w:szCs w:val="24"/>
          <w:u w:val="single"/>
        </w:rPr>
        <w:t>Описание на реформите и инвестициите за безвъзмездна финансова подкрепа</w:t>
      </w:r>
    </w:p>
    <w:p>
      <w:pPr>
        <w:spacing w:before="120" w:after="120" w:line="240" w:lineRule="auto"/>
        <w:jc w:val="both"/>
        <w:rPr>
          <w:rFonts w:ascii="Times New Roman" w:hAnsi="Times New Roman" w:cs="Times New Roman"/>
          <w:noProof/>
          <w:color w:val="000000"/>
          <w:sz w:val="24"/>
          <w:szCs w:val="24"/>
          <w:u w:val="single"/>
          <w:shd w:val="clear" w:color="auto" w:fill="FFFFFF"/>
        </w:rPr>
      </w:pPr>
      <w:r>
        <w:rPr>
          <w:rFonts w:ascii="Times New Roman" w:hAnsi="Times New Roman"/>
          <w:noProof/>
          <w:color w:val="000000"/>
          <w:sz w:val="24"/>
          <w:szCs w:val="24"/>
          <w:u w:val="single"/>
          <w:shd w:val="clear" w:color="auto" w:fill="FFFFFF"/>
        </w:rPr>
        <w:t xml:space="preserve">Реформа 1 (C20.R1) – План за модернизиране на професионалното обучение </w:t>
      </w:r>
    </w:p>
    <w:p>
      <w:pPr>
        <w:spacing w:before="120" w:after="12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sz w:val="24"/>
          <w:szCs w:val="24"/>
          <w:shd w:val="clear" w:color="auto" w:fill="FFFFFF"/>
        </w:rPr>
        <w:t xml:space="preserve">Тази реформа се състои в приемането и изпълнението на план за модернизиране на професионалното обучение. Планът беше представен на 22 юли 2020 г. </w:t>
      </w:r>
      <w:r>
        <w:rPr>
          <w:rFonts w:ascii="Times New Roman" w:hAnsi="Times New Roman"/>
          <w:noProof/>
          <w:sz w:val="24"/>
          <w:szCs w:val="24"/>
        </w:rPr>
        <w:t>Нейната цел е да се гарантира, че системата за професионално обучение (ПОО) отговаря на пазар на труда, който изисква междинна квалификация, като по този начин отговаря на нуждите на производствения сектор (</w:t>
      </w:r>
      <w:r>
        <w:rPr>
          <w:rFonts w:ascii="Times New Roman" w:hAnsi="Times New Roman"/>
          <w:noProof/>
          <w:color w:val="000000"/>
          <w:sz w:val="24"/>
          <w:szCs w:val="24"/>
          <w:shd w:val="clear" w:color="auto" w:fill="FFFFFF"/>
        </w:rPr>
        <w:t>по-специално техници/старши техници</w:t>
      </w:r>
      <w:r>
        <w:rPr>
          <w:rFonts w:ascii="Times New Roman" w:hAnsi="Times New Roman"/>
          <w:noProof/>
          <w:sz w:val="24"/>
          <w:szCs w:val="24"/>
        </w:rPr>
        <w:t>) и гарантира, че професионалното обучение и квалификации подобряват перспективите за пригодност за заетост.</w:t>
      </w:r>
      <w:r>
        <w:rPr>
          <w:rFonts w:ascii="Times New Roman" w:hAnsi="Times New Roman"/>
          <w:noProof/>
          <w:color w:val="000000" w:themeColor="text1"/>
          <w:sz w:val="24"/>
          <w:szCs w:val="24"/>
        </w:rPr>
        <w:t xml:space="preserve"> </w:t>
      </w:r>
      <w:r>
        <w:rPr>
          <w:rFonts w:ascii="Times New Roman" w:hAnsi="Times New Roman"/>
          <w:noProof/>
          <w:color w:val="000000"/>
          <w:sz w:val="24"/>
          <w:szCs w:val="24"/>
          <w:shd w:val="clear" w:color="auto" w:fill="FFFFFF"/>
        </w:rPr>
        <w:t>Тя определя професионалното обучение като ключов елемент за стимулиране на икономическия и социалния двигател след пандемията.</w:t>
      </w:r>
    </w:p>
    <w:p>
      <w:pPr>
        <w:spacing w:before="120" w:after="120" w:line="240" w:lineRule="auto"/>
        <w:jc w:val="both"/>
        <w:rPr>
          <w:rFonts w:ascii="Times New Roman" w:hAnsi="Times New Roman" w:cs="Times New Roman"/>
          <w:noProof/>
          <w:color w:val="000000"/>
          <w:sz w:val="24"/>
          <w:szCs w:val="24"/>
          <w:shd w:val="clear" w:color="auto" w:fill="FFFFFF"/>
        </w:rPr>
      </w:pPr>
      <w:r>
        <w:rPr>
          <w:rFonts w:ascii="Times New Roman" w:hAnsi="Times New Roman"/>
          <w:noProof/>
          <w:color w:val="000000"/>
          <w:sz w:val="24"/>
          <w:szCs w:val="24"/>
          <w:shd w:val="clear" w:color="auto" w:fill="FFFFFF"/>
        </w:rPr>
        <w:t>Планът е насочен</w:t>
      </w:r>
      <w:r>
        <w:rPr>
          <w:rFonts w:ascii="Times New Roman" w:hAnsi="Times New Roman"/>
          <w:noProof/>
          <w:color w:val="000000"/>
          <w:sz w:val="24"/>
          <w:szCs w:val="24"/>
        </w:rPr>
        <w:t xml:space="preserve"> към създаването на единна интегрирана система за ПОО, която предоставя обучение и професионални квалификации на цялото население, включително на учащите се в областта на ПОО в образователната система и ПОО за заетост.</w:t>
      </w:r>
      <w:r>
        <w:rPr>
          <w:rFonts w:ascii="Times New Roman" w:hAnsi="Times New Roman"/>
          <w:noProof/>
          <w:color w:val="000000"/>
          <w:sz w:val="24"/>
          <w:szCs w:val="24"/>
          <w:shd w:val="clear" w:color="auto" w:fill="FFFFFF"/>
        </w:rPr>
        <w:t xml:space="preserve"> </w:t>
      </w:r>
      <w:r>
        <w:rPr>
          <w:rFonts w:ascii="Times New Roman" w:hAnsi="Times New Roman"/>
          <w:noProof/>
          <w:color w:val="000000"/>
          <w:sz w:val="24"/>
          <w:szCs w:val="24"/>
        </w:rPr>
        <w:t>ПОО се определя като стандартен повтарящ се елемент на професионално развитие за всички работници през целия им трудов живот.</w:t>
      </w:r>
    </w:p>
    <w:p>
      <w:pPr>
        <w:spacing w:before="120" w:after="120" w:line="240" w:lineRule="auto"/>
        <w:jc w:val="both"/>
        <w:rPr>
          <w:rFonts w:ascii="Times New Roman" w:hAnsi="Times New Roman" w:cs="Times New Roman"/>
          <w:noProof/>
          <w:color w:val="000000"/>
          <w:sz w:val="24"/>
          <w:szCs w:val="24"/>
          <w:shd w:val="clear" w:color="auto" w:fill="FFFFFF"/>
        </w:rPr>
      </w:pPr>
      <w:r>
        <w:rPr>
          <w:rFonts w:ascii="Times New Roman" w:hAnsi="Times New Roman"/>
          <w:noProof/>
          <w:color w:val="000000"/>
          <w:sz w:val="24"/>
          <w:szCs w:val="24"/>
          <w:shd w:val="clear" w:color="auto" w:fill="FFFFFF"/>
        </w:rPr>
        <w:t>Основният инструмент на плана е Националният каталог на професионалните квалификации, който се преразглежда и актуализира, включително чрез интегриране на прилагането на цифровия и екологичния преход. Тя включва разработването на нова квалификация за професионално обучение във всички сектори, но с акцент върху дванадесетте стратегически сектора, в които професионалното обучение се засилва, като се вземат предвид регионалните нужди.</w:t>
      </w:r>
    </w:p>
    <w:p>
      <w:pPr>
        <w:spacing w:before="120" w:after="120" w:line="240" w:lineRule="auto"/>
        <w:jc w:val="both"/>
        <w:rPr>
          <w:rFonts w:ascii="Times New Roman" w:hAnsi="Times New Roman" w:cs="Times New Roman"/>
          <w:noProof/>
          <w:color w:val="000000"/>
          <w:sz w:val="24"/>
          <w:szCs w:val="24"/>
          <w:shd w:val="clear" w:color="auto" w:fill="FFFFFF"/>
        </w:rPr>
      </w:pPr>
      <w:r>
        <w:rPr>
          <w:rFonts w:ascii="Times New Roman" w:hAnsi="Times New Roman"/>
          <w:noProof/>
          <w:color w:val="000000"/>
          <w:sz w:val="24"/>
          <w:szCs w:val="24"/>
          <w:shd w:val="clear" w:color="auto" w:fill="FFFFFF"/>
        </w:rPr>
        <w:t>Планът се изпълнява чрез приемането</w:t>
      </w:r>
      <w:r>
        <w:rPr>
          <w:rFonts w:ascii="Times New Roman" w:hAnsi="Times New Roman"/>
          <w:noProof/>
          <w:color w:val="000000"/>
          <w:sz w:val="24"/>
          <w:szCs w:val="24"/>
        </w:rPr>
        <w:t xml:space="preserve"> на няколко кралски декрет-закона, съответстващи на създаването на нови учебни програми.</w:t>
      </w:r>
      <w:r>
        <w:rPr>
          <w:rFonts w:ascii="Times New Roman" w:hAnsi="Times New Roman"/>
          <w:noProof/>
          <w:color w:val="000000"/>
          <w:sz w:val="24"/>
          <w:szCs w:val="24"/>
          <w:shd w:val="clear" w:color="auto" w:fill="FFFFFF"/>
        </w:rPr>
        <w:t xml:space="preserve"> Предвижда се през периода 2021—2023 г. постепенно да бъдат създадени около 42 нови образователни степени, обхващащи средни, висши и специализирани дипломи. Реформата също така включва периодичен преглед на квалификационните степени, разработването на нови степени за професионално обучение, отговарящи на нуждите на производствените сектори, като се обръща особено внимание на секторите, определени като приоритетни в стратегическия план за професионално обучение. </w:t>
      </w:r>
    </w:p>
    <w:p>
      <w:pPr>
        <w:spacing w:before="120" w:after="120" w:line="240" w:lineRule="auto"/>
        <w:jc w:val="both"/>
        <w:rPr>
          <w:rFonts w:ascii="Times New Roman" w:hAnsi="Times New Roman" w:cs="Times New Roman"/>
          <w:noProof/>
          <w:color w:val="000000"/>
          <w:sz w:val="24"/>
          <w:szCs w:val="24"/>
          <w:shd w:val="clear" w:color="auto" w:fill="FFFFFF"/>
        </w:rPr>
      </w:pPr>
      <w:r>
        <w:rPr>
          <w:rFonts w:ascii="Times New Roman" w:hAnsi="Times New Roman"/>
          <w:noProof/>
          <w:color w:val="000000"/>
          <w:sz w:val="24"/>
          <w:szCs w:val="24"/>
          <w:shd w:val="clear" w:color="auto" w:fill="FFFFFF"/>
        </w:rPr>
        <w:t>Сред другите приоритетни направления на плана е включването на иновациите, приложните научни изследвания, предприемачеството, цифровизацията и устойчивостта като основни елементи на професионалното обучение</w:t>
      </w:r>
      <w:r>
        <w:rPr>
          <w:rFonts w:ascii="Times New Roman" w:hAnsi="Times New Roman"/>
          <w:noProof/>
          <w:color w:val="000000"/>
          <w:sz w:val="24"/>
          <w:szCs w:val="24"/>
        </w:rPr>
        <w:t xml:space="preserve">; и поставяне на предприятията като неразделна част от професионалното обучение и насърчаване на публично-частното сътрудничество в системата, по-специално насърчаване на двойствения характер на професионалното обучение. </w:t>
      </w:r>
      <w:r>
        <w:rPr>
          <w:rFonts w:ascii="Times New Roman" w:hAnsi="Times New Roman"/>
          <w:noProof/>
          <w:color w:val="000000"/>
          <w:sz w:val="24"/>
          <w:szCs w:val="24"/>
          <w:shd w:val="clear" w:color="auto" w:fill="FFFFFF"/>
        </w:rPr>
        <w:t>За тази цел реформата се основава на съвместна работа между министерствата, предприятията и социалните партньори за определяне на уменията, необходими на икономиката</w:t>
      </w:r>
      <w:r>
        <w:rPr>
          <w:rFonts w:ascii="Times New Roman" w:hAnsi="Times New Roman"/>
          <w:noProof/>
          <w:color w:val="000000"/>
          <w:sz w:val="24"/>
          <w:szCs w:val="24"/>
        </w:rPr>
        <w:t>.</w:t>
      </w:r>
    </w:p>
    <w:p>
      <w:pPr>
        <w:spacing w:before="120" w:after="12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sz w:val="24"/>
          <w:szCs w:val="24"/>
          <w:shd w:val="clear" w:color="auto" w:fill="FFFFFF"/>
        </w:rPr>
        <w:t>Изпълнението на мярката приключва до 31 декември 2020 г.</w:t>
      </w:r>
    </w:p>
    <w:p>
      <w:pPr>
        <w:spacing w:before="120" w:after="120" w:line="240" w:lineRule="auto"/>
        <w:jc w:val="both"/>
        <w:rPr>
          <w:rFonts w:ascii="Times New Roman" w:hAnsi="Times New Roman" w:cs="Times New Roman"/>
          <w:noProof/>
          <w:color w:val="000000"/>
          <w:sz w:val="24"/>
          <w:szCs w:val="24"/>
          <w:u w:val="single"/>
          <w:shd w:val="clear" w:color="auto" w:fill="FFFFFF"/>
        </w:rPr>
      </w:pPr>
      <w:r>
        <w:rPr>
          <w:rFonts w:ascii="Times New Roman" w:hAnsi="Times New Roman"/>
          <w:noProof/>
          <w:color w:val="000000"/>
          <w:sz w:val="24"/>
          <w:szCs w:val="24"/>
          <w:u w:val="single"/>
          <w:shd w:val="clear" w:color="auto" w:fill="FFFFFF"/>
        </w:rPr>
        <w:t xml:space="preserve">Реформа 2 (C20.R2) – Закон за регулиране на интегрираната система за ПОО, свързан с националната квалификационна система </w:t>
      </w:r>
    </w:p>
    <w:p>
      <w:pPr>
        <w:spacing w:before="120" w:after="120" w:line="240" w:lineRule="auto"/>
        <w:jc w:val="both"/>
        <w:rPr>
          <w:rFonts w:ascii="Times New Roman" w:hAnsi="Times New Roman" w:cs="Times New Roman"/>
          <w:noProof/>
          <w:color w:val="000000"/>
          <w:sz w:val="24"/>
          <w:szCs w:val="24"/>
          <w:shd w:val="clear" w:color="auto" w:fill="FFFFFF"/>
        </w:rPr>
      </w:pPr>
      <w:r>
        <w:rPr>
          <w:rFonts w:ascii="Times New Roman" w:hAnsi="Times New Roman"/>
          <w:noProof/>
          <w:color w:val="000000"/>
          <w:sz w:val="24"/>
          <w:szCs w:val="24"/>
          <w:shd w:val="clear" w:color="auto" w:fill="FFFFFF"/>
        </w:rPr>
        <w:t>В съответствие с целите на плана за модернизиране на професионалното обучение и с рамката на Националната квалификационна система Испания представя и приема закон за регулиране на интегрираната система за професионално обучение (ПОО)</w:t>
      </w:r>
      <w:r>
        <w:rPr>
          <w:rFonts w:ascii="Times New Roman" w:hAnsi="Times New Roman"/>
          <w:noProof/>
          <w:color w:val="000000"/>
          <w:sz w:val="24"/>
          <w:szCs w:val="24"/>
        </w:rPr>
        <w:t>.</w:t>
      </w:r>
      <w:r>
        <w:rPr>
          <w:rFonts w:ascii="Times New Roman" w:hAnsi="Times New Roman"/>
          <w:noProof/>
          <w:color w:val="000000"/>
          <w:sz w:val="24"/>
          <w:szCs w:val="24"/>
          <w:shd w:val="clear" w:color="auto" w:fill="FFFFFF"/>
        </w:rPr>
        <w:t xml:space="preserve"> Новият закон обединява двете съществуващи отделни системи за професионално обучение – едната в образователната система и тази, насочена към обучение с цел заетост, в една-единствена система. В него се създава интегрирана система за учене през целия живот за населението на всяка възраст и във всяка лична или професионална ситуация, като се предлагат допълнителни и кумулативни курсове, които водят до нови квалификации. То също така се придружава от процес на ориентиране през целия живот.</w:t>
      </w:r>
      <w:r>
        <w:rPr>
          <w:rFonts w:ascii="Times New Roman" w:hAnsi="Times New Roman"/>
          <w:noProof/>
          <w:color w:val="000000"/>
          <w:sz w:val="24"/>
          <w:szCs w:val="24"/>
        </w:rPr>
        <w:t xml:space="preserve"> </w:t>
      </w:r>
    </w:p>
    <w:p>
      <w:pPr>
        <w:spacing w:before="120" w:after="120" w:line="240" w:lineRule="auto"/>
        <w:jc w:val="both"/>
        <w:rPr>
          <w:rFonts w:ascii="Times New Roman" w:hAnsi="Times New Roman" w:cs="Times New Roman"/>
          <w:noProof/>
          <w:color w:val="000000"/>
          <w:sz w:val="24"/>
          <w:szCs w:val="24"/>
          <w:shd w:val="clear" w:color="auto" w:fill="FFFFFF"/>
        </w:rPr>
      </w:pPr>
      <w:r>
        <w:rPr>
          <w:rFonts w:ascii="Times New Roman" w:hAnsi="Times New Roman"/>
          <w:noProof/>
          <w:color w:val="000000"/>
          <w:sz w:val="24"/>
          <w:szCs w:val="24"/>
        </w:rPr>
        <w:t xml:space="preserve">По време на първия етап от подготовката се изготвя проектозакон от Министерството на образованието и професионалното обучение с консенсус между социалните партньори и регионалните правителства. </w:t>
      </w:r>
      <w:r>
        <w:rPr>
          <w:rFonts w:ascii="Times New Roman" w:hAnsi="Times New Roman"/>
          <w:noProof/>
          <w:color w:val="000000"/>
          <w:sz w:val="24"/>
          <w:szCs w:val="24"/>
          <w:shd w:val="clear" w:color="auto" w:fill="FFFFFF"/>
        </w:rPr>
        <w:t xml:space="preserve">Очаква се Министерският съвет да одобри проектозакона преди 31 декември 2021 г., а приемането му в парламента – до 30 юни 2022 г. </w:t>
      </w:r>
    </w:p>
    <w:p>
      <w:pPr>
        <w:spacing w:before="120" w:after="120" w:line="240" w:lineRule="auto"/>
        <w:jc w:val="both"/>
        <w:rPr>
          <w:rFonts w:ascii="Times New Roman" w:hAnsi="Times New Roman" w:cs="Times New Roman"/>
          <w:noProof/>
          <w:color w:val="000000"/>
          <w:sz w:val="24"/>
          <w:szCs w:val="24"/>
        </w:rPr>
      </w:pPr>
      <w:r>
        <w:rPr>
          <w:rFonts w:ascii="Times New Roman" w:hAnsi="Times New Roman"/>
          <w:noProof/>
          <w:color w:val="000000"/>
          <w:sz w:val="24"/>
          <w:szCs w:val="24"/>
        </w:rPr>
        <w:t xml:space="preserve">Окончателно одобреният закон и обединяването на двете съществуващи преди това системи за професионално обучение имат за цел модернизиране на системата, по-специално чрез: </w:t>
      </w:r>
    </w:p>
    <w:p>
      <w:pPr>
        <w:numPr>
          <w:ilvl w:val="0"/>
          <w:numId w:val="91"/>
        </w:numPr>
        <w:spacing w:before="120" w:after="160" w:line="259" w:lineRule="auto"/>
        <w:contextualSpacing/>
        <w:jc w:val="both"/>
        <w:rPr>
          <w:rFonts w:ascii="Times New Roman" w:hAnsi="Times New Roman" w:cs="Times New Roman"/>
          <w:noProof/>
          <w:color w:val="000000"/>
        </w:rPr>
      </w:pPr>
      <w:r>
        <w:rPr>
          <w:rFonts w:ascii="Times New Roman" w:hAnsi="Times New Roman"/>
          <w:noProof/>
          <w:color w:val="000000"/>
          <w:sz w:val="24"/>
          <w:szCs w:val="24"/>
        </w:rPr>
        <w:t xml:space="preserve">съсредоточаване върху повишаването на квалификацията на нискоквалифицираните лица и подобряване на тяхната пригодност за заетост; </w:t>
      </w:r>
    </w:p>
    <w:p>
      <w:pPr>
        <w:numPr>
          <w:ilvl w:val="0"/>
          <w:numId w:val="91"/>
        </w:numPr>
        <w:spacing w:before="120" w:after="160" w:line="259" w:lineRule="auto"/>
        <w:contextualSpacing/>
        <w:jc w:val="both"/>
        <w:rPr>
          <w:rFonts w:ascii="Times New Roman" w:hAnsi="Times New Roman" w:cs="Times New Roman"/>
          <w:noProof/>
          <w:color w:val="000000"/>
        </w:rPr>
      </w:pPr>
      <w:r>
        <w:rPr>
          <w:rFonts w:ascii="Times New Roman" w:hAnsi="Times New Roman"/>
          <w:noProof/>
          <w:color w:val="000000"/>
          <w:sz w:val="24"/>
          <w:szCs w:val="24"/>
        </w:rPr>
        <w:t xml:space="preserve">отстраняването на несъответствието между търсените и предлаганите умения; </w:t>
      </w:r>
    </w:p>
    <w:p>
      <w:pPr>
        <w:numPr>
          <w:ilvl w:val="0"/>
          <w:numId w:val="91"/>
        </w:numPr>
        <w:spacing w:before="120" w:after="160" w:line="259" w:lineRule="auto"/>
        <w:contextualSpacing/>
        <w:jc w:val="both"/>
        <w:rPr>
          <w:rFonts w:ascii="Times New Roman" w:hAnsi="Times New Roman" w:cs="Times New Roman"/>
          <w:noProof/>
          <w:color w:val="000000"/>
        </w:rPr>
      </w:pPr>
      <w:r>
        <w:rPr>
          <w:rFonts w:ascii="Times New Roman" w:hAnsi="Times New Roman"/>
          <w:noProof/>
          <w:color w:val="000000"/>
          <w:sz w:val="24"/>
          <w:szCs w:val="24"/>
        </w:rPr>
        <w:t>актуализиране на Националния каталог на професионалните квалификации, адаптиране към бъдещите нужди на икономиката, включително подкрепа за екологичния и цифровия преход; и</w:t>
      </w:r>
    </w:p>
    <w:p>
      <w:pPr>
        <w:numPr>
          <w:ilvl w:val="0"/>
          <w:numId w:val="91"/>
        </w:numPr>
        <w:spacing w:before="120" w:after="160" w:line="259" w:lineRule="auto"/>
        <w:contextualSpacing/>
        <w:jc w:val="both"/>
        <w:rPr>
          <w:rFonts w:ascii="Times New Roman" w:hAnsi="Times New Roman" w:cs="Times New Roman"/>
          <w:noProof/>
          <w:color w:val="000000"/>
        </w:rPr>
      </w:pPr>
      <w:r>
        <w:rPr>
          <w:rFonts w:ascii="Times New Roman" w:hAnsi="Times New Roman"/>
          <w:noProof/>
          <w:color w:val="000000"/>
          <w:sz w:val="24"/>
          <w:szCs w:val="24"/>
        </w:rPr>
        <w:t>подобряване на привлекателността на програмите за висше ПОО с оглед подобряване на записването.</w:t>
      </w:r>
    </w:p>
    <w:p>
      <w:pPr>
        <w:spacing w:before="120" w:after="120" w:line="240" w:lineRule="auto"/>
        <w:jc w:val="both"/>
        <w:rPr>
          <w:rFonts w:ascii="Times New Roman" w:hAnsi="Times New Roman" w:cs="Times New Roman"/>
          <w:noProof/>
          <w:sz w:val="24"/>
          <w:szCs w:val="24"/>
          <w:u w:val="single"/>
          <w:shd w:val="clear" w:color="auto" w:fill="FFFFFF"/>
        </w:rPr>
      </w:pPr>
      <w:r>
        <w:rPr>
          <w:rFonts w:ascii="Times New Roman" w:hAnsi="Times New Roman"/>
          <w:noProof/>
          <w:color w:val="000000"/>
          <w:sz w:val="24"/>
          <w:szCs w:val="24"/>
          <w:shd w:val="clear" w:color="auto" w:fill="FFFFFF"/>
        </w:rPr>
        <w:t>Изпълнението на мярката приключва до 30 юни 2022 г.</w:t>
      </w:r>
    </w:p>
    <w:p>
      <w:pPr>
        <w:spacing w:before="120" w:after="120" w:line="240" w:lineRule="auto"/>
        <w:jc w:val="both"/>
        <w:rPr>
          <w:rFonts w:ascii="Times New Roman" w:hAnsi="Times New Roman" w:cs="Times New Roman"/>
          <w:noProof/>
          <w:sz w:val="24"/>
          <w:szCs w:val="24"/>
          <w:u w:val="single"/>
          <w:shd w:val="clear" w:color="auto" w:fill="FFFFFF"/>
        </w:rPr>
      </w:pPr>
      <w:r>
        <w:rPr>
          <w:rFonts w:ascii="Times New Roman" w:hAnsi="Times New Roman"/>
          <w:noProof/>
          <w:sz w:val="24"/>
          <w:szCs w:val="24"/>
          <w:u w:val="single"/>
          <w:shd w:val="clear" w:color="auto" w:fill="FFFFFF"/>
        </w:rPr>
        <w:t xml:space="preserve">Инвестиция 1 (C20.I1) – Преквалификация и повишаване на квалификацията на работната сила във връзка с професионалните квалификации </w:t>
      </w:r>
    </w:p>
    <w:p>
      <w:pPr>
        <w:spacing w:before="120" w:after="120" w:line="240" w:lineRule="auto"/>
        <w:jc w:val="both"/>
        <w:rPr>
          <w:rFonts w:ascii="Times New Roman" w:hAnsi="Times New Roman" w:cs="Times New Roman"/>
          <w:noProof/>
          <w:color w:val="000000"/>
          <w:sz w:val="24"/>
          <w:szCs w:val="24"/>
          <w:shd w:val="clear" w:color="auto" w:fill="FFFFFF"/>
        </w:rPr>
      </w:pPr>
      <w:r>
        <w:rPr>
          <w:rFonts w:ascii="Times New Roman" w:hAnsi="Times New Roman"/>
          <w:noProof/>
          <w:color w:val="000000"/>
          <w:sz w:val="24"/>
          <w:szCs w:val="24"/>
          <w:shd w:val="clear" w:color="auto" w:fill="FFFFFF"/>
        </w:rPr>
        <w:t>Тези инвестиции включват четири действия, насочени към поддържане и подобряване на професионалните умения на активното население над 16 години (наето или безработно):</w:t>
      </w:r>
    </w:p>
    <w:p>
      <w:pPr>
        <w:numPr>
          <w:ilvl w:val="0"/>
          <w:numId w:val="92"/>
        </w:numPr>
        <w:spacing w:before="120" w:after="120" w:line="240" w:lineRule="auto"/>
        <w:jc w:val="both"/>
        <w:rPr>
          <w:rFonts w:ascii="Times New Roman" w:hAnsi="Times New Roman" w:cs="Times New Roman"/>
          <w:noProof/>
          <w:color w:val="000000"/>
          <w:sz w:val="24"/>
          <w:szCs w:val="24"/>
          <w:shd w:val="clear" w:color="auto" w:fill="FFFFFF"/>
        </w:rPr>
      </w:pPr>
      <w:r>
        <w:rPr>
          <w:rFonts w:ascii="Times New Roman" w:hAnsi="Times New Roman"/>
          <w:noProof/>
          <w:color w:val="000000"/>
          <w:sz w:val="24"/>
          <w:szCs w:val="24"/>
          <w:shd w:val="clear" w:color="auto" w:fill="FFFFFF"/>
        </w:rPr>
        <w:t xml:space="preserve">Оценка и официално акредитиране на професионални умения, придобити чрез професионален опит и неформално обучение. За тази цел тя има за цел да гарантира, че съществуващите умения са официално признати, и осигурява достъп до допълнително обучение и нови квалификации. Планът инвестира общо в </w:t>
      </w:r>
      <w:r>
        <w:rPr>
          <w:rStyle w:val="normaltextrun"/>
          <w:rFonts w:ascii="Times New Roman" w:hAnsi="Times New Roman"/>
          <w:noProof/>
          <w:color w:val="000000"/>
          <w:sz w:val="24"/>
          <w:szCs w:val="24"/>
          <w:shd w:val="clear" w:color="auto" w:fill="FFFFFF"/>
        </w:rPr>
        <w:t>регистрацията, оценката и акредитацията</w:t>
      </w:r>
      <w:r>
        <w:rPr>
          <w:rFonts w:ascii="Times New Roman" w:hAnsi="Times New Roman"/>
          <w:noProof/>
          <w:color w:val="000000"/>
          <w:sz w:val="24"/>
          <w:szCs w:val="24"/>
          <w:shd w:val="clear" w:color="auto" w:fill="FFFFFF"/>
        </w:rPr>
        <w:t xml:space="preserve"> на 3 000 000 единици компетентност за период от четири години.</w:t>
      </w:r>
    </w:p>
    <w:p>
      <w:pPr>
        <w:numPr>
          <w:ilvl w:val="0"/>
          <w:numId w:val="92"/>
        </w:numPr>
        <w:spacing w:before="120" w:after="120" w:line="240" w:lineRule="auto"/>
        <w:jc w:val="both"/>
        <w:rPr>
          <w:rFonts w:ascii="Times New Roman" w:hAnsi="Times New Roman" w:cs="Times New Roman"/>
          <w:noProof/>
          <w:color w:val="000000"/>
          <w:sz w:val="24"/>
          <w:szCs w:val="24"/>
          <w:shd w:val="clear" w:color="auto" w:fill="FFFFFF"/>
        </w:rPr>
      </w:pPr>
      <w:r>
        <w:rPr>
          <w:rFonts w:ascii="Times New Roman" w:hAnsi="Times New Roman"/>
          <w:noProof/>
          <w:color w:val="000000"/>
          <w:sz w:val="24"/>
          <w:szCs w:val="24"/>
          <w:shd w:val="clear" w:color="auto" w:fill="FFFFFF"/>
        </w:rPr>
        <w:t>Дигитално модулно предложение за служители, свързани с единиците на компетентност от Националния каталог на професионалните квалификации. Действието е насочено към заетите лица и гарантира, че най-малко 300 000 работници получават цифрово обучение за професионално израстване и им дават възможност да придобият по-високи умения</w:t>
      </w:r>
      <w:r>
        <w:rPr>
          <w:rFonts w:ascii="Times New Roman" w:hAnsi="Times New Roman"/>
          <w:noProof/>
          <w:color w:val="000000"/>
          <w:sz w:val="24"/>
          <w:szCs w:val="24"/>
        </w:rPr>
        <w:t>.</w:t>
      </w:r>
      <w:r>
        <w:rPr>
          <w:rStyle w:val="normaltextrun"/>
          <w:rFonts w:ascii="Times New Roman" w:hAnsi="Times New Roman"/>
          <w:noProof/>
          <w:color w:val="000000"/>
          <w:shd w:val="clear" w:color="auto" w:fill="FFFFFF"/>
        </w:rPr>
        <w:t xml:space="preserve"> </w:t>
      </w:r>
    </w:p>
    <w:p>
      <w:pPr>
        <w:numPr>
          <w:ilvl w:val="0"/>
          <w:numId w:val="92"/>
        </w:numPr>
        <w:spacing w:before="120" w:after="120" w:line="240" w:lineRule="auto"/>
        <w:jc w:val="both"/>
        <w:rPr>
          <w:rFonts w:ascii="Times New Roman" w:hAnsi="Times New Roman" w:cs="Times New Roman"/>
          <w:noProof/>
          <w:color w:val="000000"/>
          <w:sz w:val="24"/>
          <w:szCs w:val="24"/>
          <w:shd w:val="clear" w:color="auto" w:fill="FFFFFF"/>
        </w:rPr>
      </w:pPr>
      <w:r>
        <w:rPr>
          <w:rFonts w:ascii="Times New Roman" w:hAnsi="Times New Roman"/>
          <w:noProof/>
          <w:color w:val="000000"/>
          <w:sz w:val="24"/>
          <w:szCs w:val="24"/>
          <w:shd w:val="clear" w:color="auto" w:fill="FFFFFF"/>
        </w:rPr>
        <w:t xml:space="preserve">Повишаване на гъвкавостта и достъпността на професионалното обучение чрез създаването на </w:t>
      </w:r>
      <w:r>
        <w:rPr>
          <w:rFonts w:ascii="Times New Roman" w:hAnsi="Times New Roman"/>
          <w:i/>
          <w:noProof/>
          <w:color w:val="000000"/>
          <w:sz w:val="24"/>
          <w:szCs w:val="24"/>
          <w:shd w:val="clear" w:color="auto" w:fill="FFFFFF"/>
        </w:rPr>
        <w:t>„Aulas Mentor“</w:t>
      </w:r>
      <w:r>
        <w:rPr>
          <w:rFonts w:ascii="Times New Roman" w:hAnsi="Times New Roman"/>
          <w:noProof/>
          <w:color w:val="000000"/>
          <w:sz w:val="24"/>
          <w:szCs w:val="24"/>
          <w:shd w:val="clear" w:color="auto" w:fill="FFFFFF"/>
        </w:rPr>
        <w:t xml:space="preserve">. Действието осигурява неформално обучение в съответствие с Националния каталог на професионалните квалификации за хора в селските райони или изложени на риск от обезлюдяване. Целта е да се предложи достъп до обучение в тези области, които все още представляват акредитирано обучение. Специален акцент се поставя върху жените с оглед на разкриването на нови възможности за учене, създаване на работни места и подобряване на местната икономика. </w:t>
      </w:r>
    </w:p>
    <w:p>
      <w:pPr>
        <w:numPr>
          <w:ilvl w:val="0"/>
          <w:numId w:val="92"/>
        </w:numPr>
        <w:spacing w:before="120" w:after="120" w:line="240" w:lineRule="auto"/>
        <w:jc w:val="both"/>
        <w:rPr>
          <w:rFonts w:ascii="Times New Roman" w:hAnsi="Times New Roman" w:cs="Times New Roman"/>
          <w:noProof/>
          <w:color w:val="000000"/>
          <w:sz w:val="24"/>
          <w:szCs w:val="24"/>
          <w:shd w:val="clear" w:color="auto" w:fill="FFFFFF"/>
        </w:rPr>
      </w:pPr>
      <w:r>
        <w:rPr>
          <w:rFonts w:ascii="Times New Roman" w:hAnsi="Times New Roman"/>
          <w:noProof/>
          <w:color w:val="000000"/>
          <w:sz w:val="24"/>
          <w:szCs w:val="24"/>
          <w:shd w:val="clear" w:color="auto" w:fill="FFFFFF"/>
        </w:rPr>
        <w:t>Модулно обучение за повишаване на квалификацията и преквалификация за заети и безработни лица. Действието предлага обучение по нововъзникващи и бързо развиващи се далновидни умения, които се очаква да създадат работни места в бъдеще, включително екологичен преход, икономика на полагането на грижи и други стратегически сектори, определени в плана за модернизация. Приоритет се дава на групите, които са най-уязвими и се предлага обучение, насочено към преквалификация и повишаване на квалификацията на най-малко 700 000 заети и безработни лица</w:t>
      </w:r>
      <w:r>
        <w:rPr>
          <w:rFonts w:ascii="Times New Roman" w:hAnsi="Times New Roman"/>
          <w:noProof/>
          <w:color w:val="000000"/>
          <w:sz w:val="24"/>
          <w:szCs w:val="24"/>
        </w:rPr>
        <w:t>.</w:t>
      </w:r>
    </w:p>
    <w:p>
      <w:pPr>
        <w:spacing w:before="120" w:after="120" w:line="240" w:lineRule="auto"/>
        <w:jc w:val="both"/>
        <w:rPr>
          <w:rFonts w:ascii="Times New Roman" w:hAnsi="Times New Roman" w:cs="Times New Roman"/>
          <w:noProof/>
          <w:color w:val="000000"/>
          <w:sz w:val="24"/>
          <w:szCs w:val="24"/>
          <w:u w:val="single"/>
          <w:shd w:val="clear" w:color="auto" w:fill="FFFFFF"/>
        </w:rPr>
      </w:pPr>
      <w:r>
        <w:rPr>
          <w:rFonts w:ascii="Times New Roman" w:hAnsi="Times New Roman"/>
          <w:noProof/>
          <w:color w:val="000000"/>
          <w:sz w:val="24"/>
          <w:szCs w:val="24"/>
          <w:shd w:val="clear" w:color="auto" w:fill="FFFFFF"/>
        </w:rPr>
        <w:t>Изпълнението на мярката приключва до 31 декември 2024 г.</w:t>
      </w:r>
    </w:p>
    <w:p>
      <w:pPr>
        <w:spacing w:before="120" w:after="120" w:line="240" w:lineRule="auto"/>
        <w:jc w:val="both"/>
        <w:rPr>
          <w:rFonts w:ascii="Times New Roman" w:hAnsi="Times New Roman" w:cs="Times New Roman"/>
          <w:noProof/>
          <w:color w:val="000000"/>
          <w:sz w:val="24"/>
          <w:szCs w:val="24"/>
          <w:u w:val="single"/>
          <w:shd w:val="clear" w:color="auto" w:fill="FFFFFF"/>
        </w:rPr>
      </w:pPr>
      <w:r>
        <w:rPr>
          <w:rFonts w:ascii="Times New Roman" w:hAnsi="Times New Roman"/>
          <w:noProof/>
          <w:color w:val="000000"/>
          <w:sz w:val="24"/>
          <w:szCs w:val="24"/>
          <w:u w:val="single"/>
          <w:shd w:val="clear" w:color="auto" w:fill="FFFFFF"/>
        </w:rPr>
        <w:t>Инвестиция 2 (C20.I2): Цифрова трансформация на професионалното обучение</w:t>
      </w:r>
    </w:p>
    <w:p>
      <w:pPr>
        <w:spacing w:before="120" w:after="120" w:line="240" w:lineRule="auto"/>
        <w:jc w:val="both"/>
        <w:rPr>
          <w:rFonts w:ascii="Times New Roman" w:hAnsi="Times New Roman" w:cs="Times New Roman"/>
          <w:noProof/>
          <w:color w:val="000000"/>
          <w:sz w:val="24"/>
          <w:szCs w:val="24"/>
          <w:shd w:val="clear" w:color="auto" w:fill="FFFFFF"/>
        </w:rPr>
      </w:pPr>
      <w:r>
        <w:rPr>
          <w:rFonts w:ascii="Times New Roman" w:hAnsi="Times New Roman"/>
          <w:noProof/>
          <w:color w:val="000000"/>
          <w:sz w:val="24"/>
          <w:szCs w:val="24"/>
          <w:shd w:val="clear" w:color="auto" w:fill="FFFFFF"/>
        </w:rPr>
        <w:t xml:space="preserve">Тези инвестиции са насочени към трансформиране и модернизиране на професионалното обучение в подкрепа на цифровизацията на всеки производствен сектор, но също така дават приоритет на устойчивостта на околната среда като ключова компетентност. Тя включва четири действия: </w:t>
      </w:r>
    </w:p>
    <w:p>
      <w:pPr>
        <w:numPr>
          <w:ilvl w:val="0"/>
          <w:numId w:val="93"/>
        </w:numPr>
        <w:spacing w:before="120" w:after="120" w:line="240" w:lineRule="auto"/>
        <w:jc w:val="both"/>
        <w:rPr>
          <w:rFonts w:ascii="Times New Roman" w:hAnsi="Times New Roman" w:cs="Times New Roman"/>
          <w:noProof/>
          <w:color w:val="000000"/>
          <w:sz w:val="24"/>
          <w:szCs w:val="24"/>
          <w:shd w:val="clear" w:color="auto" w:fill="FFFFFF"/>
        </w:rPr>
      </w:pPr>
      <w:r>
        <w:rPr>
          <w:rFonts w:ascii="Times New Roman" w:hAnsi="Times New Roman"/>
          <w:noProof/>
          <w:color w:val="000000"/>
          <w:sz w:val="24"/>
          <w:szCs w:val="24"/>
          <w:shd w:val="clear" w:color="auto" w:fill="FFFFFF"/>
        </w:rPr>
        <w:t xml:space="preserve">Цифрово и екологосъобразно обучение на преподавателите в областта на професионалното обучение, което им дава възможност да действат като основен стълб в процеса на обучение и като лостове за цифровия и екологичния преход, прилагани към съответните производствени сектори за професионално обучение. Целта е да се гарантират техническите, професионалните и педагогическите умения на учителите, за да се подобри качеството на системата на образование и обучение. </w:t>
      </w:r>
    </w:p>
    <w:p>
      <w:pPr>
        <w:numPr>
          <w:ilvl w:val="0"/>
          <w:numId w:val="93"/>
        </w:numPr>
        <w:spacing w:before="120" w:after="120" w:line="240" w:lineRule="auto"/>
        <w:jc w:val="both"/>
        <w:rPr>
          <w:rFonts w:ascii="Times New Roman" w:hAnsi="Times New Roman" w:cs="Times New Roman"/>
          <w:noProof/>
          <w:color w:val="000000"/>
          <w:sz w:val="24"/>
          <w:szCs w:val="24"/>
          <w:shd w:val="clear" w:color="auto" w:fill="FFFFFF"/>
        </w:rPr>
      </w:pPr>
      <w:r>
        <w:rPr>
          <w:rFonts w:ascii="Times New Roman" w:hAnsi="Times New Roman"/>
          <w:noProof/>
          <w:color w:val="000000"/>
          <w:sz w:val="24"/>
          <w:szCs w:val="24"/>
          <w:shd w:val="clear" w:color="auto" w:fill="FFFFFF"/>
        </w:rPr>
        <w:t>Преобразуване на класните стаи в приложни технологични пространства</w:t>
      </w:r>
      <w:r>
        <w:rPr>
          <w:rFonts w:ascii="Times New Roman" w:hAnsi="Times New Roman"/>
          <w:noProof/>
          <w:color w:val="000000"/>
          <w:sz w:val="24"/>
          <w:szCs w:val="24"/>
        </w:rPr>
        <w:t>, които възстановяват работната среда с помощта на технологични ресурси и позволяват на учениците да подхождат към технологиите, които използват на по-късен етап в предприятията</w:t>
      </w:r>
      <w:r>
        <w:rPr>
          <w:rFonts w:ascii="Times New Roman" w:hAnsi="Times New Roman"/>
          <w:noProof/>
          <w:color w:val="000000"/>
        </w:rPr>
        <w:t>.</w:t>
      </w:r>
      <w:r>
        <w:rPr>
          <w:rFonts w:ascii="Times New Roman" w:hAnsi="Times New Roman"/>
          <w:noProof/>
          <w:color w:val="000000"/>
          <w:sz w:val="24"/>
          <w:szCs w:val="24"/>
        </w:rPr>
        <w:t xml:space="preserve"> Инвестицията позволява създаването на най-малко 600 класни стаи за „технологии“.</w:t>
      </w:r>
    </w:p>
    <w:p>
      <w:pPr>
        <w:numPr>
          <w:ilvl w:val="0"/>
          <w:numId w:val="93"/>
        </w:numPr>
        <w:spacing w:before="120" w:after="120" w:line="240" w:lineRule="auto"/>
        <w:jc w:val="both"/>
        <w:rPr>
          <w:rFonts w:ascii="Times New Roman" w:hAnsi="Times New Roman" w:cs="Times New Roman"/>
          <w:noProof/>
          <w:color w:val="000000"/>
          <w:sz w:val="24"/>
          <w:szCs w:val="24"/>
          <w:shd w:val="clear" w:color="auto" w:fill="FFFFFF"/>
        </w:rPr>
      </w:pPr>
      <w:r>
        <w:rPr>
          <w:rFonts w:ascii="Times New Roman" w:hAnsi="Times New Roman"/>
          <w:noProof/>
          <w:color w:val="000000"/>
          <w:sz w:val="24"/>
          <w:szCs w:val="24"/>
        </w:rPr>
        <w:t>Създаване на класни стаи „предприемачество“ в обществените центрове за професионално обучение, които предлагат на учащите се да разбират предприемачеството като неразделна част от професионалната компетентност и да полагат основа за започване или започване на стопанска дейност. Испания гарантира, че действието ще бъде фискално устойчиво след края на Механизма за възстановяване и устойчивост, включително като разчита на други източници на финансиране от ЕС.</w:t>
      </w:r>
    </w:p>
    <w:p>
      <w:pPr>
        <w:numPr>
          <w:ilvl w:val="0"/>
          <w:numId w:val="93"/>
        </w:numPr>
        <w:spacing w:before="120" w:after="120" w:line="240" w:lineRule="auto"/>
        <w:jc w:val="both"/>
        <w:rPr>
          <w:rFonts w:ascii="Times New Roman" w:hAnsi="Times New Roman" w:cs="Times New Roman"/>
          <w:noProof/>
          <w:color w:val="000000"/>
          <w:sz w:val="24"/>
          <w:szCs w:val="24"/>
          <w:shd w:val="clear" w:color="auto" w:fill="FFFFFF"/>
        </w:rPr>
      </w:pPr>
      <w:r>
        <w:rPr>
          <w:rFonts w:ascii="Times New Roman" w:hAnsi="Times New Roman"/>
          <w:noProof/>
          <w:color w:val="000000"/>
          <w:sz w:val="24"/>
          <w:szCs w:val="24"/>
        </w:rPr>
        <w:t>Създаване на мрежа от 50 центъра за високи постижения, които стимулират научните изследвания и иновациите в областта на професионалното обучение.</w:t>
      </w:r>
    </w:p>
    <w:p>
      <w:pPr>
        <w:spacing w:before="120" w:after="120" w:line="240" w:lineRule="auto"/>
        <w:jc w:val="both"/>
        <w:rPr>
          <w:rFonts w:ascii="Times New Roman" w:hAnsi="Times New Roman" w:cs="Times New Roman"/>
          <w:noProof/>
          <w:color w:val="000000"/>
          <w:sz w:val="24"/>
          <w:shd w:val="clear" w:color="auto" w:fill="FFFFFF"/>
        </w:rPr>
      </w:pPr>
      <w:r>
        <w:rPr>
          <w:rFonts w:ascii="Times New Roman" w:hAnsi="Times New Roman"/>
          <w:noProof/>
          <w:color w:val="000000"/>
          <w:sz w:val="24"/>
          <w:szCs w:val="24"/>
          <w:shd w:val="clear" w:color="auto" w:fill="FFFFFF"/>
        </w:rPr>
        <w:t>Инвестициите в технологични и предприемачески класни стаи, заедно с центровете за високи постижения, съсредоточени върху научните изследвания и иновациите, играят важна роля за модернизирането на бизнес структурата, подкрепата за трансформацията на икономиката и подобряването на конкурентоспособността. Освен това се счита, че те допринасят за стимулиране на създаването на предприятия в стратегически сектори и за увеличаване на размера и производителността на МСП.</w:t>
      </w:r>
    </w:p>
    <w:p>
      <w:pPr>
        <w:spacing w:before="120" w:after="120" w:line="240" w:lineRule="auto"/>
        <w:jc w:val="both"/>
        <w:rPr>
          <w:rFonts w:ascii="Times New Roman" w:hAnsi="Times New Roman" w:cs="Times New Roman"/>
          <w:noProof/>
          <w:color w:val="000000"/>
          <w:sz w:val="24"/>
          <w:szCs w:val="24"/>
          <w:u w:val="single"/>
          <w:shd w:val="clear" w:color="auto" w:fill="FFFFFF"/>
        </w:rPr>
      </w:pPr>
      <w:r>
        <w:rPr>
          <w:rFonts w:ascii="Times New Roman" w:hAnsi="Times New Roman"/>
          <w:noProof/>
          <w:color w:val="000000"/>
          <w:sz w:val="24"/>
          <w:szCs w:val="24"/>
          <w:shd w:val="clear" w:color="auto" w:fill="FFFFFF"/>
        </w:rPr>
        <w:t>Изпълнението на мярката приключва до 31 декември 2024 г.</w:t>
      </w:r>
    </w:p>
    <w:p>
      <w:pPr>
        <w:keepNext/>
        <w:spacing w:before="120" w:after="120" w:line="240" w:lineRule="auto"/>
        <w:jc w:val="both"/>
        <w:rPr>
          <w:rFonts w:ascii="Times New Roman" w:hAnsi="Times New Roman" w:cs="Times New Roman"/>
          <w:noProof/>
          <w:color w:val="000000"/>
          <w:sz w:val="24"/>
          <w:u w:val="single"/>
          <w:shd w:val="clear" w:color="auto" w:fill="FFFFFF"/>
        </w:rPr>
      </w:pPr>
      <w:r>
        <w:rPr>
          <w:rFonts w:ascii="Times New Roman" w:hAnsi="Times New Roman"/>
          <w:noProof/>
          <w:color w:val="000000"/>
          <w:sz w:val="24"/>
          <w:szCs w:val="24"/>
          <w:u w:val="single"/>
          <w:shd w:val="clear" w:color="auto" w:fill="FFFFFF"/>
        </w:rPr>
        <w:t>Инвестиция 3 (C20.I3): Иновации и интернационализация на професионалното обучение</w:t>
      </w:r>
    </w:p>
    <w:p>
      <w:pPr>
        <w:keepNext/>
        <w:spacing w:before="120" w:after="120" w:line="240" w:lineRule="auto"/>
        <w:jc w:val="both"/>
        <w:rPr>
          <w:rFonts w:ascii="Times New Roman" w:hAnsi="Times New Roman" w:cs="Times New Roman"/>
          <w:noProof/>
          <w:color w:val="000000"/>
          <w:sz w:val="24"/>
          <w:szCs w:val="24"/>
        </w:rPr>
      </w:pPr>
      <w:r>
        <w:rPr>
          <w:rFonts w:ascii="Times New Roman" w:hAnsi="Times New Roman"/>
          <w:noProof/>
          <w:color w:val="000000"/>
          <w:sz w:val="24"/>
          <w:szCs w:val="24"/>
          <w:shd w:val="clear" w:color="auto" w:fill="FFFFFF"/>
        </w:rPr>
        <w:t xml:space="preserve">Целта на тази инвестиция е да се увеличи общото предлагане на професионално обучение чрез създаването на общо 135 000 нови места (в сравнение с края на 2020 г.) до 2024 г., като се възстанови равновесието между предлагането и нуждите на предприятията и се отговори ефективно на регионалните и местните различия. Акцентът е поставен върху задоволяването на търсенето на пазара на труда за междинна квалификация. </w:t>
      </w:r>
      <w:r>
        <w:rPr>
          <w:rFonts w:ascii="Times New Roman" w:hAnsi="Times New Roman"/>
          <w:noProof/>
          <w:color w:val="000000"/>
          <w:sz w:val="24"/>
          <w:szCs w:val="24"/>
        </w:rPr>
        <w:t xml:space="preserve">Териториалното разпределение на новите места за ПОО се основава на оценка на нуждите и следва обсъждане със съответните заинтересовани страни, за да се гарантира, че предлагането отговаря ефективно на регионалните/местните пропуски. Очаква се споразумението да бъде договорено в контекста на секторните конференции в областта на образованието с автономните региони. </w:t>
      </w:r>
    </w:p>
    <w:p>
      <w:pPr>
        <w:spacing w:before="120" w:after="120" w:line="240" w:lineRule="auto"/>
        <w:jc w:val="both"/>
        <w:rPr>
          <w:rFonts w:ascii="Times New Roman" w:hAnsi="Times New Roman" w:cs="Times New Roman"/>
          <w:noProof/>
          <w:color w:val="000000"/>
          <w:sz w:val="24"/>
          <w:szCs w:val="24"/>
        </w:rPr>
      </w:pPr>
      <w:r>
        <w:rPr>
          <w:rFonts w:ascii="Times New Roman" w:hAnsi="Times New Roman"/>
          <w:noProof/>
          <w:sz w:val="24"/>
        </w:rPr>
        <w:t>С оглед на насърчаването на общуването на чужд език като ключов елемент от професионалните постижения, следва да се насърчава двуезичието в областта на ПОО като стратегическа цел.</w:t>
      </w:r>
      <w:r>
        <w:rPr>
          <w:rFonts w:ascii="Times New Roman" w:hAnsi="Times New Roman"/>
          <w:noProof/>
          <w:color w:val="000000" w:themeColor="text1"/>
          <w:sz w:val="24"/>
        </w:rPr>
        <w:t xml:space="preserve"> Акцентът се поставя както върху обучението на преподавателите, така и върху учениците на чужд език като част от образователния цикъл чрез преобразуване на 3 700 цикъла в двуезични предложения. </w:t>
      </w:r>
    </w:p>
    <w:p>
      <w:pPr>
        <w:spacing w:before="120" w:after="120" w:line="240" w:lineRule="auto"/>
        <w:jc w:val="both"/>
        <w:rPr>
          <w:rFonts w:ascii="Times New Roman" w:hAnsi="Times New Roman" w:cs="Times New Roman"/>
          <w:noProof/>
          <w:color w:val="000000"/>
          <w:sz w:val="24"/>
          <w:shd w:val="clear" w:color="auto" w:fill="FFFFFF"/>
        </w:rPr>
      </w:pPr>
      <w:r>
        <w:rPr>
          <w:rFonts w:ascii="Times New Roman" w:hAnsi="Times New Roman"/>
          <w:noProof/>
          <w:color w:val="000000"/>
          <w:sz w:val="24"/>
          <w:szCs w:val="24"/>
          <w:shd w:val="clear" w:color="auto" w:fill="FFFFFF"/>
        </w:rPr>
        <w:t>Освен това целта на инвестицията е да се разработят проекти за иновации и трансфер на знания между центровете за ПОО и предприятията, за да могат те да се превърнат в ключов елемент от новия модел на професионално обучение. Целта на инвестицията е също така да се преобразуват циклите на обучение на средно и високо равнище в двуезични цикли в отговор на нарастващата интернационализация на предприятията и глобализацията на икономиките.</w:t>
      </w:r>
    </w:p>
    <w:p>
      <w:pPr>
        <w:spacing w:before="120" w:after="120" w:line="240" w:lineRule="auto"/>
        <w:jc w:val="both"/>
        <w:rPr>
          <w:rFonts w:ascii="Times New Roman" w:hAnsi="Times New Roman" w:cs="Times New Roman"/>
          <w:noProof/>
          <w:color w:val="000000"/>
          <w:sz w:val="24"/>
          <w:szCs w:val="24"/>
        </w:rPr>
      </w:pPr>
      <w:r>
        <w:rPr>
          <w:rFonts w:ascii="Times New Roman" w:hAnsi="Times New Roman"/>
          <w:noProof/>
          <w:color w:val="000000"/>
          <w:sz w:val="24"/>
          <w:szCs w:val="24"/>
        </w:rPr>
        <w:t>Испания гарантира, че действието ще бъде фискално устойчиво след края на Механизма за възстановяване и устойчивост, включително като разчита на други източници на финансиране от ЕС.</w:t>
      </w:r>
    </w:p>
    <w:p>
      <w:pPr>
        <w:spacing w:before="120" w:after="120" w:line="240" w:lineRule="auto"/>
        <w:jc w:val="both"/>
        <w:rPr>
          <w:rFonts w:ascii="Times New Roman" w:hAnsi="Times New Roman" w:cs="Times New Roman"/>
          <w:noProof/>
          <w:color w:val="000000"/>
          <w:sz w:val="24"/>
          <w:szCs w:val="24"/>
          <w:shd w:val="clear" w:color="auto" w:fill="FFFFFF"/>
        </w:rPr>
      </w:pPr>
      <w:r>
        <w:rPr>
          <w:rFonts w:ascii="Times New Roman" w:hAnsi="Times New Roman"/>
          <w:noProof/>
          <w:color w:val="000000"/>
          <w:sz w:val="24"/>
          <w:szCs w:val="24"/>
          <w:shd w:val="clear" w:color="auto" w:fill="FFFFFF"/>
        </w:rPr>
        <w:t>Изпълнението на мярката приключва до 31 декември 2024 г.</w:t>
      </w:r>
    </w:p>
    <w:p>
      <w:pPr>
        <w:spacing w:before="120" w:after="120" w:line="240" w:lineRule="auto"/>
        <w:ind w:left="709"/>
        <w:jc w:val="both"/>
        <w:rPr>
          <w:rFonts w:ascii="Times New Roman" w:hAnsi="Times New Roman" w:cs="Times New Roman"/>
          <w:b/>
          <w:bCs/>
          <w:noProof/>
          <w:sz w:val="24"/>
          <w:u w:val="single"/>
        </w:rPr>
      </w:pPr>
      <w:r>
        <w:rPr>
          <w:rFonts w:ascii="Times New Roman" w:hAnsi="Times New Roman"/>
          <w:b/>
          <w:bCs/>
          <w:noProof/>
          <w:sz w:val="24"/>
          <w:u w:val="single"/>
        </w:rPr>
        <w:t xml:space="preserve">У.2. </w:t>
      </w:r>
      <w:r>
        <w:rPr>
          <w:rFonts w:ascii="Times New Roman" w:hAnsi="Times New Roman"/>
          <w:b/>
          <w:noProof/>
          <w:sz w:val="24"/>
          <w:u w:val="single"/>
        </w:rPr>
        <w:tab/>
      </w:r>
      <w:r>
        <w:rPr>
          <w:rFonts w:ascii="Times New Roman" w:hAnsi="Times New Roman"/>
          <w:b/>
          <w:bCs/>
          <w:noProof/>
          <w:sz w:val="24"/>
          <w:u w:val="single"/>
        </w:rPr>
        <w:t>Ключови етапи, цели, показатели и график за мониторинг и изпълнение на безвъзмездната финансова подкрепа</w:t>
      </w:r>
    </w:p>
    <w:p>
      <w:pPr>
        <w:spacing w:before="120" w:after="120" w:line="240" w:lineRule="auto"/>
        <w:jc w:val="both"/>
        <w:rPr>
          <w:rFonts w:ascii="Times New Roman" w:hAnsi="Times New Roman" w:cs="Times New Roman"/>
          <w:noProof/>
          <w:color w:val="1F497D"/>
        </w:rPr>
      </w:pPr>
      <w:r>
        <w:rPr>
          <w:rFonts w:ascii="Times New Roman" w:hAnsi="Times New Roman"/>
          <w:i/>
          <w:noProof/>
          <w:color w:val="000000"/>
          <w:sz w:val="24"/>
          <w:szCs w:val="24"/>
        </w:rPr>
        <w:t>Вж. таблицата по-долу.</w:t>
      </w:r>
      <w:r>
        <w:rPr>
          <w:rFonts w:ascii="Times New Roman" w:hAnsi="Times New Roman"/>
          <w:noProof/>
          <w:color w:val="1F497D"/>
          <w:sz w:val="24"/>
          <w:szCs w:val="24"/>
        </w:rPr>
        <w:t xml:space="preserve"> </w:t>
      </w:r>
      <w:r>
        <w:rPr>
          <w:rFonts w:ascii="Times New Roman" w:hAnsi="Times New Roman"/>
          <w:i/>
          <w:noProof/>
          <w:color w:val="000000"/>
          <w:sz w:val="24"/>
          <w:szCs w:val="24"/>
        </w:rPr>
        <w:t>Датата на базовата линия за всички показатели е 1 февруари 2020 г., освен ако не е посочено друго в описанието на действието. Сумите в таблицата не включват ДДС.</w:t>
      </w:r>
    </w:p>
    <w:p>
      <w:pPr>
        <w:spacing w:before="120" w:after="120" w:line="240" w:lineRule="auto"/>
        <w:jc w:val="both"/>
        <w:rPr>
          <w:rFonts w:ascii="Times New Roman" w:hAnsi="Times New Roman" w:cs="Times New Roman"/>
          <w:b/>
          <w:noProof/>
          <w:sz w:val="24"/>
          <w:u w:val="single"/>
          <w:lang w:val="en-IE"/>
        </w:rPr>
      </w:pPr>
    </w:p>
    <w:p>
      <w:pPr>
        <w:spacing w:before="120" w:after="120" w:line="240" w:lineRule="auto"/>
        <w:ind w:left="709"/>
        <w:jc w:val="both"/>
        <w:rPr>
          <w:rFonts w:ascii="Times New Roman" w:hAnsi="Times New Roman" w:cs="Times New Roman"/>
          <w:noProof/>
          <w:sz w:val="24"/>
        </w:rPr>
      </w:pPr>
      <w:r>
        <w:rPr>
          <w:rFonts w:ascii="Times New Roman" w:hAnsi="Times New Roman"/>
          <w:i/>
          <w:iCs/>
          <w:noProof/>
          <w:color w:val="4F81BD" w:themeColor="accent1"/>
          <w:sz w:val="24"/>
        </w:rPr>
        <w:t xml:space="preserve"> </w:t>
      </w:r>
    </w:p>
    <w:p>
      <w:pPr>
        <w:spacing w:before="120" w:after="120" w:line="240" w:lineRule="auto"/>
        <w:ind w:left="709"/>
        <w:jc w:val="both"/>
        <w:rPr>
          <w:rFonts w:ascii="Times New Roman" w:hAnsi="Times New Roman" w:cs="Times New Roman"/>
          <w:noProof/>
          <w:sz w:val="24"/>
          <w:lang w:val="en-IE"/>
        </w:rPr>
        <w:sectPr>
          <w:headerReference w:type="even" r:id="rId247"/>
          <w:headerReference w:type="default" r:id="rId248"/>
          <w:footerReference w:type="even" r:id="rId249"/>
          <w:footerReference w:type="default" r:id="rId250"/>
          <w:headerReference w:type="first" r:id="rId251"/>
          <w:footerReference w:type="first" r:id="rId252"/>
          <w:pgSz w:w="11907" w:h="16839"/>
          <w:pgMar w:top="1134" w:right="1417" w:bottom="1134" w:left="1417" w:header="709" w:footer="709" w:gutter="0"/>
          <w:cols w:space="720"/>
          <w:docGrid w:linePitch="360"/>
        </w:sectPr>
      </w:pPr>
    </w:p>
    <w:tbl>
      <w:tblPr>
        <w:tblW w:w="15310"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851"/>
        <w:gridCol w:w="851"/>
        <w:gridCol w:w="850"/>
        <w:gridCol w:w="2693"/>
        <w:gridCol w:w="1418"/>
        <w:gridCol w:w="850"/>
        <w:gridCol w:w="993"/>
        <w:gridCol w:w="992"/>
        <w:gridCol w:w="274"/>
        <w:gridCol w:w="718"/>
        <w:gridCol w:w="4820"/>
      </w:tblGrid>
      <w:tr>
        <w:trPr>
          <w:trHeight w:val="309"/>
          <w:tblHeader/>
        </w:trPr>
        <w:tc>
          <w:tcPr>
            <w:tcW w:w="851" w:type="dxa"/>
            <w:tcBorders>
              <w:bottom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szCs w:val="18"/>
              </w:rPr>
              <w:t>Номер</w:t>
            </w:r>
          </w:p>
        </w:tc>
        <w:tc>
          <w:tcPr>
            <w:tcW w:w="851" w:type="dxa"/>
            <w:tcBorders>
              <w:bottom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szCs w:val="18"/>
              </w:rPr>
              <w:t>Мярка</w:t>
            </w:r>
          </w:p>
        </w:tc>
        <w:tc>
          <w:tcPr>
            <w:tcW w:w="850" w:type="dxa"/>
            <w:tcBorders>
              <w:bottom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szCs w:val="18"/>
              </w:rPr>
              <w:t>Ключов етап / Цел</w:t>
            </w:r>
          </w:p>
        </w:tc>
        <w:tc>
          <w:tcPr>
            <w:tcW w:w="2693" w:type="dxa"/>
            <w:tcBorders>
              <w:bottom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szCs w:val="18"/>
              </w:rPr>
              <w:t>Наименование</w:t>
            </w:r>
          </w:p>
        </w:tc>
        <w:tc>
          <w:tcPr>
            <w:tcW w:w="1418" w:type="dxa"/>
            <w:tcBorders>
              <w:bottom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szCs w:val="18"/>
              </w:rPr>
              <w:t>Качествени показатели за ключовите етапи</w:t>
            </w:r>
          </w:p>
        </w:tc>
        <w:tc>
          <w:tcPr>
            <w:tcW w:w="2835" w:type="dxa"/>
            <w:gridSpan w:val="3"/>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szCs w:val="18"/>
              </w:rPr>
              <w:t>Количествени показатели за целите</w:t>
            </w:r>
          </w:p>
        </w:tc>
        <w:tc>
          <w:tcPr>
            <w:tcW w:w="992" w:type="dxa"/>
            <w:gridSpan w:val="2"/>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szCs w:val="18"/>
              </w:rPr>
              <w:t>Време</w:t>
            </w:r>
          </w:p>
        </w:tc>
        <w:tc>
          <w:tcPr>
            <w:tcW w:w="4820" w:type="dxa"/>
            <w:tcBorders>
              <w:bottom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r>
              <w:rPr>
                <w:rFonts w:ascii="Times New Roman" w:hAnsi="Times New Roman"/>
                <w:b/>
                <w:bCs/>
                <w:noProof/>
                <w:sz w:val="18"/>
                <w:szCs w:val="18"/>
              </w:rPr>
              <w:t>Описание на всеки ключов етап и всяка цел</w:t>
            </w:r>
          </w:p>
        </w:tc>
      </w:tr>
      <w:tr>
        <w:trPr>
          <w:trHeight w:val="309"/>
          <w:tblHeader/>
        </w:trPr>
        <w:tc>
          <w:tcPr>
            <w:tcW w:w="851"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851"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850"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2693" w:type="dxa"/>
            <w:tcBorders>
              <w:top w:val="nil"/>
            </w:tcBorders>
            <w:shd w:val="clear" w:color="auto" w:fill="C6D9F1" w:themeFill="text2" w:themeFillTint="33"/>
            <w:noWrap/>
          </w:tcPr>
          <w:p>
            <w:pPr>
              <w:spacing w:after="0" w:line="240" w:lineRule="auto"/>
              <w:rPr>
                <w:rFonts w:ascii="Times New Roman" w:hAnsi="Times New Roman" w:cs="Times New Roman"/>
                <w:b/>
                <w:noProof/>
                <w:color w:val="000000"/>
                <w:sz w:val="18"/>
                <w:szCs w:val="18"/>
              </w:rPr>
            </w:pPr>
          </w:p>
        </w:tc>
        <w:tc>
          <w:tcPr>
            <w:tcW w:w="1418"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850" w:type="dxa"/>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szCs w:val="18"/>
              </w:rPr>
              <w:t>Мерна единица</w:t>
            </w:r>
          </w:p>
        </w:tc>
        <w:tc>
          <w:tcPr>
            <w:tcW w:w="993" w:type="dxa"/>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szCs w:val="18"/>
              </w:rPr>
              <w:t>Базова линия</w:t>
            </w:r>
          </w:p>
        </w:tc>
        <w:tc>
          <w:tcPr>
            <w:tcW w:w="992" w:type="dxa"/>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szCs w:val="18"/>
              </w:rPr>
              <w:t>Цел</w:t>
            </w:r>
          </w:p>
        </w:tc>
        <w:tc>
          <w:tcPr>
            <w:tcW w:w="274" w:type="dxa"/>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szCs w:val="18"/>
              </w:rPr>
              <w:t>T</w:t>
            </w:r>
          </w:p>
        </w:tc>
        <w:tc>
          <w:tcPr>
            <w:tcW w:w="718" w:type="dxa"/>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szCs w:val="18"/>
              </w:rPr>
              <w:t>Година</w:t>
            </w:r>
          </w:p>
        </w:tc>
        <w:tc>
          <w:tcPr>
            <w:tcW w:w="4820" w:type="dxa"/>
            <w:tcBorders>
              <w:top w:val="nil"/>
            </w:tcBorders>
            <w:shd w:val="clear" w:color="auto" w:fill="C6D9F1" w:themeFill="text2" w:themeFillTint="33"/>
            <w:noWrap/>
          </w:tcPr>
          <w:p>
            <w:pPr>
              <w:spacing w:after="0" w:line="240" w:lineRule="auto"/>
              <w:rPr>
                <w:rFonts w:ascii="Times New Roman" w:hAnsi="Times New Roman" w:cs="Times New Roman"/>
                <w:b/>
                <w:noProof/>
                <w:color w:val="000000"/>
                <w:sz w:val="18"/>
                <w:szCs w:val="18"/>
                <w:lang w:val="en-IE"/>
              </w:rPr>
            </w:pPr>
          </w:p>
        </w:tc>
      </w:tr>
      <w:tr>
        <w:trPr>
          <w:trHeight w:val="309"/>
        </w:trPr>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295</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C20.R1</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2693"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План за модернизиране на професионалното обучение и свързаните с него кралски декрет-закони</w:t>
            </w:r>
          </w:p>
        </w:tc>
        <w:tc>
          <w:tcPr>
            <w:tcW w:w="1418"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Публикуване на уебсайта на МИФП и представяне от министър-председателя </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993"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992"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27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718"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2020</w:t>
            </w:r>
          </w:p>
        </w:tc>
        <w:tc>
          <w:tcPr>
            <w:tcW w:w="4820"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Представяне от министър-председателя на плана за модернизиране на професионалното обучение и публикуване в Официален вестник на 8 кралски декрет-закона за изпълнение на плана, съответстващи на 5 специализирани, 2 и 1 учебни програми за висше образование</w:t>
            </w:r>
          </w:p>
        </w:tc>
      </w:tr>
      <w:tr>
        <w:trPr>
          <w:trHeight w:val="309"/>
        </w:trPr>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296</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C20.R2</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2693"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Влизане в сила на Закона за единна интегрирана система за професионално обучение с цел модернизиране на системата</w:t>
            </w:r>
          </w:p>
        </w:tc>
        <w:tc>
          <w:tcPr>
            <w:tcW w:w="1418"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Публикуване в Официален вестник</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993"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992"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27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T2</w:t>
            </w:r>
          </w:p>
        </w:tc>
        <w:tc>
          <w:tcPr>
            <w:tcW w:w="718"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2022</w:t>
            </w:r>
          </w:p>
        </w:tc>
        <w:tc>
          <w:tcPr>
            <w:tcW w:w="4820"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Влизане в сила на Закона за единната интегрирана система за професионално обучение с цел модернизиране на системата. Законът обединява двете съществуващи преди това системи за професионално обучение и ги модернизира чрез: </w:t>
            </w:r>
            <w:r>
              <w:rPr>
                <w:rFonts w:ascii="Times New Roman" w:hAnsi="Times New Roman"/>
                <w:noProof/>
                <w:color w:val="000000"/>
                <w:sz w:val="18"/>
                <w:szCs w:val="18"/>
                <w:lang w:val="en-US"/>
              </w:rPr>
              <w:t>i</w:t>
            </w:r>
            <w:r>
              <w:rPr>
                <w:rFonts w:ascii="Times New Roman" w:hAnsi="Times New Roman"/>
                <w:noProof/>
                <w:color w:val="000000"/>
                <w:sz w:val="18"/>
                <w:szCs w:val="18"/>
              </w:rPr>
              <w:t>) съсредоточаване върху повишаването на квалификацията на нискоквалифицираните лица и подобряване на тяхната пригодност за заетост; ii) преодоляване на несъответствията между търсените и предлаганите умения; iii) актуализиране на Националния каталог на професионалните квалификации, адаптирането му към бъдещите нужди на икономиката, включително подкрепа за екологичния и цифровия преход; iv) повишаване на привлекателността на програмите за висше ПОО с оглед подобряване на записването.</w:t>
            </w:r>
          </w:p>
        </w:tc>
      </w:tr>
      <w:tr>
        <w:trPr>
          <w:trHeight w:val="309"/>
        </w:trPr>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297</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C20.I1</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w:t>
            </w:r>
          </w:p>
        </w:tc>
        <w:tc>
          <w:tcPr>
            <w:tcW w:w="2693"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Нови единици на компетентност в Националния каталог на професионалните квалификации </w:t>
            </w:r>
          </w:p>
        </w:tc>
        <w:tc>
          <w:tcPr>
            <w:tcW w:w="1418"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Номер</w:t>
            </w:r>
          </w:p>
        </w:tc>
        <w:tc>
          <w:tcPr>
            <w:tcW w:w="993"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0</w:t>
            </w:r>
          </w:p>
        </w:tc>
        <w:tc>
          <w:tcPr>
            <w:tcW w:w="992"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3 000 000</w:t>
            </w:r>
          </w:p>
        </w:tc>
        <w:tc>
          <w:tcPr>
            <w:tcW w:w="27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718"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2024</w:t>
            </w:r>
          </w:p>
        </w:tc>
        <w:tc>
          <w:tcPr>
            <w:tcW w:w="4820"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Регистрация, оценка и акредитация на 3 000 000 единици на компетентност от Националния каталог на професионалните квалификации, придобити чрез професионален опит и неформални курсове на обучение.</w:t>
            </w:r>
          </w:p>
        </w:tc>
      </w:tr>
      <w:tr>
        <w:trPr>
          <w:trHeight w:val="309"/>
        </w:trPr>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298</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C20.I1</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w:t>
            </w:r>
          </w:p>
        </w:tc>
        <w:tc>
          <w:tcPr>
            <w:tcW w:w="2693"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Модулни обучения за повишаване на квалификацията и преквалификация на заетите и безработните </w:t>
            </w:r>
          </w:p>
        </w:tc>
        <w:tc>
          <w:tcPr>
            <w:tcW w:w="1418"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Номер</w:t>
            </w:r>
          </w:p>
        </w:tc>
        <w:tc>
          <w:tcPr>
            <w:tcW w:w="993"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0</w:t>
            </w:r>
          </w:p>
        </w:tc>
        <w:tc>
          <w:tcPr>
            <w:tcW w:w="992"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1 000 000</w:t>
            </w:r>
          </w:p>
        </w:tc>
        <w:tc>
          <w:tcPr>
            <w:tcW w:w="27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718"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2024</w:t>
            </w:r>
          </w:p>
        </w:tc>
        <w:tc>
          <w:tcPr>
            <w:tcW w:w="4820"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Предоставяне на модулно цифрово обучение за повишаване на квалификацията и преквалификация (от които най-малко 300 000 обучени работници) и модулно обучение, насочено към преквалификация и повишаване на квалификацията на заетите и безработните лица (най-малко 700 000 обучени лица).</w:t>
            </w:r>
          </w:p>
        </w:tc>
      </w:tr>
      <w:tr>
        <w:trPr>
          <w:trHeight w:val="309"/>
        </w:trPr>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299</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C20.I2</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w:t>
            </w:r>
          </w:p>
        </w:tc>
        <w:tc>
          <w:tcPr>
            <w:tcW w:w="2693"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Центрове за високи постижения и иновации в професионалното обучение</w:t>
            </w:r>
          </w:p>
        </w:tc>
        <w:tc>
          <w:tcPr>
            <w:tcW w:w="1418"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Номер</w:t>
            </w:r>
          </w:p>
        </w:tc>
        <w:tc>
          <w:tcPr>
            <w:tcW w:w="993"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0</w:t>
            </w:r>
          </w:p>
        </w:tc>
        <w:tc>
          <w:tcPr>
            <w:tcW w:w="992"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50</w:t>
            </w:r>
          </w:p>
        </w:tc>
        <w:tc>
          <w:tcPr>
            <w:tcW w:w="27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718"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2024</w:t>
            </w:r>
          </w:p>
        </w:tc>
        <w:tc>
          <w:tcPr>
            <w:tcW w:w="4820"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Създаване на най-малко 50 центъра за високи постижения и иновации в областта на професионалното обучение</w:t>
            </w:r>
          </w:p>
        </w:tc>
      </w:tr>
      <w:tr>
        <w:trPr>
          <w:trHeight w:val="309"/>
        </w:trPr>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300</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C20.I3</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w:t>
            </w:r>
          </w:p>
        </w:tc>
        <w:tc>
          <w:tcPr>
            <w:tcW w:w="2693"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Най-малко 50 000 нови места за ПОО в сравнение с края на 2020 г.</w:t>
            </w:r>
          </w:p>
        </w:tc>
        <w:tc>
          <w:tcPr>
            <w:tcW w:w="1418"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Номер</w:t>
            </w:r>
          </w:p>
        </w:tc>
        <w:tc>
          <w:tcPr>
            <w:tcW w:w="993"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934 204</w:t>
            </w:r>
          </w:p>
        </w:tc>
        <w:tc>
          <w:tcPr>
            <w:tcW w:w="992"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984 204</w:t>
            </w:r>
          </w:p>
        </w:tc>
        <w:tc>
          <w:tcPr>
            <w:tcW w:w="27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718"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2022</w:t>
            </w:r>
          </w:p>
        </w:tc>
        <w:tc>
          <w:tcPr>
            <w:tcW w:w="4820"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Създаване на общо най-малко 50 000 нови места за ПОО в сравнение с края на 2020 г. Териториалното разпределение на новите места за ПОО следва да се основава на оценка на потребностите и да се основава на дискусия със съответните заинтересовани страни, за да се гарантира, че предлагането отговаря ефективно на регионалните/местните пропуски. Дата на базовата линия: 31 декември 2020 г.</w:t>
            </w:r>
          </w:p>
        </w:tc>
      </w:tr>
      <w:tr>
        <w:trPr>
          <w:trHeight w:val="309"/>
        </w:trPr>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301</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C20.I3</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w:t>
            </w:r>
          </w:p>
        </w:tc>
        <w:tc>
          <w:tcPr>
            <w:tcW w:w="2693"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Двуезични цикли на професионално обучение </w:t>
            </w:r>
          </w:p>
        </w:tc>
        <w:tc>
          <w:tcPr>
            <w:tcW w:w="1418"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Номер</w:t>
            </w:r>
          </w:p>
        </w:tc>
        <w:tc>
          <w:tcPr>
            <w:tcW w:w="993"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0</w:t>
            </w:r>
          </w:p>
        </w:tc>
        <w:tc>
          <w:tcPr>
            <w:tcW w:w="992"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3 700</w:t>
            </w:r>
          </w:p>
        </w:tc>
        <w:tc>
          <w:tcPr>
            <w:tcW w:w="27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718"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2024</w:t>
            </w:r>
          </w:p>
        </w:tc>
        <w:tc>
          <w:tcPr>
            <w:tcW w:w="4820"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Най-малко 3 700 цикъла на професионално обучение (средно и високо), преобразувани в двуезични курсове </w:t>
            </w:r>
          </w:p>
        </w:tc>
      </w:tr>
      <w:tr>
        <w:trPr>
          <w:trHeight w:val="309"/>
        </w:trPr>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302</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C20.I3</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w:t>
            </w:r>
          </w:p>
        </w:tc>
        <w:tc>
          <w:tcPr>
            <w:tcW w:w="2693"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Нови места за ПОО в сравнение с края на 2020 г.</w:t>
            </w:r>
          </w:p>
        </w:tc>
        <w:tc>
          <w:tcPr>
            <w:tcW w:w="1418"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Номер</w:t>
            </w:r>
          </w:p>
        </w:tc>
        <w:tc>
          <w:tcPr>
            <w:tcW w:w="993"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934 204</w:t>
            </w:r>
          </w:p>
        </w:tc>
        <w:tc>
          <w:tcPr>
            <w:tcW w:w="992"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1 069 204</w:t>
            </w:r>
          </w:p>
        </w:tc>
        <w:tc>
          <w:tcPr>
            <w:tcW w:w="27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718"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2024</w:t>
            </w:r>
          </w:p>
        </w:tc>
        <w:tc>
          <w:tcPr>
            <w:tcW w:w="4820"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Най-малко 135 000 нови места за ПОО в сравнение с края на 2020 г. Дата на базовата линия: 31 декември 2020 г.</w:t>
            </w:r>
          </w:p>
        </w:tc>
      </w:tr>
    </w:tbl>
    <w:p>
      <w:pPr>
        <w:spacing w:before="120" w:after="120" w:line="240" w:lineRule="auto"/>
        <w:ind w:left="709"/>
        <w:jc w:val="both"/>
        <w:rPr>
          <w:rFonts w:ascii="Times New Roman" w:hAnsi="Times New Roman" w:cs="Times New Roman"/>
          <w:noProof/>
          <w:sz w:val="24"/>
        </w:rPr>
        <w:sectPr>
          <w:headerReference w:type="even" r:id="rId253"/>
          <w:headerReference w:type="default" r:id="rId254"/>
          <w:footerReference w:type="even" r:id="rId255"/>
          <w:footerReference w:type="default" r:id="rId256"/>
          <w:headerReference w:type="first" r:id="rId257"/>
          <w:footerReference w:type="first" r:id="rId258"/>
          <w:pgSz w:w="16839" w:h="11907" w:orient="landscape"/>
          <w:pgMar w:top="1417" w:right="1134" w:bottom="1417" w:left="1134" w:header="709" w:footer="709" w:gutter="0"/>
          <w:cols w:space="720"/>
          <w:docGrid w:linePitch="360"/>
        </w:sectPr>
      </w:pPr>
    </w:p>
    <w:p>
      <w:pPr>
        <w:pStyle w:val="Heading1"/>
        <w:rPr>
          <w:noProof/>
        </w:rPr>
      </w:pPr>
      <w:r>
        <w:rPr>
          <w:noProof/>
        </w:rPr>
        <w:t>.Ф КОМПОНЕНТ 21: Модернизиране и цифровизация на образованието, включително образованието в ранна детска възраст от 0 до 3 години</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Този компонент на испанския план за възстановяване и устойчивост е насочен към модернизиране на образователната система и подобряване на образователната инфраструктура. Тя има за цел по-гъвкава и приобщаваща система, по-добре съобразена с нуждите на всеки ученик, и въвеждане на нови техники за преподаване и учене, включително цифрови. Основните цели на всеки етап от образованието са: </w:t>
      </w:r>
    </w:p>
    <w:p>
      <w:pPr>
        <w:numPr>
          <w:ilvl w:val="0"/>
          <w:numId w:val="94"/>
        </w:numPr>
        <w:spacing w:before="120" w:after="160" w:line="259" w:lineRule="auto"/>
        <w:contextualSpacing/>
        <w:jc w:val="both"/>
        <w:rPr>
          <w:rFonts w:ascii="Times New Roman" w:hAnsi="Times New Roman" w:cs="Times New Roman"/>
          <w:noProof/>
          <w:sz w:val="24"/>
          <w:szCs w:val="24"/>
        </w:rPr>
      </w:pPr>
      <w:r>
        <w:rPr>
          <w:rFonts w:ascii="Times New Roman" w:hAnsi="Times New Roman"/>
          <w:noProof/>
          <w:sz w:val="24"/>
          <w:szCs w:val="24"/>
          <w:u w:val="single"/>
        </w:rPr>
        <w:t>Образование и грижи за децата в ранна възраст (ОГРДВ)</w:t>
      </w:r>
      <w:r>
        <w:rPr>
          <w:rFonts w:ascii="Times New Roman" w:hAnsi="Times New Roman"/>
          <w:noProof/>
          <w:sz w:val="24"/>
          <w:szCs w:val="24"/>
        </w:rPr>
        <w:t xml:space="preserve">. Компонентът има за цел постепенно увеличаване на броя на записаните в ОГРДВ, като се дава приоритет на осигуряването на нови обществени места за деца в райони с по-висок риск от бедност или социално изключване и селски райони. Акцентът се поставя върху децата от 0 до 3 години и се обръща внимание както на достъпа, така и на достъпността, за да се благоприятства по-специално интеграцията на жените на пазара на труда и да се положат основите за подобряване на образователните резултати и предотвратяване на преждевременното напускане на училище на по-късен етап. </w:t>
      </w:r>
    </w:p>
    <w:p>
      <w:pPr>
        <w:numPr>
          <w:ilvl w:val="0"/>
          <w:numId w:val="94"/>
        </w:numPr>
        <w:spacing w:before="120" w:after="160" w:line="259" w:lineRule="auto"/>
        <w:contextualSpacing/>
        <w:jc w:val="both"/>
        <w:rPr>
          <w:rFonts w:ascii="Times New Roman" w:hAnsi="Times New Roman" w:cs="Times New Roman"/>
          <w:noProof/>
          <w:sz w:val="24"/>
          <w:szCs w:val="24"/>
        </w:rPr>
      </w:pPr>
      <w:r>
        <w:rPr>
          <w:rFonts w:ascii="Times New Roman" w:hAnsi="Times New Roman"/>
          <w:noProof/>
          <w:sz w:val="24"/>
          <w:szCs w:val="24"/>
          <w:u w:val="single"/>
        </w:rPr>
        <w:t>Начално и средно образование</w:t>
      </w:r>
      <w:r>
        <w:rPr>
          <w:rFonts w:ascii="Times New Roman" w:hAnsi="Times New Roman"/>
          <w:noProof/>
          <w:sz w:val="24"/>
          <w:szCs w:val="24"/>
        </w:rPr>
        <w:t xml:space="preserve">. Компонентът има за цел подобряване на образователните резултати чрез намаляване на преждевременното напускане на училище и високия процент на повторение, чрез допълнителна подкрепа за учениците с по-слаби резултати и разработване на нова учебна програма за ключови умения (включително цифрови) в задължителното начално и средно образование и диплома за средно образование. </w:t>
      </w:r>
    </w:p>
    <w:p>
      <w:pPr>
        <w:numPr>
          <w:ilvl w:val="0"/>
          <w:numId w:val="94"/>
        </w:numPr>
        <w:spacing w:before="120" w:after="160" w:line="259" w:lineRule="auto"/>
        <w:contextualSpacing/>
        <w:jc w:val="both"/>
        <w:rPr>
          <w:rFonts w:ascii="Times New Roman" w:hAnsi="Times New Roman" w:cs="Times New Roman"/>
          <w:noProof/>
          <w:sz w:val="24"/>
          <w:szCs w:val="24"/>
        </w:rPr>
      </w:pPr>
      <w:r>
        <w:rPr>
          <w:rFonts w:ascii="Times New Roman" w:hAnsi="Times New Roman"/>
          <w:noProof/>
          <w:sz w:val="24"/>
          <w:szCs w:val="24"/>
          <w:u w:val="single"/>
        </w:rPr>
        <w:t>Университетска система</w:t>
      </w:r>
      <w:r>
        <w:rPr>
          <w:rFonts w:ascii="Times New Roman" w:hAnsi="Times New Roman"/>
          <w:noProof/>
          <w:sz w:val="24"/>
          <w:szCs w:val="24"/>
        </w:rPr>
        <w:t>. . Компонентът има за цел модернизиране на университетската система чрез адаптиране на организацията на университетските курсове към днешните обществени потребности, подобряване на съответствието на висшето образование с нуждите на пазара на труда и подкрепа за технологичната трансформация. Тя също така има за цел да увеличи достъпа до висшето образование и да подобри неговата достъпност.</w:t>
      </w:r>
    </w:p>
    <w:p>
      <w:pPr>
        <w:spacing w:before="120" w:after="120" w:line="240" w:lineRule="auto"/>
        <w:jc w:val="both"/>
        <w:rPr>
          <w:rFonts w:ascii="Times New Roman" w:hAnsi="Times New Roman" w:cs="Times New Roman"/>
          <w:bCs/>
          <w:noProof/>
          <w:sz w:val="24"/>
        </w:rPr>
      </w:pPr>
      <w:r>
        <w:rPr>
          <w:rFonts w:ascii="Times New Roman" w:hAnsi="Times New Roman"/>
          <w:bCs/>
          <w:noProof/>
          <w:sz w:val="24"/>
        </w:rPr>
        <w:t xml:space="preserve">Компонентът допринася за изпълнението на специфичните за всяка държава препоръки, свързани с намаляване на преждевременното напускане на училище и подобряване на образователните резултати, като се отчитат регионалните различия (специфична за държавата препоръка № 2 от 2019 г.) и се подобрява достъпът до цифрово обучение (специфична за държавата препоръка № 2 от 2020 г.). </w:t>
      </w:r>
      <w:r>
        <w:rPr>
          <w:rFonts w:ascii="Times New Roman" w:hAnsi="Times New Roman"/>
          <w:noProof/>
          <w:sz w:val="24"/>
        </w:rPr>
        <w:t>Тя също така допринася за изпълнението на по-ранни специфични за всяка държава препоръки, свързани с по-добрата подкрепа за учениците и обучението на преподавателите, както и за подобряване на подкрепата за семействата (специфични за държавата препоръка № 2 от 2019 г.), включително достъпа до качествени грижи за деца.</w:t>
      </w:r>
      <w:r>
        <w:rPr>
          <w:rFonts w:ascii="Times New Roman" w:hAnsi="Times New Roman"/>
          <w:noProof/>
          <w:sz w:val="24"/>
          <w:szCs w:val="24"/>
        </w:rPr>
        <w:t xml:space="preserve"> </w:t>
      </w:r>
    </w:p>
    <w:p>
      <w:pPr>
        <w:spacing w:before="120" w:after="120" w:line="240" w:lineRule="auto"/>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Очаква се, че нито една мярка в този компонент не вреди в значителна степен на екологичните цели по смисъла на член 17 от Регламент (ЕС) 2020/852, като се вземат предвид описанието на мерките и стъпките за смекчаване на последиците, определени в плана за възстановяване и устойчивост в съответствие с Техническите насоки за спазването на „принципа за ненанасяне на съществена вреда“ (2021/C58/01).</w:t>
      </w:r>
    </w:p>
    <w:p>
      <w:pPr>
        <w:rPr>
          <w:rFonts w:ascii="Times New Roman" w:hAnsi="Times New Roman"/>
          <w:noProof/>
          <w:color w:val="000000" w:themeColor="text1"/>
          <w:sz w:val="24"/>
          <w:szCs w:val="24"/>
        </w:rPr>
      </w:pPr>
      <w:r>
        <w:rPr>
          <w:rFonts w:ascii="Times New Roman" w:hAnsi="Times New Roman"/>
          <w:noProof/>
          <w:color w:val="000000" w:themeColor="text1"/>
          <w:sz w:val="24"/>
          <w:szCs w:val="24"/>
        </w:rPr>
        <w:br w:type="page"/>
      </w:r>
    </w:p>
    <w:p>
      <w:pPr>
        <w:spacing w:before="120" w:after="120" w:line="240" w:lineRule="auto"/>
        <w:ind w:left="709"/>
        <w:jc w:val="both"/>
        <w:rPr>
          <w:rFonts w:ascii="Times New Roman" w:hAnsi="Times New Roman" w:cs="Times New Roman"/>
          <w:b/>
          <w:i/>
          <w:noProof/>
          <w:color w:val="4F81BD" w:themeColor="accent1"/>
          <w:sz w:val="24"/>
        </w:rPr>
      </w:pPr>
      <w:r>
        <w:rPr>
          <w:rFonts w:ascii="Times New Roman" w:hAnsi="Times New Roman"/>
          <w:b/>
          <w:bCs/>
          <w:noProof/>
          <w:sz w:val="24"/>
          <w:u w:val="single"/>
        </w:rPr>
        <w:t xml:space="preserve">Ф.1. </w:t>
      </w:r>
      <w:r>
        <w:rPr>
          <w:rFonts w:ascii="Times New Roman" w:hAnsi="Times New Roman"/>
          <w:b/>
          <w:noProof/>
          <w:sz w:val="24"/>
          <w:u w:val="single"/>
        </w:rPr>
        <w:tab/>
      </w:r>
      <w:r>
        <w:rPr>
          <w:rFonts w:ascii="Times New Roman" w:hAnsi="Times New Roman"/>
          <w:b/>
          <w:bCs/>
          <w:noProof/>
          <w:sz w:val="24"/>
          <w:u w:val="single"/>
        </w:rPr>
        <w:t>Описание на реформите и инвестициите за безвъзмездна финансова подкрепа</w:t>
      </w:r>
    </w:p>
    <w:p>
      <w:pPr>
        <w:spacing w:before="120" w:after="120" w:line="240" w:lineRule="auto"/>
        <w:jc w:val="both"/>
        <w:rPr>
          <w:rFonts w:ascii="Times New Roman" w:hAnsi="Times New Roman" w:cs="Times New Roman"/>
          <w:noProof/>
          <w:color w:val="000000"/>
          <w:sz w:val="24"/>
          <w:u w:val="single"/>
          <w:shd w:val="clear" w:color="auto" w:fill="FFFFFF"/>
        </w:rPr>
      </w:pPr>
      <w:r>
        <w:rPr>
          <w:rFonts w:ascii="Times New Roman" w:hAnsi="Times New Roman"/>
          <w:noProof/>
          <w:color w:val="000000"/>
          <w:sz w:val="24"/>
          <w:szCs w:val="24"/>
          <w:u w:val="single"/>
          <w:shd w:val="clear" w:color="auto" w:fill="FFFFFF"/>
        </w:rPr>
        <w:t>Реформа 1 (C21.R1) – Нов органичен закон за образованието</w:t>
      </w:r>
    </w:p>
    <w:p>
      <w:pPr>
        <w:spacing w:before="120" w:after="120" w:line="240" w:lineRule="auto"/>
        <w:jc w:val="both"/>
        <w:rPr>
          <w:rFonts w:ascii="Times New Roman" w:hAnsi="Times New Roman" w:cs="Times New Roman"/>
          <w:noProof/>
          <w:sz w:val="24"/>
          <w:szCs w:val="24"/>
        </w:rPr>
      </w:pPr>
      <w:r>
        <w:rPr>
          <w:rFonts w:ascii="Times New Roman" w:hAnsi="Times New Roman"/>
          <w:noProof/>
          <w:color w:val="000000"/>
          <w:sz w:val="24"/>
          <w:szCs w:val="24"/>
          <w:shd w:val="clear" w:color="auto" w:fill="FFFFFF"/>
        </w:rPr>
        <w:t>Тази реформа включва приемането на нов закон за образованието, обхващащ образованието в ранна детска възраст, задължителното начално и средно образование и дипломата за средно образование</w:t>
      </w:r>
      <w:r>
        <w:rPr>
          <w:rFonts w:ascii="Times New Roman" w:hAnsi="Times New Roman"/>
          <w:noProof/>
          <w:sz w:val="24"/>
          <w:szCs w:val="24"/>
        </w:rPr>
        <w:t>. Тя създава основата за увеличаване на възможностите за образование и обучение за цялото население, включително чрез подобряване на образователните резултати и ранно откриване на трудности и укрепване на автономността на училищата. Тя е насочена към намаляване на сегрегацията с оглед на произхода на студентите и подобряване на приобщаващия капацитет на системата. Освен това целта е да се засилят цифровите компетентности на всички образователни равнища, като по този начин се отговори на все по-цифровизираната икономика.  На 29 декември 2020 г. беше приет нов закон (LOMLOE).</w:t>
      </w:r>
    </w:p>
    <w:p>
      <w:pPr>
        <w:spacing w:before="120" w:after="120" w:line="240" w:lineRule="auto"/>
        <w:jc w:val="both"/>
        <w:rPr>
          <w:rFonts w:ascii="Times New Roman" w:hAnsi="Times New Roman" w:cs="Times New Roman"/>
          <w:noProof/>
          <w:color w:val="000000"/>
          <w:sz w:val="24"/>
          <w:szCs w:val="24"/>
        </w:rPr>
      </w:pPr>
      <w:r>
        <w:rPr>
          <w:rFonts w:ascii="Times New Roman" w:hAnsi="Times New Roman"/>
          <w:noProof/>
          <w:color w:val="000000"/>
          <w:sz w:val="24"/>
          <w:szCs w:val="24"/>
        </w:rPr>
        <w:t xml:space="preserve">Регулаторното развитие на Закона за образованието следва да се осъществява посредством: </w:t>
      </w:r>
    </w:p>
    <w:p>
      <w:pPr>
        <w:numPr>
          <w:ilvl w:val="0"/>
          <w:numId w:val="95"/>
        </w:numPr>
        <w:spacing w:before="120" w:after="160" w:line="259" w:lineRule="auto"/>
        <w:contextualSpacing/>
        <w:jc w:val="both"/>
        <w:rPr>
          <w:rFonts w:ascii="Times New Roman" w:hAnsi="Times New Roman" w:cs="Times New Roman"/>
          <w:noProof/>
          <w:color w:val="000000"/>
          <w:sz w:val="24"/>
          <w:szCs w:val="24"/>
        </w:rPr>
      </w:pPr>
      <w:r>
        <w:rPr>
          <w:rFonts w:ascii="Times New Roman" w:hAnsi="Times New Roman"/>
          <w:noProof/>
          <w:color w:val="000000"/>
          <w:sz w:val="24"/>
          <w:szCs w:val="24"/>
        </w:rPr>
        <w:t xml:space="preserve">регламентиране на нова учебна програма, основана на компетентностите; </w:t>
      </w:r>
    </w:p>
    <w:p>
      <w:pPr>
        <w:numPr>
          <w:ilvl w:val="0"/>
          <w:numId w:val="95"/>
        </w:numPr>
        <w:spacing w:before="120" w:after="160" w:line="259" w:lineRule="auto"/>
        <w:contextualSpacing/>
        <w:jc w:val="both"/>
        <w:rPr>
          <w:rFonts w:ascii="Times New Roman" w:hAnsi="Times New Roman" w:cs="Times New Roman"/>
          <w:noProof/>
          <w:color w:val="000000"/>
          <w:sz w:val="24"/>
          <w:szCs w:val="24"/>
        </w:rPr>
      </w:pPr>
      <w:r>
        <w:rPr>
          <w:rFonts w:ascii="Times New Roman" w:hAnsi="Times New Roman"/>
          <w:noProof/>
          <w:color w:val="000000"/>
          <w:sz w:val="24"/>
          <w:szCs w:val="24"/>
        </w:rPr>
        <w:t xml:space="preserve">оценка, по-специално общата оценка на образователната система, както и диагностичните оценки; </w:t>
      </w:r>
    </w:p>
    <w:p>
      <w:pPr>
        <w:numPr>
          <w:ilvl w:val="0"/>
          <w:numId w:val="95"/>
        </w:numPr>
        <w:spacing w:before="120" w:after="160" w:line="259" w:lineRule="auto"/>
        <w:contextualSpacing/>
        <w:jc w:val="both"/>
        <w:rPr>
          <w:rFonts w:ascii="Times New Roman" w:hAnsi="Times New Roman" w:cs="Times New Roman"/>
          <w:noProof/>
          <w:color w:val="000000"/>
          <w:sz w:val="24"/>
          <w:szCs w:val="24"/>
        </w:rPr>
      </w:pPr>
      <w:r>
        <w:rPr>
          <w:rFonts w:ascii="Times New Roman" w:hAnsi="Times New Roman"/>
          <w:noProof/>
          <w:color w:val="000000"/>
          <w:sz w:val="24"/>
          <w:szCs w:val="24"/>
        </w:rPr>
        <w:t>развитието на учителската професия; и</w:t>
      </w:r>
    </w:p>
    <w:p>
      <w:pPr>
        <w:numPr>
          <w:ilvl w:val="0"/>
          <w:numId w:val="95"/>
        </w:numPr>
        <w:spacing w:before="120" w:after="160" w:line="259" w:lineRule="auto"/>
        <w:contextualSpacing/>
        <w:jc w:val="both"/>
        <w:rPr>
          <w:rFonts w:ascii="Times New Roman" w:hAnsi="Times New Roman" w:cs="Times New Roman"/>
          <w:noProof/>
          <w:color w:val="000000"/>
          <w:sz w:val="24"/>
          <w:szCs w:val="24"/>
        </w:rPr>
      </w:pPr>
      <w:r>
        <w:rPr>
          <w:rFonts w:ascii="Times New Roman" w:hAnsi="Times New Roman"/>
          <w:noProof/>
          <w:color w:val="000000"/>
          <w:sz w:val="24"/>
          <w:szCs w:val="24"/>
        </w:rPr>
        <w:t xml:space="preserve">регулирането на признаването и валидирането на чуждестранни неуниверситетски сертификати и обучение. </w:t>
      </w:r>
    </w:p>
    <w:p>
      <w:pPr>
        <w:spacing w:before="120" w:after="120" w:line="240" w:lineRule="auto"/>
        <w:jc w:val="both"/>
        <w:rPr>
          <w:rFonts w:ascii="Times New Roman" w:hAnsi="Times New Roman" w:cs="Times New Roman"/>
          <w:noProof/>
          <w:color w:val="000000"/>
          <w:sz w:val="24"/>
          <w:shd w:val="clear" w:color="auto" w:fill="FFFFFF"/>
        </w:rPr>
      </w:pPr>
      <w:r>
        <w:rPr>
          <w:rFonts w:ascii="Times New Roman" w:hAnsi="Times New Roman"/>
          <w:noProof/>
          <w:color w:val="000000"/>
          <w:sz w:val="24"/>
          <w:szCs w:val="24"/>
          <w:shd w:val="clear" w:color="auto" w:fill="FFFFFF"/>
        </w:rPr>
        <w:t>За тази цел тя полага основите за реформа 2 и за различни инвестиции, включени в компонента</w:t>
      </w:r>
      <w:r>
        <w:rPr>
          <w:rFonts w:ascii="Times New Roman" w:hAnsi="Times New Roman"/>
          <w:noProof/>
          <w:sz w:val="24"/>
          <w:szCs w:val="24"/>
        </w:rPr>
        <w:t>.</w:t>
      </w:r>
      <w:r>
        <w:rPr>
          <w:rFonts w:ascii="Times New Roman" w:hAnsi="Times New Roman"/>
          <w:noProof/>
          <w:color w:val="000000"/>
          <w:sz w:val="24"/>
          <w:szCs w:val="24"/>
          <w:shd w:val="clear" w:color="auto" w:fill="FFFFFF"/>
        </w:rPr>
        <w:t xml:space="preserve"> </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И накрая, очаква се реформата да насърчи включването на учениците със специално образование в редовните училища и да бъде придружена от 10-годишен текущ план, съгласуван с регионалните органи, предоставящ допълнителни ресурси за подпомагане на училищата, приемащи ученици със специални потребности. </w:t>
      </w:r>
    </w:p>
    <w:p>
      <w:pPr>
        <w:spacing w:before="120" w:after="120" w:line="240" w:lineRule="auto"/>
        <w:jc w:val="both"/>
        <w:rPr>
          <w:rFonts w:ascii="Times New Roman" w:hAnsi="Times New Roman" w:cs="Times New Roman"/>
          <w:noProof/>
          <w:sz w:val="24"/>
        </w:rPr>
      </w:pPr>
      <w:r>
        <w:rPr>
          <w:rFonts w:ascii="Times New Roman" w:hAnsi="Times New Roman"/>
          <w:noProof/>
          <w:color w:val="000000"/>
          <w:sz w:val="24"/>
          <w:szCs w:val="24"/>
          <w:shd w:val="clear" w:color="auto" w:fill="FFFFFF"/>
        </w:rPr>
        <w:t>Изпълнението на мярката приключва до 31 март 2021 г.</w:t>
      </w:r>
    </w:p>
    <w:p>
      <w:pPr>
        <w:spacing w:before="120" w:after="120" w:line="240" w:lineRule="auto"/>
        <w:jc w:val="both"/>
        <w:rPr>
          <w:rFonts w:ascii="Times New Roman" w:hAnsi="Times New Roman" w:cs="Times New Roman"/>
          <w:noProof/>
          <w:color w:val="000000"/>
          <w:sz w:val="24"/>
          <w:shd w:val="clear" w:color="auto" w:fill="FFFFFF"/>
        </w:rPr>
      </w:pPr>
      <w:r>
        <w:rPr>
          <w:rFonts w:ascii="Times New Roman" w:hAnsi="Times New Roman"/>
          <w:noProof/>
          <w:color w:val="000000"/>
          <w:sz w:val="24"/>
          <w:szCs w:val="24"/>
          <w:u w:val="single"/>
          <w:shd w:val="clear" w:color="auto" w:fill="FFFFFF"/>
        </w:rPr>
        <w:t>Реформа 2 (C21.R2) – Нов модел на учебна програма за ключови компетентности, основно обучение и приобщаващо академично планиране</w:t>
      </w:r>
      <w:r>
        <w:rPr>
          <w:rFonts w:ascii="Times New Roman" w:hAnsi="Times New Roman"/>
          <w:noProof/>
          <w:color w:val="000000"/>
          <w:sz w:val="24"/>
          <w:szCs w:val="24"/>
          <w:shd w:val="clear" w:color="auto" w:fill="FFFFFF"/>
        </w:rPr>
        <w:t xml:space="preserve"> </w:t>
      </w:r>
    </w:p>
    <w:p>
      <w:pPr>
        <w:spacing w:before="120" w:after="12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sz w:val="24"/>
          <w:szCs w:val="24"/>
          <w:shd w:val="clear" w:color="auto" w:fill="FFFFFF"/>
        </w:rPr>
        <w:t xml:space="preserve">Въз основа на приемането на новия закон за образованието (LOMLOE), посочен в Реформа 1, тази реформа включва приемането на укази относно минималните изисквания за основно, задължително средно образование и диплома за средно образование. </w:t>
      </w:r>
      <w:r>
        <w:rPr>
          <w:rFonts w:ascii="Times New Roman" w:hAnsi="Times New Roman"/>
          <w:noProof/>
          <w:sz w:val="24"/>
          <w:szCs w:val="24"/>
        </w:rPr>
        <w:t>То включва и въвеждането на методологични насоки за преподаване и учене въз основа на основана на компетентности учебна програма и включване на „меки“ умения, като се взема предвид препоръката на Съвета от 22 май 2018 г. относно ключовите компетентности за учене през целия живот.</w:t>
      </w:r>
      <w:r>
        <w:rPr>
          <w:rFonts w:ascii="Times New Roman" w:hAnsi="Times New Roman"/>
          <w:noProof/>
          <w:color w:val="000000" w:themeColor="text1"/>
          <w:sz w:val="24"/>
          <w:szCs w:val="24"/>
        </w:rPr>
        <w:t xml:space="preserve"> Декретът съдържа рамка за оценка, разработена в съответствие с учебната програма и съсредоточена върху степента на придобиване на компетентностите и върху оценката на мерките, които благоприятстват напредъка на студентите. Целта е да се разработи по-гъвкав и отворен образователен модел, който насърчава задълбоченото учене чрез прилагане на методологии за сътрудничество и допринася за подобряване на образователните резултати. В новата учебна програма се обръща внимание на образованието за устойчиво развитие и гражданство. Развитието на цифровите компетентности се включва на всички равнища както чрез специфично съдържание, така и в хоризонтална перспектива.</w:t>
      </w:r>
    </w:p>
    <w:p>
      <w:pPr>
        <w:pStyle w:val="Text1"/>
        <w:ind w:left="0"/>
        <w:rPr>
          <w:noProof/>
          <w:color w:val="000000" w:themeColor="text1"/>
          <w:szCs w:val="24"/>
        </w:rPr>
      </w:pPr>
      <w:r>
        <w:rPr>
          <w:noProof/>
          <w:color w:val="000000" w:themeColor="text1"/>
          <w:szCs w:val="24"/>
        </w:rPr>
        <w:t>В тази реформа най-малко 100 външни експерти участват в изготвянето на учебната програма в областите и темите на образователните етапи и на рамките за оценка, които ще осигурят основата за изготвянето на кралските укази за новата учебна програма и общата рамка за оценка.</w:t>
      </w:r>
    </w:p>
    <w:p>
      <w:pPr>
        <w:spacing w:before="120" w:after="120" w:line="240" w:lineRule="auto"/>
        <w:jc w:val="both"/>
        <w:rPr>
          <w:rFonts w:ascii="Times New Roman" w:hAnsi="Times New Roman" w:cs="Times New Roman"/>
          <w:noProof/>
          <w:sz w:val="24"/>
          <w:szCs w:val="24"/>
        </w:rPr>
      </w:pPr>
      <w:r>
        <w:rPr>
          <w:rFonts w:ascii="Times New Roman" w:hAnsi="Times New Roman"/>
          <w:noProof/>
          <w:color w:val="000000" w:themeColor="text1"/>
          <w:sz w:val="24"/>
          <w:szCs w:val="24"/>
        </w:rPr>
        <w:t xml:space="preserve">Реформата включва също така подготовката на помощни материали, насоки и учебни материали, както и обучение на учителите, за да се гарантира, че те могат ефективно да прилагат новата учебна програма. </w:t>
      </w:r>
      <w:r>
        <w:rPr>
          <w:rFonts w:ascii="Times New Roman" w:hAnsi="Times New Roman"/>
          <w:noProof/>
          <w:sz w:val="24"/>
          <w:szCs w:val="24"/>
        </w:rPr>
        <w:t>Материалите се публикуват онлайн за ползване от всички учители, заедно с разпространението на добри практики.</w:t>
      </w:r>
      <w:r>
        <w:rPr>
          <w:rFonts w:ascii="Times New Roman" w:hAnsi="Times New Roman"/>
          <w:noProof/>
          <w:color w:val="000000"/>
          <w:sz w:val="24"/>
          <w:szCs w:val="24"/>
        </w:rPr>
        <w:t xml:space="preserve"> Най-малко 4000 специалисти завършват обучение за прилагането на новата учебна програма. </w:t>
      </w:r>
    </w:p>
    <w:p>
      <w:pPr>
        <w:spacing w:before="120" w:after="120" w:line="240" w:lineRule="auto"/>
        <w:jc w:val="both"/>
        <w:rPr>
          <w:rFonts w:ascii="Times New Roman" w:hAnsi="Times New Roman" w:cs="Times New Roman"/>
          <w:noProof/>
          <w:color w:val="000000"/>
          <w:sz w:val="24"/>
          <w:szCs w:val="24"/>
          <w:shd w:val="clear" w:color="auto" w:fill="FFFFFF"/>
        </w:rPr>
      </w:pPr>
      <w:r>
        <w:rPr>
          <w:rFonts w:ascii="Times New Roman" w:hAnsi="Times New Roman"/>
          <w:noProof/>
          <w:color w:val="000000"/>
          <w:sz w:val="24"/>
          <w:szCs w:val="24"/>
          <w:shd w:val="clear" w:color="auto" w:fill="FFFFFF"/>
        </w:rPr>
        <w:t>Разработването и изпълнението на реформата се извършва в консултация с консултативните органи и експерти в областта на образованието и с автономните общности.</w:t>
      </w:r>
    </w:p>
    <w:p>
      <w:pPr>
        <w:spacing w:before="120" w:after="120" w:line="240" w:lineRule="auto"/>
        <w:jc w:val="both"/>
        <w:rPr>
          <w:rFonts w:ascii="Times New Roman" w:hAnsi="Times New Roman" w:cs="Times New Roman"/>
          <w:noProof/>
          <w:color w:val="000000"/>
          <w:sz w:val="24"/>
          <w:shd w:val="clear" w:color="auto" w:fill="FFFFFF"/>
        </w:rPr>
      </w:pPr>
      <w:r>
        <w:rPr>
          <w:rFonts w:ascii="Times New Roman" w:hAnsi="Times New Roman"/>
          <w:noProof/>
          <w:color w:val="000000"/>
          <w:sz w:val="24"/>
          <w:szCs w:val="24"/>
          <w:shd w:val="clear" w:color="auto" w:fill="FFFFFF"/>
        </w:rPr>
        <w:t>Изпълнението на мярката приключва до 30 септември 2024 г.</w:t>
      </w:r>
    </w:p>
    <w:p>
      <w:pPr>
        <w:spacing w:before="120" w:after="120" w:line="240" w:lineRule="auto"/>
        <w:jc w:val="both"/>
        <w:rPr>
          <w:rFonts w:ascii="Times New Roman" w:hAnsi="Times New Roman" w:cs="Times New Roman"/>
          <w:noProof/>
          <w:color w:val="000000"/>
          <w:sz w:val="24"/>
          <w:u w:val="single"/>
          <w:shd w:val="clear" w:color="auto" w:fill="FFFFFF"/>
        </w:rPr>
      </w:pPr>
      <w:r>
        <w:rPr>
          <w:rFonts w:ascii="Times New Roman" w:hAnsi="Times New Roman"/>
          <w:noProof/>
          <w:color w:val="000000"/>
          <w:sz w:val="24"/>
          <w:szCs w:val="24"/>
          <w:u w:val="single"/>
          <w:shd w:val="clear" w:color="auto" w:fill="FFFFFF"/>
        </w:rPr>
        <w:t xml:space="preserve">Реформа 3 (C21.R3) – цялостна реформа на университетската система </w:t>
      </w:r>
    </w:p>
    <w:p>
      <w:pPr>
        <w:spacing w:before="120" w:after="120" w:line="240" w:lineRule="auto"/>
        <w:jc w:val="both"/>
        <w:rPr>
          <w:rFonts w:ascii="Times New Roman" w:hAnsi="Times New Roman" w:cs="Times New Roman"/>
          <w:noProof/>
          <w:sz w:val="24"/>
        </w:rPr>
      </w:pPr>
      <w:r>
        <w:rPr>
          <w:rFonts w:ascii="Times New Roman" w:hAnsi="Times New Roman"/>
          <w:noProof/>
          <w:color w:val="000000"/>
          <w:sz w:val="24"/>
          <w:szCs w:val="24"/>
          <w:shd w:val="clear" w:color="auto" w:fill="FFFFFF"/>
        </w:rPr>
        <w:t xml:space="preserve">Реформата е съсредоточена върху ново законодателство относно университетската система, насочено към цялостна реформа на системата въз основа на </w:t>
      </w:r>
      <w:bookmarkStart w:id="5" w:name="_Hlk65757328"/>
      <w:r>
        <w:rPr>
          <w:rFonts w:ascii="Times New Roman" w:hAnsi="Times New Roman"/>
          <w:noProof/>
          <w:color w:val="000000"/>
          <w:sz w:val="24"/>
          <w:szCs w:val="24"/>
          <w:shd w:val="clear" w:color="auto" w:fill="FFFFFF"/>
        </w:rPr>
        <w:t>четири ключови цели</w:t>
      </w:r>
      <w:r>
        <w:rPr>
          <w:rFonts w:ascii="Times New Roman" w:hAnsi="Times New Roman"/>
          <w:noProof/>
          <w:sz w:val="24"/>
          <w:szCs w:val="24"/>
        </w:rPr>
        <w:t xml:space="preserve">: </w:t>
      </w:r>
    </w:p>
    <w:bookmarkEnd w:id="5"/>
    <w:p>
      <w:pPr>
        <w:numPr>
          <w:ilvl w:val="0"/>
          <w:numId w:val="96"/>
        </w:numPr>
        <w:spacing w:before="120" w:after="120" w:line="240" w:lineRule="auto"/>
        <w:jc w:val="both"/>
        <w:rPr>
          <w:rFonts w:ascii="Times New Roman" w:hAnsi="Times New Roman" w:cs="Times New Roman"/>
          <w:noProof/>
          <w:color w:val="000000"/>
          <w:sz w:val="24"/>
          <w:szCs w:val="24"/>
          <w:shd w:val="clear" w:color="auto" w:fill="FFFFFF"/>
        </w:rPr>
      </w:pPr>
      <w:r>
        <w:rPr>
          <w:rFonts w:ascii="Times New Roman" w:hAnsi="Times New Roman"/>
          <w:noProof/>
          <w:color w:val="000000"/>
          <w:sz w:val="24"/>
          <w:szCs w:val="24"/>
          <w:shd w:val="clear" w:color="auto" w:fill="FFFFFF"/>
        </w:rPr>
        <w:t>Насърчаване на достъпа до висше образование. Стипендиите се увеличават, като се отчитат социално-икономическите условия, а равните възможности се осигуряват чрез подобряване на стипендиите за студенти с увреждания. Системата за отпускане на стипендии беше реформирана през 2020 г., но ще бъде доразвита през 2021 г. и 2022 г. Таксите на публичните университети също се намаляват, включително чрез установяване на прагове и намаляване на големите регионални различия.</w:t>
      </w:r>
    </w:p>
    <w:p>
      <w:pPr>
        <w:numPr>
          <w:ilvl w:val="0"/>
          <w:numId w:val="96"/>
        </w:numPr>
        <w:spacing w:before="120" w:after="120" w:line="240" w:lineRule="auto"/>
        <w:jc w:val="both"/>
        <w:rPr>
          <w:rFonts w:ascii="Times New Roman" w:hAnsi="Times New Roman" w:cs="Times New Roman"/>
          <w:noProof/>
          <w:color w:val="000000"/>
          <w:sz w:val="24"/>
          <w:szCs w:val="24"/>
          <w:shd w:val="clear" w:color="auto" w:fill="FFFFFF"/>
        </w:rPr>
      </w:pPr>
      <w:r>
        <w:rPr>
          <w:rFonts w:ascii="Times New Roman" w:hAnsi="Times New Roman"/>
          <w:noProof/>
          <w:color w:val="000000"/>
          <w:sz w:val="24"/>
          <w:szCs w:val="24"/>
          <w:shd w:val="clear" w:color="auto" w:fill="FFFFFF"/>
        </w:rPr>
        <w:t xml:space="preserve">Приемане на организирането на университетски курсове. Приема се декрет закон за реформиране на организацията на университетските курсове и за гарантиране на тяхното качество и съответствие с пазара на труда. </w:t>
      </w:r>
      <w:r>
        <w:rPr>
          <w:rFonts w:ascii="Times New Roman" w:hAnsi="Times New Roman"/>
          <w:noProof/>
          <w:sz w:val="24"/>
          <w:szCs w:val="24"/>
        </w:rPr>
        <w:t>За тази цел университетското сътрудничество с бизнеса във висшето образование се насърчава чрез регулиране на двойните бакалавърски и магистърски степени, включително програми за обучение в дружества под надзора на университети.</w:t>
      </w:r>
      <w:r>
        <w:rPr>
          <w:rFonts w:ascii="Times New Roman" w:hAnsi="Times New Roman"/>
          <w:noProof/>
          <w:color w:val="000000"/>
          <w:sz w:val="24"/>
          <w:szCs w:val="24"/>
          <w:shd w:val="clear" w:color="auto" w:fill="FFFFFF"/>
        </w:rPr>
        <w:t xml:space="preserve"> В съответствие с целите на европейското пространство за образование се гарантира автоматичното признаване на дипломите. Процесите на проверка, проследяване и акредитиране на неприсъствено или полуприсъствено преподаване, като се съчетават осигуряване на качеството на предлаганото университетско образование и намаляване на бюрокрацията в съответните процедури</w:t>
      </w:r>
      <w:r>
        <w:rPr>
          <w:rFonts w:ascii="Times New Roman" w:hAnsi="Times New Roman"/>
          <w:noProof/>
          <w:color w:val="000000"/>
          <w:sz w:val="24"/>
          <w:szCs w:val="24"/>
        </w:rPr>
        <w:t xml:space="preserve">. Насърчава се и иновативното преподаване. </w:t>
      </w:r>
    </w:p>
    <w:p>
      <w:pPr>
        <w:numPr>
          <w:ilvl w:val="0"/>
          <w:numId w:val="96"/>
        </w:numPr>
        <w:spacing w:before="120" w:after="120" w:line="240" w:lineRule="auto"/>
        <w:jc w:val="both"/>
        <w:rPr>
          <w:rFonts w:ascii="Times New Roman" w:hAnsi="Times New Roman" w:cs="Times New Roman"/>
          <w:noProof/>
          <w:color w:val="000000"/>
          <w:sz w:val="24"/>
          <w:szCs w:val="24"/>
          <w:shd w:val="clear" w:color="auto" w:fill="FFFFFF"/>
        </w:rPr>
      </w:pPr>
      <w:r>
        <w:rPr>
          <w:rFonts w:ascii="Times New Roman" w:hAnsi="Times New Roman"/>
          <w:noProof/>
          <w:color w:val="000000"/>
          <w:sz w:val="24"/>
          <w:szCs w:val="24"/>
          <w:shd w:val="clear" w:color="auto" w:fill="FFFFFF"/>
        </w:rPr>
        <w:t>Осигуряване на добро управление на университетските институции и насърчаване на научните изследвания, трансфера и мобилността на преподавателския и изследователския персонал. Целта е да се гарантира ефективност, ефикасност и автономност на университетите в ежедневното управление на университетите, да се увеличи участието на заинтересованите страни в управлението и да се насърчи прозрачността и отчетността. Тя също така гарантира, че университетите разполагат с висококвалифицирани учители, че учителската кариера е по-предвидима и че връзката между преподаването и научните изследвания е засилена.</w:t>
      </w:r>
    </w:p>
    <w:p>
      <w:pPr>
        <w:numPr>
          <w:ilvl w:val="0"/>
          <w:numId w:val="96"/>
        </w:numPr>
        <w:spacing w:before="120" w:after="120" w:line="240" w:lineRule="auto"/>
        <w:jc w:val="both"/>
        <w:rPr>
          <w:rFonts w:ascii="Times New Roman" w:hAnsi="Times New Roman" w:cs="Times New Roman"/>
          <w:noProof/>
          <w:color w:val="000000"/>
          <w:sz w:val="24"/>
          <w:szCs w:val="24"/>
          <w:shd w:val="clear" w:color="auto" w:fill="FFFFFF"/>
        </w:rPr>
      </w:pPr>
      <w:r>
        <w:rPr>
          <w:rFonts w:ascii="Times New Roman" w:hAnsi="Times New Roman"/>
          <w:noProof/>
          <w:color w:val="000000"/>
          <w:sz w:val="24"/>
          <w:szCs w:val="24"/>
          <w:shd w:val="clear" w:color="auto" w:fill="FFFFFF"/>
        </w:rPr>
        <w:t xml:space="preserve">Гарантиране на качеството на университетските институции. </w:t>
      </w:r>
      <w:r>
        <w:rPr>
          <w:rFonts w:ascii="Times New Roman" w:hAnsi="Times New Roman"/>
          <w:noProof/>
          <w:color w:val="000000"/>
          <w:sz w:val="24"/>
          <w:szCs w:val="24"/>
        </w:rPr>
        <w:t>Приема се указ-закон, в който се определят критериите за академично качество за създаването, признаването, упълномощаването и акредитирането на университети и прикрепени към тях центрове, включително дистанционни и полуприсъствени университети.</w:t>
      </w:r>
      <w:r>
        <w:rPr>
          <w:rFonts w:ascii="Times New Roman" w:hAnsi="Times New Roman"/>
          <w:noProof/>
          <w:color w:val="000000"/>
          <w:sz w:val="24"/>
          <w:szCs w:val="24"/>
          <w:shd w:val="clear" w:color="auto" w:fill="FFFFFF"/>
        </w:rPr>
        <w:t xml:space="preserve"> Целта е университетите да имат минимално формиращо академично предложение, като същевременно се гарантира възможността за специализация на университетите</w:t>
      </w:r>
      <w:r>
        <w:rPr>
          <w:rFonts w:ascii="Times New Roman" w:hAnsi="Times New Roman"/>
          <w:noProof/>
          <w:color w:val="000000"/>
          <w:sz w:val="24"/>
          <w:szCs w:val="24"/>
        </w:rPr>
        <w:t>; минимален брой студенти; отделят най-малко 5 % от своя бюджет за научноизследователски програми; и да разполагат с вътрешни системи за осигуряване на качеството.</w:t>
      </w:r>
    </w:p>
    <w:p>
      <w:pPr>
        <w:spacing w:before="120" w:after="120" w:line="240" w:lineRule="auto"/>
        <w:jc w:val="both"/>
        <w:rPr>
          <w:rFonts w:ascii="Times New Roman" w:hAnsi="Times New Roman" w:cs="Times New Roman"/>
          <w:noProof/>
          <w:color w:val="000000"/>
          <w:sz w:val="24"/>
          <w:szCs w:val="24"/>
          <w:shd w:val="clear" w:color="auto" w:fill="FFFFFF"/>
        </w:rPr>
      </w:pPr>
      <w:r>
        <w:rPr>
          <w:rFonts w:ascii="Times New Roman" w:hAnsi="Times New Roman"/>
          <w:noProof/>
          <w:color w:val="000000"/>
          <w:sz w:val="24"/>
          <w:szCs w:val="24"/>
          <w:shd w:val="clear" w:color="auto" w:fill="FFFFFF"/>
        </w:rPr>
        <w:t>За тази цел реформата взема предвид препоръките, направени от Конференцията на испанските университетски ректори (CRUE). Той допринася за повишаване на съответствието на висшето образование с нуждите на пазара на труда, включително чрез насърчаване на сътрудничеството с предприятията и въвеждане на основани на резултатите модели на финансиране в публичните университети.</w:t>
      </w:r>
    </w:p>
    <w:p>
      <w:pPr>
        <w:spacing w:before="120" w:after="120" w:line="240" w:lineRule="auto"/>
        <w:jc w:val="both"/>
        <w:rPr>
          <w:rFonts w:ascii="Times New Roman" w:hAnsi="Times New Roman" w:cs="Times New Roman"/>
          <w:noProof/>
          <w:color w:val="000000"/>
          <w:sz w:val="24"/>
          <w:shd w:val="clear" w:color="auto" w:fill="FFFFFF"/>
        </w:rPr>
      </w:pPr>
      <w:r>
        <w:rPr>
          <w:rFonts w:ascii="Times New Roman" w:hAnsi="Times New Roman"/>
          <w:noProof/>
          <w:color w:val="000000"/>
          <w:sz w:val="24"/>
          <w:szCs w:val="24"/>
          <w:shd w:val="clear" w:color="auto" w:fill="FFFFFF"/>
        </w:rPr>
        <w:t>Изпълнението на мярката приключва до 30 юни 2023 г.</w:t>
      </w:r>
    </w:p>
    <w:p>
      <w:pPr>
        <w:spacing w:before="120" w:after="120" w:line="240" w:lineRule="auto"/>
        <w:jc w:val="both"/>
        <w:rPr>
          <w:rFonts w:ascii="Times New Roman" w:hAnsi="Times New Roman" w:cs="Times New Roman"/>
          <w:noProof/>
          <w:color w:val="000000"/>
          <w:sz w:val="24"/>
          <w:u w:val="single"/>
          <w:shd w:val="clear" w:color="auto" w:fill="FFFFFF"/>
        </w:rPr>
      </w:pPr>
      <w:r>
        <w:rPr>
          <w:rFonts w:ascii="Times New Roman" w:hAnsi="Times New Roman"/>
          <w:noProof/>
          <w:color w:val="000000"/>
          <w:sz w:val="24"/>
          <w:szCs w:val="24"/>
          <w:u w:val="single"/>
          <w:shd w:val="clear" w:color="auto" w:fill="FFFFFF"/>
        </w:rPr>
        <w:t>Инвестиция 1 (C21.I1) – Насърчаване на образованието и грижите в ранна детска възраст (ОГРДВ)</w:t>
      </w:r>
      <w:r>
        <w:rPr>
          <w:rFonts w:ascii="Times New Roman" w:hAnsi="Times New Roman"/>
          <w:noProof/>
          <w:color w:val="000000"/>
          <w:sz w:val="24"/>
          <w:szCs w:val="24"/>
          <w:shd w:val="clear" w:color="auto" w:fill="FFFFFF"/>
        </w:rPr>
        <w:t xml:space="preserve"> </w:t>
      </w:r>
    </w:p>
    <w:p>
      <w:pPr>
        <w:spacing w:before="120" w:after="120" w:line="240" w:lineRule="auto"/>
        <w:jc w:val="both"/>
        <w:rPr>
          <w:rFonts w:ascii="Times New Roman" w:hAnsi="Times New Roman" w:cs="Times New Roman"/>
          <w:noProof/>
          <w:sz w:val="24"/>
          <w:szCs w:val="24"/>
        </w:rPr>
      </w:pPr>
      <w:r>
        <w:rPr>
          <w:rFonts w:ascii="Times New Roman" w:hAnsi="Times New Roman"/>
          <w:noProof/>
          <w:color w:val="000000"/>
          <w:sz w:val="24"/>
          <w:szCs w:val="24"/>
          <w:shd w:val="clear" w:color="auto" w:fill="FFFFFF"/>
        </w:rPr>
        <w:t>Като част от тази мярка Испания инвестира в изграждането на нови съоръжения за ОГРДВ, санирането и обновяването на съществуващи сгради и оборудване за създаване на най-малко 60 000 нови обществени места за образование и грижи в ранна детска възраст за деца на възраст под 3 години. Акцентът е върху осигуряването на достъпни обществени места за децата в районите с по-голям риск от бедност или социално изключване и селските райони, особено за възрастовата група 1—2 години</w:t>
      </w:r>
      <w:r>
        <w:rPr>
          <w:rFonts w:ascii="Times New Roman" w:hAnsi="Times New Roman"/>
          <w:noProof/>
          <w:sz w:val="24"/>
          <w:szCs w:val="24"/>
        </w:rPr>
        <w:t xml:space="preserve">. Сградите са собственост на регионални или местни органи или на Министерството на образованието и професионалното обучение в случая на Сеута и Мелила. </w:t>
      </w:r>
    </w:p>
    <w:p>
      <w:pPr>
        <w:spacing w:before="120" w:after="120" w:line="240" w:lineRule="auto"/>
        <w:jc w:val="both"/>
        <w:rPr>
          <w:rFonts w:ascii="Times New Roman" w:hAnsi="Times New Roman" w:cs="Times New Roman"/>
          <w:noProof/>
          <w:color w:val="000000"/>
          <w:sz w:val="24"/>
          <w:szCs w:val="24"/>
        </w:rPr>
      </w:pPr>
      <w:r>
        <w:rPr>
          <w:rFonts w:ascii="Times New Roman" w:hAnsi="Times New Roman"/>
          <w:noProof/>
          <w:sz w:val="24"/>
          <w:szCs w:val="24"/>
        </w:rPr>
        <w:t xml:space="preserve">Очаква се инвестицията да покрие и оперативните разходи, включително заплатите на учителите по време на изпълнението на инвестицията за стимулиране на регионалните и местните органи за до 40 000 нови места за обучение. </w:t>
      </w:r>
      <w:r>
        <w:rPr>
          <w:rFonts w:ascii="Times New Roman" w:hAnsi="Times New Roman"/>
          <w:noProof/>
          <w:color w:val="000000"/>
          <w:sz w:val="24"/>
          <w:szCs w:val="24"/>
        </w:rPr>
        <w:t>Испания гарантира, че действието ще бъде фискално устойчиво след края на Механизма за възстановяване и устойчивост, включително като разчита на други източници на финансиране от ЕС.</w:t>
      </w:r>
    </w:p>
    <w:p>
      <w:pPr>
        <w:spacing w:before="120" w:after="120" w:line="240" w:lineRule="auto"/>
        <w:jc w:val="both"/>
        <w:rPr>
          <w:rFonts w:ascii="Times New Roman" w:hAnsi="Times New Roman" w:cs="Times New Roman"/>
          <w:noProof/>
          <w:sz w:val="24"/>
          <w:szCs w:val="24"/>
        </w:rPr>
      </w:pPr>
      <w:r>
        <w:rPr>
          <w:rFonts w:ascii="Times New Roman" w:hAnsi="Times New Roman"/>
          <w:noProof/>
          <w:color w:val="000000"/>
          <w:sz w:val="24"/>
          <w:szCs w:val="24"/>
          <w:shd w:val="clear" w:color="auto" w:fill="FFFFFF"/>
        </w:rPr>
        <w:t>Изпълнението на мярката приключва до 31 декември 2024 г.</w:t>
      </w:r>
    </w:p>
    <w:p>
      <w:pPr>
        <w:spacing w:before="120" w:after="120" w:line="240" w:lineRule="auto"/>
        <w:jc w:val="both"/>
        <w:rPr>
          <w:rFonts w:ascii="Times New Roman" w:hAnsi="Times New Roman" w:cs="Times New Roman"/>
          <w:noProof/>
          <w:color w:val="000000"/>
          <w:sz w:val="24"/>
          <w:u w:val="single"/>
          <w:shd w:val="clear" w:color="auto" w:fill="FFFFFF"/>
        </w:rPr>
      </w:pPr>
      <w:r>
        <w:rPr>
          <w:rFonts w:ascii="Times New Roman" w:hAnsi="Times New Roman"/>
          <w:noProof/>
          <w:color w:val="000000"/>
          <w:sz w:val="24"/>
          <w:szCs w:val="24"/>
          <w:u w:val="single"/>
          <w:shd w:val="clear" w:color="auto" w:fill="FFFFFF"/>
        </w:rPr>
        <w:t xml:space="preserve">Инвестиция 2 (C21.I2): Програма за ориентиране, напредък и образователно обогатяване („PROA+“) </w:t>
      </w:r>
    </w:p>
    <w:p>
      <w:pPr>
        <w:spacing w:before="120" w:after="120" w:line="240" w:lineRule="auto"/>
        <w:jc w:val="both"/>
        <w:rPr>
          <w:rFonts w:ascii="Times New Roman" w:hAnsi="Times New Roman" w:cs="Times New Roman"/>
          <w:noProof/>
          <w:sz w:val="24"/>
          <w:szCs w:val="24"/>
        </w:rPr>
      </w:pPr>
      <w:r>
        <w:rPr>
          <w:rFonts w:ascii="Times New Roman" w:hAnsi="Times New Roman"/>
          <w:noProof/>
          <w:color w:val="000000"/>
          <w:sz w:val="24"/>
          <w:szCs w:val="24"/>
          <w:shd w:val="clear" w:color="auto" w:fill="FFFFFF"/>
        </w:rPr>
        <w:t xml:space="preserve">С оглед предоставяне на подкрепа и насоки на учениците със слаби резултати и намаляване на процента на преждевременно напускащите училище и преждевременното напускане на училище Испания инвестира в разширяването на обхвата на съществуващата Програма за ориентиране, напредък и образователно обогатяване („PROA+“).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Тази програма е съсредоточена върху дейности, които гарантират минимални условия за образованост на всички ученици, въвеждат мерки за укрепване на тези, които имат повече затруднения при ученето, главно по отношение на основните умения, търсят нови форми на организация и управление в образователния център и предоставят допълнителна подкрепа и обучение на учителите. Тези дейности следва да бъдат насочени към подобряване на успеха на всички ученици в тези училища. </w:t>
      </w:r>
    </w:p>
    <w:p>
      <w:pPr>
        <w:spacing w:before="120" w:after="120" w:line="240" w:lineRule="auto"/>
        <w:jc w:val="both"/>
        <w:rPr>
          <w:rFonts w:ascii="Times New Roman" w:hAnsi="Times New Roman" w:cs="Times New Roman"/>
          <w:noProof/>
          <w:color w:val="000000"/>
          <w:sz w:val="24"/>
          <w:shd w:val="clear" w:color="auto" w:fill="FFFFFF"/>
        </w:rPr>
      </w:pPr>
      <w:r>
        <w:rPr>
          <w:rFonts w:ascii="Times New Roman" w:hAnsi="Times New Roman"/>
          <w:noProof/>
          <w:color w:val="000000"/>
          <w:sz w:val="24"/>
          <w:szCs w:val="24"/>
          <w:shd w:val="clear" w:color="auto" w:fill="FFFFFF"/>
        </w:rPr>
        <w:t>Програмата е насочена към училища с особена степен на сложност на образованието, включително в селските райони, със значителен процент уязвими ученици, които изпитват затруднения при ученето в редовни класни стаи.</w:t>
      </w:r>
      <w:r>
        <w:rPr>
          <w:rFonts w:ascii="Times New Roman" w:hAnsi="Times New Roman"/>
          <w:noProof/>
          <w:color w:val="000000"/>
          <w:sz w:val="24"/>
          <w:szCs w:val="24"/>
        </w:rPr>
        <w:t xml:space="preserve"> Подборът на центровете се извършва от образователните администрации. </w:t>
      </w:r>
      <w:r>
        <w:rPr>
          <w:rFonts w:ascii="Times New Roman" w:hAnsi="Times New Roman"/>
          <w:noProof/>
          <w:color w:val="000000"/>
          <w:sz w:val="24"/>
          <w:szCs w:val="24"/>
          <w:shd w:val="clear" w:color="auto" w:fill="FFFFFF"/>
        </w:rPr>
        <w:t xml:space="preserve">Целевите училища се намират по-специално в райони, съставени от ученици и семейства с нисък социално-икономически и образователен произход. Общо най-малко 2 700 училища ще получат подкрепа. </w:t>
      </w:r>
    </w:p>
    <w:p>
      <w:pPr>
        <w:spacing w:before="120" w:after="120" w:line="240" w:lineRule="auto"/>
        <w:jc w:val="both"/>
        <w:rPr>
          <w:rFonts w:ascii="Times New Roman" w:hAnsi="Times New Roman" w:cs="Times New Roman"/>
          <w:noProof/>
          <w:color w:val="000000"/>
          <w:sz w:val="24"/>
          <w:szCs w:val="24"/>
          <w:shd w:val="clear" w:color="auto" w:fill="FFFFFF"/>
        </w:rPr>
      </w:pPr>
      <w:r>
        <w:rPr>
          <w:rFonts w:ascii="Times New Roman" w:hAnsi="Times New Roman"/>
          <w:noProof/>
          <w:color w:val="000000"/>
          <w:sz w:val="24"/>
          <w:szCs w:val="24"/>
          <w:shd w:val="clear" w:color="auto" w:fill="FFFFFF"/>
        </w:rPr>
        <w:t xml:space="preserve">Инвестицията се развива в сътрудничество с автономните общности в рамките на секторни конференции, а териториалното разпределение на средствата се основава на специфични критерии, договорени, за да се отразят потребностите и да се допринесе за намаляване на регионалните различия. </w:t>
      </w:r>
    </w:p>
    <w:p>
      <w:pPr>
        <w:spacing w:before="120" w:after="120" w:line="240" w:lineRule="auto"/>
        <w:jc w:val="both"/>
        <w:rPr>
          <w:rFonts w:ascii="Times New Roman" w:hAnsi="Times New Roman" w:cs="Times New Roman"/>
          <w:noProof/>
          <w:color w:val="000000"/>
          <w:sz w:val="24"/>
          <w:shd w:val="clear" w:color="auto" w:fill="FFFFFF"/>
        </w:rPr>
      </w:pPr>
      <w:r>
        <w:rPr>
          <w:rFonts w:ascii="Times New Roman" w:hAnsi="Times New Roman"/>
          <w:noProof/>
          <w:color w:val="000000"/>
          <w:sz w:val="24"/>
          <w:szCs w:val="24"/>
          <w:shd w:val="clear" w:color="auto" w:fill="FFFFFF"/>
        </w:rPr>
        <w:t>Изпълнението на мярката приключва до 31 декември 2024 г.</w:t>
      </w:r>
    </w:p>
    <w:p>
      <w:pPr>
        <w:spacing w:before="120" w:after="120" w:line="240" w:lineRule="auto"/>
        <w:jc w:val="both"/>
        <w:rPr>
          <w:rFonts w:ascii="Times New Roman" w:hAnsi="Times New Roman" w:cs="Times New Roman"/>
          <w:noProof/>
          <w:color w:val="000000"/>
          <w:sz w:val="24"/>
          <w:u w:val="single"/>
          <w:shd w:val="clear" w:color="auto" w:fill="FFFFFF"/>
        </w:rPr>
      </w:pPr>
      <w:r>
        <w:rPr>
          <w:rFonts w:ascii="Times New Roman" w:hAnsi="Times New Roman"/>
          <w:noProof/>
          <w:color w:val="000000"/>
          <w:sz w:val="24"/>
          <w:szCs w:val="24"/>
          <w:u w:val="single"/>
          <w:shd w:val="clear" w:color="auto" w:fill="FFFFFF"/>
        </w:rPr>
        <w:t>Инвестиция 3 (C21.I3) – Подкрепа за уязвими студенти и семейства</w:t>
      </w:r>
      <w:r>
        <w:rPr>
          <w:rFonts w:ascii="Times New Roman" w:hAnsi="Times New Roman"/>
          <w:noProof/>
          <w:color w:val="000000"/>
          <w:sz w:val="24"/>
          <w:szCs w:val="24"/>
          <w:shd w:val="clear" w:color="auto" w:fill="FFFFFF"/>
        </w:rPr>
        <w:t xml:space="preserve"> </w:t>
      </w:r>
    </w:p>
    <w:p>
      <w:pPr>
        <w:spacing w:before="120" w:after="120" w:line="240" w:lineRule="auto"/>
        <w:jc w:val="both"/>
        <w:rPr>
          <w:rFonts w:ascii="Times New Roman" w:hAnsi="Times New Roman" w:cs="Times New Roman"/>
          <w:noProof/>
          <w:color w:val="000000"/>
          <w:sz w:val="24"/>
          <w:szCs w:val="24"/>
          <w:shd w:val="clear" w:color="auto" w:fill="FFFFFF"/>
        </w:rPr>
      </w:pPr>
      <w:r>
        <w:rPr>
          <w:rFonts w:ascii="Times New Roman" w:hAnsi="Times New Roman"/>
          <w:noProof/>
          <w:color w:val="000000"/>
          <w:sz w:val="24"/>
          <w:szCs w:val="24"/>
          <w:shd w:val="clear" w:color="auto" w:fill="FFFFFF"/>
        </w:rPr>
        <w:t>Испания инвестира в създаването на най-малко 1 000 уязвими групи за подкрепа, ориентиране и психообразователни услуги в училищните райони. Тя улеснява подкрепата за учениците и техните семейства с цел преодоляване на образователните пречки с цел намаляване на отсъствията и преждевременното напускане на училище. Подкрепя се сътрудничеството с различни учебни рамки (както формални, така и неформални), за да се подобри развитието на основни междуличностни, комуникационни и когнитивни умения. Инвестицията се развива чрез териториално сътрудничество с автономните общности в контекста на секторни конференции, в които се определят критериите за териториално разпределение на средствата.</w:t>
      </w:r>
    </w:p>
    <w:p>
      <w:pPr>
        <w:spacing w:before="120" w:after="120" w:line="240" w:lineRule="auto"/>
        <w:jc w:val="both"/>
        <w:rPr>
          <w:rFonts w:ascii="Times New Roman" w:hAnsi="Times New Roman" w:cs="Times New Roman"/>
          <w:noProof/>
          <w:color w:val="000000"/>
          <w:sz w:val="24"/>
          <w:shd w:val="clear" w:color="auto" w:fill="FFFFFF"/>
        </w:rPr>
      </w:pPr>
      <w:r>
        <w:rPr>
          <w:rFonts w:ascii="Times New Roman" w:hAnsi="Times New Roman"/>
          <w:noProof/>
          <w:color w:val="000000"/>
          <w:sz w:val="24"/>
          <w:szCs w:val="24"/>
          <w:shd w:val="clear" w:color="auto" w:fill="FFFFFF"/>
        </w:rPr>
        <w:t>Изпълнението на мярката приключва до 31 декември 2024 г.</w:t>
      </w:r>
    </w:p>
    <w:p>
      <w:pPr>
        <w:spacing w:before="120" w:after="120" w:line="240" w:lineRule="auto"/>
        <w:jc w:val="both"/>
        <w:rPr>
          <w:rFonts w:ascii="Times New Roman" w:hAnsi="Times New Roman" w:cs="Times New Roman"/>
          <w:noProof/>
          <w:color w:val="000000"/>
          <w:sz w:val="24"/>
          <w:u w:val="single"/>
          <w:shd w:val="clear" w:color="auto" w:fill="FFFFFF"/>
        </w:rPr>
      </w:pPr>
      <w:r>
        <w:rPr>
          <w:rFonts w:ascii="Times New Roman" w:hAnsi="Times New Roman"/>
          <w:noProof/>
          <w:color w:val="000000"/>
          <w:sz w:val="24"/>
          <w:szCs w:val="24"/>
          <w:u w:val="single"/>
          <w:shd w:val="clear" w:color="auto" w:fill="FFFFFF"/>
        </w:rPr>
        <w:t>Инвестиция 4 (C21.I4) – Обучение на преподаватели и изследователи</w:t>
      </w:r>
      <w:r>
        <w:rPr>
          <w:rFonts w:ascii="Times New Roman" w:hAnsi="Times New Roman"/>
          <w:noProof/>
          <w:color w:val="000000"/>
          <w:sz w:val="24"/>
          <w:szCs w:val="24"/>
          <w:shd w:val="clear" w:color="auto" w:fill="FFFFFF"/>
        </w:rPr>
        <w:t xml:space="preserve"> </w:t>
      </w:r>
    </w:p>
    <w:p>
      <w:pPr>
        <w:spacing w:before="120" w:after="120" w:line="240" w:lineRule="auto"/>
        <w:jc w:val="both"/>
        <w:rPr>
          <w:rFonts w:ascii="Times New Roman" w:hAnsi="Times New Roman" w:cs="Times New Roman"/>
          <w:noProof/>
          <w:color w:val="000000"/>
          <w:sz w:val="24"/>
          <w:szCs w:val="24"/>
        </w:rPr>
      </w:pPr>
      <w:r>
        <w:rPr>
          <w:rFonts w:ascii="Times New Roman" w:hAnsi="Times New Roman"/>
          <w:noProof/>
          <w:color w:val="000000"/>
          <w:sz w:val="24"/>
          <w:szCs w:val="24"/>
          <w:shd w:val="clear" w:color="auto" w:fill="FFFFFF"/>
        </w:rPr>
        <w:t xml:space="preserve">Тази мярка включва инвестиции </w:t>
      </w:r>
      <w:r>
        <w:rPr>
          <w:rFonts w:ascii="Times New Roman" w:hAnsi="Times New Roman"/>
          <w:noProof/>
          <w:sz w:val="24"/>
          <w:szCs w:val="24"/>
        </w:rPr>
        <w:t xml:space="preserve">в безвъзмездни средства за публични университети с </w:t>
      </w:r>
      <w:r>
        <w:rPr>
          <w:rFonts w:ascii="Times New Roman" w:hAnsi="Times New Roman"/>
          <w:noProof/>
          <w:color w:val="000000"/>
          <w:sz w:val="24"/>
          <w:szCs w:val="24"/>
        </w:rPr>
        <w:t>цел насърчаване на преквалификацията на испанската университетска система и насърчаване на професионалното развитие на преподавателския състав, както и предоставяне на възможности на наскоро завършилите докторска степен да бъдат включени в системата на висшето образование в бъдеще</w:t>
      </w:r>
      <w:r>
        <w:rPr>
          <w:rFonts w:ascii="Times New Roman" w:hAnsi="Times New Roman"/>
          <w:noProof/>
          <w:sz w:val="24"/>
          <w:szCs w:val="24"/>
        </w:rPr>
        <w:t xml:space="preserve">. </w:t>
      </w:r>
      <w:r>
        <w:rPr>
          <w:rFonts w:ascii="Times New Roman" w:hAnsi="Times New Roman"/>
          <w:noProof/>
          <w:color w:val="000000"/>
          <w:sz w:val="24"/>
          <w:szCs w:val="24"/>
        </w:rPr>
        <w:t>Безвъзмездните средства финансират престой след докторантура в университети и научноизследователски центрове с престиж, както и в испански университети и други държавни служители на испанската система за наука, технологии и иновации</w:t>
      </w:r>
      <w:r>
        <w:rPr>
          <w:rFonts w:ascii="Times New Roman" w:hAnsi="Times New Roman"/>
          <w:noProof/>
          <w:sz w:val="24"/>
          <w:szCs w:val="24"/>
        </w:rPr>
        <w:t>.</w:t>
      </w:r>
      <w:r>
        <w:rPr>
          <w:rFonts w:ascii="Times New Roman" w:hAnsi="Times New Roman"/>
          <w:noProof/>
          <w:color w:val="000000"/>
          <w:sz w:val="24"/>
          <w:szCs w:val="24"/>
        </w:rPr>
        <w:t xml:space="preserve"> </w:t>
      </w:r>
      <w:r>
        <w:rPr>
          <w:rFonts w:ascii="Times New Roman" w:hAnsi="Times New Roman"/>
          <w:noProof/>
          <w:sz w:val="24"/>
          <w:szCs w:val="24"/>
        </w:rPr>
        <w:t>За тази цел се очаква безвъзмездните средства да допринесат за привличането на международни таланти и за преодоляване на ниската степен на интернационализация в испанските университети.</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Безвъзмездните средства се предоставят по три различни програми, като се прилагат специфични критерии в зависимост от целевата група, като акцентът се поставя върху i) обучението на млади докторанти; ii) безвъзмездни средства за университетски преподаватели – постоянни преподаватели и лекции за възрастни по щатна линия; и iii) безвъзмездни средства, насочени към привличане на международни таланти, финансиране на следдокторско обучение, организирано от престижни испански университети и други публични служители на испанската система за наука, технологии и иновации. Програмите продължават между една и три години в зависимост от програмата и целевата група.</w:t>
      </w:r>
    </w:p>
    <w:p>
      <w:pPr>
        <w:spacing w:after="120" w:line="240" w:lineRule="auto"/>
        <w:jc w:val="both"/>
        <w:rPr>
          <w:rFonts w:ascii="Times New Roman" w:hAnsi="Times New Roman" w:cs="Times New Roman"/>
          <w:noProof/>
          <w:sz w:val="24"/>
        </w:rPr>
      </w:pPr>
      <w:r>
        <w:rPr>
          <w:rFonts w:ascii="Times New Roman" w:hAnsi="Times New Roman"/>
          <w:noProof/>
          <w:sz w:val="24"/>
          <w:szCs w:val="24"/>
        </w:rPr>
        <w:t>Всички тези безвъзмездни средства се изпълняват в периода 2021—2023 г. в полза на най-малко 2 600 кандидати.</w:t>
      </w:r>
      <w:r>
        <w:rPr>
          <w:rFonts w:ascii="Times New Roman" w:hAnsi="Times New Roman"/>
          <w:noProof/>
          <w:color w:val="000000"/>
          <w:sz w:val="24"/>
          <w:szCs w:val="24"/>
        </w:rPr>
        <w:t xml:space="preserve"> </w:t>
      </w:r>
      <w:r>
        <w:rPr>
          <w:rFonts w:ascii="Times New Roman" w:hAnsi="Times New Roman"/>
          <w:noProof/>
          <w:sz w:val="24"/>
        </w:rPr>
        <w:t xml:space="preserve">Всеки университет получава пряко бюджетни средства от Министерството на университетите въз основа на обективни критерии, включително броя на преподавателския и изследователския персонал, и записа за дипломната работа на докторантурите. Въз основа на кандидатурите кандидатите се оценяват от експертна група с международен престиж, назначена от всеки университет, която включва най-малко трима членове и мнозинство от външни експерти. </w:t>
      </w:r>
    </w:p>
    <w:p>
      <w:pPr>
        <w:spacing w:after="120" w:line="240" w:lineRule="auto"/>
        <w:jc w:val="both"/>
        <w:rPr>
          <w:rFonts w:ascii="Times New Roman" w:hAnsi="Times New Roman"/>
          <w:noProof/>
          <w:color w:val="000000"/>
          <w:sz w:val="24"/>
          <w:szCs w:val="24"/>
          <w:shd w:val="clear" w:color="auto" w:fill="FFFFFF"/>
        </w:rPr>
      </w:pPr>
      <w:r>
        <w:rPr>
          <w:rFonts w:ascii="Times New Roman" w:hAnsi="Times New Roman"/>
          <w:noProof/>
          <w:color w:val="000000"/>
          <w:sz w:val="24"/>
          <w:szCs w:val="24"/>
          <w:shd w:val="clear" w:color="auto" w:fill="FFFFFF"/>
        </w:rPr>
        <w:t>Изпълнението на мярката приключва до 31 декември 2023 г.</w:t>
      </w:r>
    </w:p>
    <w:p>
      <w:pPr>
        <w:rPr>
          <w:rFonts w:ascii="Times New Roman" w:hAnsi="Times New Roman"/>
          <w:noProof/>
          <w:color w:val="000000"/>
          <w:sz w:val="24"/>
          <w:szCs w:val="24"/>
          <w:shd w:val="clear" w:color="auto" w:fill="FFFFFF"/>
        </w:rPr>
      </w:pPr>
      <w:r>
        <w:rPr>
          <w:rFonts w:ascii="Times New Roman" w:hAnsi="Times New Roman"/>
          <w:noProof/>
          <w:color w:val="000000"/>
          <w:sz w:val="24"/>
          <w:szCs w:val="24"/>
          <w:shd w:val="clear" w:color="auto" w:fill="FFFFFF"/>
        </w:rPr>
        <w:br w:type="page"/>
      </w:r>
    </w:p>
    <w:p>
      <w:pPr>
        <w:spacing w:before="120" w:after="120" w:line="240" w:lineRule="auto"/>
        <w:jc w:val="both"/>
        <w:rPr>
          <w:rFonts w:ascii="Times New Roman" w:hAnsi="Times New Roman" w:cs="Times New Roman"/>
          <w:noProof/>
          <w:color w:val="000000"/>
          <w:sz w:val="24"/>
          <w:u w:val="single"/>
          <w:shd w:val="clear" w:color="auto" w:fill="FFFFFF"/>
        </w:rPr>
      </w:pPr>
      <w:r>
        <w:rPr>
          <w:rFonts w:ascii="Times New Roman" w:hAnsi="Times New Roman"/>
          <w:noProof/>
          <w:color w:val="000000"/>
          <w:sz w:val="24"/>
          <w:szCs w:val="24"/>
          <w:u w:val="single"/>
          <w:shd w:val="clear" w:color="auto" w:fill="FFFFFF"/>
        </w:rPr>
        <w:t>Инвестиция 5 (C21.I5) – Подобряване на цифровата инфраструктура, оборудването, технологиите, преподаването и оценката на университетите</w:t>
      </w:r>
      <w:r>
        <w:rPr>
          <w:rFonts w:ascii="Times New Roman" w:hAnsi="Times New Roman"/>
          <w:noProof/>
          <w:color w:val="000000"/>
          <w:sz w:val="24"/>
          <w:szCs w:val="24"/>
          <w:shd w:val="clear" w:color="auto" w:fill="FFFFFF"/>
        </w:rPr>
        <w:t xml:space="preserve"> </w:t>
      </w:r>
    </w:p>
    <w:p>
      <w:pPr>
        <w:spacing w:before="120" w:after="120" w:line="240" w:lineRule="auto"/>
        <w:jc w:val="both"/>
        <w:rPr>
          <w:rFonts w:ascii="Times New Roman" w:hAnsi="Times New Roman" w:cs="Times New Roman"/>
          <w:bCs/>
          <w:noProof/>
          <w:sz w:val="24"/>
        </w:rPr>
      </w:pPr>
      <w:r>
        <w:rPr>
          <w:rFonts w:ascii="Times New Roman" w:hAnsi="Times New Roman"/>
          <w:noProof/>
          <w:color w:val="000000"/>
          <w:sz w:val="24"/>
          <w:szCs w:val="24"/>
          <w:shd w:val="clear" w:color="auto" w:fill="FFFFFF"/>
        </w:rPr>
        <w:t>Тези инвестиции включват редица мерки, насочени към подобряване на технологичния и цифровия капацитет и умения на университетите</w:t>
      </w:r>
      <w:r>
        <w:rPr>
          <w:rFonts w:ascii="Times New Roman" w:hAnsi="Times New Roman"/>
          <w:noProof/>
          <w:sz w:val="24"/>
          <w:szCs w:val="24"/>
        </w:rPr>
        <w:t xml:space="preserve">. Те включват инвестиции в цифрови педагогически ресурси и инфраструктура, като например мрежи за съхранение на данни в облак от сървъри, киберсигурност и технологии в класната стая за онлайн курсове; и инвестиции в цифрово обучение за университетски преподаватели и студенти. </w:t>
      </w:r>
    </w:p>
    <w:p>
      <w:pPr>
        <w:spacing w:before="120" w:after="120" w:line="240" w:lineRule="auto"/>
        <w:jc w:val="both"/>
        <w:rPr>
          <w:rFonts w:ascii="Times New Roman" w:hAnsi="Times New Roman" w:cs="Times New Roman"/>
          <w:noProof/>
          <w:sz w:val="24"/>
        </w:rPr>
      </w:pPr>
      <w:r>
        <w:rPr>
          <w:rFonts w:ascii="Times New Roman" w:hAnsi="Times New Roman"/>
          <w:noProof/>
          <w:sz w:val="24"/>
        </w:rPr>
        <w:t>Инвестиционните действия подобряват технологичното развитие и подобряват цифровите ресурси в подкрепа на цифровите услуги за преподаване. Предоставя се подкрепа за централизирани инфраструктури и ИКТ услуги с акцент върху оптичните мрежи и внедряването на ИКТ услуги по ефективен начин, като се използват икономии от мащаба и оперативна съвместимост. Основна цел е да се насочат инвестиции за намаляване на цифровото разделение между академичния състав и студентите с цел подобряване на услугите и оборудването за дистанционно преподаване. Други цели включват инвестиране в насърчаването на междууниверситетски проекти за цифрови иновации, които могат да бъдат разширени и възпроизведени в по-голям мащаб, и предоставяне на подкрепа на националния университет за дистанционно обучение (UNED) за увеличаване на възможностите за висше образование в обезлюдените райони.</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Целта ще бъде да се наблюдава и разпространява, чрез уебсайта на Министерството на университетите, развитието на „цифровия индекс за университетите“, с цел индексът да се увеличи с поне 10 % за цялата университетска система през 2023 г. в сравнение с 2019 г.</w:t>
      </w:r>
      <w:r>
        <w:rPr>
          <w:rFonts w:ascii="Times New Roman" w:hAnsi="Times New Roman"/>
          <w:noProof/>
          <w:color w:val="000000"/>
          <w:sz w:val="24"/>
          <w:szCs w:val="24"/>
        </w:rPr>
        <w:t xml:space="preserve"> </w:t>
      </w:r>
      <w:r>
        <w:rPr>
          <w:rFonts w:ascii="Times New Roman" w:hAnsi="Times New Roman"/>
          <w:noProof/>
          <w:sz w:val="24"/>
          <w:szCs w:val="24"/>
        </w:rPr>
        <w:t>Този индекс обхваща различни измерения, включително управлението (като например броя на класните стаи, които могат да бъдат използвани за цифрово преподаване, броя на преподавателите, използващи цифрови системи, броя на онлайн процедурите и нивото на свързаност в кампусите и т.н.) ; иновации (например междууниверситетски цифрови споразумения, действия за анализ на ученето, мултимедийни хранилища, цифрови умения в преподавателския състав, персонализирани маршрути и др.);</w:t>
      </w:r>
      <w:r>
        <w:rPr>
          <w:rFonts w:ascii="Times New Roman" w:hAnsi="Times New Roman"/>
          <w:noProof/>
          <w:color w:val="000000"/>
          <w:sz w:val="24"/>
          <w:szCs w:val="24"/>
        </w:rPr>
        <w:t xml:space="preserve"> </w:t>
      </w:r>
      <w:r>
        <w:rPr>
          <w:rFonts w:ascii="Times New Roman" w:hAnsi="Times New Roman"/>
          <w:noProof/>
          <w:sz w:val="24"/>
          <w:szCs w:val="24"/>
        </w:rPr>
        <w:t xml:space="preserve">и управление (например план за цифрова трансформация, портфейли от проекти за цифровизация и планове за обучение в областта на цифровите умения и др.). </w:t>
      </w:r>
    </w:p>
    <w:p>
      <w:pPr>
        <w:spacing w:before="120" w:after="120" w:line="240" w:lineRule="auto"/>
        <w:jc w:val="both"/>
        <w:rPr>
          <w:rFonts w:ascii="Times New Roman" w:hAnsi="Times New Roman" w:cs="Times New Roman"/>
          <w:noProof/>
          <w:color w:val="000000"/>
          <w:sz w:val="24"/>
          <w:szCs w:val="24"/>
        </w:rPr>
      </w:pPr>
      <w:r>
        <w:rPr>
          <w:rFonts w:ascii="Times New Roman" w:hAnsi="Times New Roman"/>
          <w:noProof/>
          <w:color w:val="000000"/>
          <w:sz w:val="24"/>
          <w:szCs w:val="24"/>
        </w:rPr>
        <w:t>Всяка година университетите предоставят последваща информация чрез сертифициране на тяхната област на вътрешен контрол.</w:t>
      </w:r>
    </w:p>
    <w:p>
      <w:pPr>
        <w:spacing w:before="120" w:after="120" w:line="240" w:lineRule="auto"/>
        <w:jc w:val="both"/>
        <w:rPr>
          <w:rFonts w:ascii="Times New Roman" w:hAnsi="Times New Roman" w:cs="Times New Roman"/>
          <w:b/>
          <w:bCs/>
          <w:noProof/>
          <w:sz w:val="24"/>
          <w:szCs w:val="24"/>
          <w:u w:val="single"/>
        </w:rPr>
      </w:pPr>
      <w:r>
        <w:rPr>
          <w:rFonts w:ascii="Times New Roman" w:hAnsi="Times New Roman"/>
          <w:noProof/>
          <w:color w:val="000000"/>
          <w:sz w:val="24"/>
          <w:szCs w:val="24"/>
          <w:shd w:val="clear" w:color="auto" w:fill="FFFFFF"/>
        </w:rPr>
        <w:t>Изпълнението на мярката приключва до 31 декември 2023 г.</w:t>
      </w:r>
    </w:p>
    <w:p>
      <w:pPr>
        <w:spacing w:before="120" w:after="120" w:line="240" w:lineRule="auto"/>
        <w:ind w:left="709"/>
        <w:jc w:val="both"/>
        <w:rPr>
          <w:rFonts w:ascii="Times New Roman" w:hAnsi="Times New Roman" w:cs="Times New Roman"/>
          <w:b/>
          <w:noProof/>
          <w:sz w:val="24"/>
          <w:u w:val="single"/>
        </w:rPr>
      </w:pPr>
      <w:r>
        <w:rPr>
          <w:rFonts w:ascii="Times New Roman" w:hAnsi="Times New Roman"/>
          <w:b/>
          <w:bCs/>
          <w:noProof/>
          <w:sz w:val="24"/>
          <w:u w:val="single"/>
        </w:rPr>
        <w:t xml:space="preserve">Ф.2. </w:t>
      </w:r>
      <w:r>
        <w:rPr>
          <w:rFonts w:ascii="Times New Roman" w:hAnsi="Times New Roman"/>
          <w:b/>
          <w:noProof/>
          <w:sz w:val="24"/>
          <w:u w:val="single"/>
        </w:rPr>
        <w:tab/>
      </w:r>
      <w:r>
        <w:rPr>
          <w:rFonts w:ascii="Times New Roman" w:hAnsi="Times New Roman"/>
          <w:b/>
          <w:bCs/>
          <w:noProof/>
          <w:sz w:val="24"/>
          <w:u w:val="single"/>
        </w:rPr>
        <w:t>Ключови етапи, цели, показатели и график за мониторинг и изпълнение на безвъзмездната финансова подкрепа</w:t>
      </w:r>
    </w:p>
    <w:p>
      <w:pPr>
        <w:spacing w:before="120" w:after="120" w:line="240" w:lineRule="auto"/>
        <w:jc w:val="both"/>
        <w:rPr>
          <w:rFonts w:ascii="Times New Roman" w:hAnsi="Times New Roman" w:cs="Times New Roman"/>
          <w:noProof/>
          <w:color w:val="1F497D"/>
        </w:rPr>
      </w:pPr>
      <w:r>
        <w:rPr>
          <w:rFonts w:ascii="Times New Roman" w:hAnsi="Times New Roman"/>
          <w:i/>
          <w:noProof/>
          <w:color w:val="000000"/>
          <w:sz w:val="24"/>
          <w:szCs w:val="24"/>
        </w:rPr>
        <w:t>Вж. таблицата по-долу.</w:t>
      </w:r>
      <w:r>
        <w:rPr>
          <w:rFonts w:ascii="Times New Roman" w:hAnsi="Times New Roman"/>
          <w:noProof/>
          <w:color w:val="1F497D"/>
          <w:sz w:val="24"/>
          <w:szCs w:val="24"/>
        </w:rPr>
        <w:t xml:space="preserve"> </w:t>
      </w:r>
      <w:r>
        <w:rPr>
          <w:rFonts w:ascii="Times New Roman" w:hAnsi="Times New Roman"/>
          <w:i/>
          <w:noProof/>
          <w:color w:val="000000"/>
          <w:sz w:val="24"/>
          <w:szCs w:val="24"/>
        </w:rPr>
        <w:t>Датата на базовата линия за всички показатели е 1 февруари 2020 г., освен ако не е посочено друго в описанието на действието. Сумите в таблицата не включват ДДС.</w:t>
      </w:r>
    </w:p>
    <w:p>
      <w:pPr>
        <w:spacing w:before="120" w:after="120" w:line="240" w:lineRule="auto"/>
        <w:jc w:val="both"/>
        <w:rPr>
          <w:rFonts w:ascii="Times New Roman" w:hAnsi="Times New Roman" w:cs="Times New Roman"/>
          <w:noProof/>
          <w:sz w:val="24"/>
          <w:lang w:val="en-IE"/>
        </w:rPr>
        <w:sectPr>
          <w:headerReference w:type="even" r:id="rId259"/>
          <w:headerReference w:type="default" r:id="rId260"/>
          <w:footerReference w:type="even" r:id="rId261"/>
          <w:footerReference w:type="default" r:id="rId262"/>
          <w:headerReference w:type="first" r:id="rId263"/>
          <w:footerReference w:type="first" r:id="rId264"/>
          <w:pgSz w:w="11907" w:h="16839"/>
          <w:pgMar w:top="1134" w:right="1417" w:bottom="1134" w:left="1417" w:header="709" w:footer="709" w:gutter="0"/>
          <w:cols w:space="720"/>
          <w:docGrid w:linePitch="360"/>
        </w:sectPr>
      </w:pPr>
    </w:p>
    <w:tbl>
      <w:tblPr>
        <w:tblW w:w="15310"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09"/>
        <w:gridCol w:w="851"/>
        <w:gridCol w:w="850"/>
        <w:gridCol w:w="3119"/>
        <w:gridCol w:w="1134"/>
        <w:gridCol w:w="850"/>
        <w:gridCol w:w="709"/>
        <w:gridCol w:w="851"/>
        <w:gridCol w:w="567"/>
        <w:gridCol w:w="708"/>
        <w:gridCol w:w="4962"/>
      </w:tblGrid>
      <w:tr>
        <w:trPr>
          <w:trHeight w:val="309"/>
          <w:tblHeader/>
        </w:trPr>
        <w:tc>
          <w:tcPr>
            <w:tcW w:w="709"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szCs w:val="18"/>
              </w:rPr>
              <w:t>Номер</w:t>
            </w:r>
          </w:p>
        </w:tc>
        <w:tc>
          <w:tcPr>
            <w:tcW w:w="851"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szCs w:val="18"/>
              </w:rPr>
              <w:t>Мярка</w:t>
            </w:r>
          </w:p>
        </w:tc>
        <w:tc>
          <w:tcPr>
            <w:tcW w:w="850"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szCs w:val="18"/>
              </w:rPr>
              <w:t>Ключов етап / Цел</w:t>
            </w:r>
          </w:p>
        </w:tc>
        <w:tc>
          <w:tcPr>
            <w:tcW w:w="3119"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szCs w:val="18"/>
              </w:rPr>
              <w:t>Наименование</w:t>
            </w:r>
          </w:p>
        </w:tc>
        <w:tc>
          <w:tcPr>
            <w:tcW w:w="1134"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szCs w:val="18"/>
              </w:rPr>
              <w:t>Качествени показатели за ключовите етапи</w:t>
            </w:r>
          </w:p>
        </w:tc>
        <w:tc>
          <w:tcPr>
            <w:tcW w:w="2410" w:type="dxa"/>
            <w:gridSpan w:val="3"/>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szCs w:val="18"/>
              </w:rPr>
              <w:t>Количествени показатели за целите</w:t>
            </w:r>
          </w:p>
        </w:tc>
        <w:tc>
          <w:tcPr>
            <w:tcW w:w="1275" w:type="dxa"/>
            <w:gridSpan w:val="2"/>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szCs w:val="18"/>
              </w:rPr>
              <w:t>Време</w:t>
            </w:r>
          </w:p>
        </w:tc>
        <w:tc>
          <w:tcPr>
            <w:tcW w:w="4962" w:type="dxa"/>
            <w:tcBorders>
              <w:bottom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r>
              <w:rPr>
                <w:rFonts w:ascii="Times New Roman" w:hAnsi="Times New Roman"/>
                <w:b/>
                <w:bCs/>
                <w:noProof/>
                <w:sz w:val="18"/>
                <w:szCs w:val="18"/>
              </w:rPr>
              <w:t>Описание на всеки ключов етап и всяка цел</w:t>
            </w:r>
          </w:p>
        </w:tc>
      </w:tr>
      <w:tr>
        <w:trPr>
          <w:trHeight w:val="309"/>
          <w:tblHeader/>
        </w:trPr>
        <w:tc>
          <w:tcPr>
            <w:tcW w:w="709"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851"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850"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3119" w:type="dxa"/>
            <w:tcBorders>
              <w:top w:val="nil"/>
            </w:tcBorders>
            <w:shd w:val="clear" w:color="auto" w:fill="C6D9F1" w:themeFill="text2" w:themeFillTint="33"/>
            <w:noWrap/>
          </w:tcPr>
          <w:p>
            <w:pPr>
              <w:spacing w:after="0" w:line="240" w:lineRule="auto"/>
              <w:rPr>
                <w:rFonts w:ascii="Times New Roman" w:hAnsi="Times New Roman" w:cs="Times New Roman"/>
                <w:b/>
                <w:noProof/>
                <w:color w:val="000000"/>
                <w:sz w:val="18"/>
                <w:szCs w:val="18"/>
              </w:rPr>
            </w:pPr>
          </w:p>
        </w:tc>
        <w:tc>
          <w:tcPr>
            <w:tcW w:w="1134"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850" w:type="dxa"/>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szCs w:val="18"/>
              </w:rPr>
              <w:t>Мерна единица</w:t>
            </w:r>
          </w:p>
        </w:tc>
        <w:tc>
          <w:tcPr>
            <w:tcW w:w="709" w:type="dxa"/>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szCs w:val="18"/>
              </w:rPr>
              <w:t>Базова линия</w:t>
            </w:r>
          </w:p>
        </w:tc>
        <w:tc>
          <w:tcPr>
            <w:tcW w:w="851" w:type="dxa"/>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szCs w:val="18"/>
              </w:rPr>
              <w:t>Цел</w:t>
            </w:r>
          </w:p>
        </w:tc>
        <w:tc>
          <w:tcPr>
            <w:tcW w:w="567" w:type="dxa"/>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szCs w:val="18"/>
              </w:rPr>
              <w:t>T</w:t>
            </w:r>
          </w:p>
        </w:tc>
        <w:tc>
          <w:tcPr>
            <w:tcW w:w="708" w:type="dxa"/>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szCs w:val="18"/>
              </w:rPr>
              <w:t>Година</w:t>
            </w:r>
          </w:p>
        </w:tc>
        <w:tc>
          <w:tcPr>
            <w:tcW w:w="4962" w:type="dxa"/>
            <w:tcBorders>
              <w:top w:val="nil"/>
            </w:tcBorders>
            <w:shd w:val="clear" w:color="auto" w:fill="C6D9F1" w:themeFill="text2" w:themeFillTint="33"/>
            <w:noWrap/>
          </w:tcPr>
          <w:p>
            <w:pPr>
              <w:spacing w:after="0" w:line="240" w:lineRule="auto"/>
              <w:rPr>
                <w:rFonts w:ascii="Times New Roman" w:hAnsi="Times New Roman" w:cs="Times New Roman"/>
                <w:b/>
                <w:noProof/>
                <w:color w:val="000000"/>
                <w:sz w:val="18"/>
                <w:szCs w:val="18"/>
                <w:lang w:val="en-IE"/>
              </w:rPr>
            </w:pP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303</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C21.R1</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3119"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Влизане в сила на Устройствения закон за образованието </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Разпоредба от закона, указваща влизането в сила на Устройствения закон </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851"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T1</w:t>
            </w:r>
          </w:p>
        </w:tc>
        <w:tc>
          <w:tcPr>
            <w:tcW w:w="708"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2021</w:t>
            </w:r>
          </w:p>
        </w:tc>
        <w:tc>
          <w:tcPr>
            <w:tcW w:w="4962"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Целта на Устройствения закон за образованието (LOMLOE) е да се създаде обновена правна система, която, съгласно принципите на качество, равнопоставеност и приобщаване, увеличава възможностите за образование и обучение на студентите и допринася за подобряване на образователните резултати. </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304</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C21.R2</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3119"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Влизане в сила на кралския указ относно минималните изисквания за преподаване в областта на образованието </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Разпоредба в кралския указ, в която се посочва влизането в сила на кралския указ</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851"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T1</w:t>
            </w:r>
          </w:p>
        </w:tc>
        <w:tc>
          <w:tcPr>
            <w:tcW w:w="708"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2022</w:t>
            </w:r>
          </w:p>
        </w:tc>
        <w:tc>
          <w:tcPr>
            <w:tcW w:w="4962"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Кралският указ относно минималните изисквания за преподаване в началното, задължителното средно образование и средното образование включва въвеждането на методологични насоки за преподаване и учене въз основа на основана на компетентности учебна програма, включваща „меки умения“; рамка за оценка на придобиването на компетентности; разработване на по-гъвкав и отворен модел, който насърчава задълбоченото учене; както и подготовката на учебни материали, подкрепа, насоки и обучение за учителите, за да се гарантира, че те могат ефективно да прилагат новата учебна програма. </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305</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C21.R2</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3119"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Материали за насочване и подпомагане на учителите при прилагането на новата учебна програма и обучение на специалисти </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Издадени сертификати за публикувани материали и обучение</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 </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w:t>
            </w:r>
          </w:p>
        </w:tc>
        <w:tc>
          <w:tcPr>
            <w:tcW w:w="851"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T3</w:t>
            </w:r>
          </w:p>
        </w:tc>
        <w:tc>
          <w:tcPr>
            <w:tcW w:w="708"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2024</w:t>
            </w:r>
          </w:p>
        </w:tc>
        <w:tc>
          <w:tcPr>
            <w:tcW w:w="4962"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Завършена подготовка на помощен наръчник и учебни материали. Всички материали се публикуват онлайн за използване от 100 % от учителите.  Най-малко 4000 учители трябва да са преминали обучение за прилагането на новата учебна програма. Най-малко 100 външни експерти ще участват в изготвянето на учебната програма за областите и предметите на образователните етапи и на рамките за оценка, които ще осигурят основата за изготвянето на кралските укази за новата учебна програма и общата рамка за оценка.</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306</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C21.R3</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3119"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Влизане в сила на кралските укази за организацията на университетите</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Разпоредба в кралските укази, указваща влизането в сила на кралските укази</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851"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T3</w:t>
            </w:r>
          </w:p>
        </w:tc>
        <w:tc>
          <w:tcPr>
            <w:tcW w:w="708"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2021</w:t>
            </w:r>
          </w:p>
        </w:tc>
        <w:tc>
          <w:tcPr>
            <w:tcW w:w="4962"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Двата кралски указа за организацията на университетите са: — Кралски указ за организацията на университетските курсове и процедурата за гарантиране на тяхното качество — Кралски указ относно схемата за създаване, признаване, упълномощаване и акредитиране на университетите и свързаните с тях центрове.  Кралски указ за организацията на университетските курсове и процедурата за гарантиране на тяхното качество – Кралски указ относно схемата за създаване, признаване, упълномощаване и акредитиране на университетите и свързаните с тях центрове.</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307</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C21.R3</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3119"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Влизане в сила на Устройствения закон за университетската система</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Разпоредба от закона, указваща влизането в сила на Устройствения закон</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851"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T2</w:t>
            </w:r>
          </w:p>
        </w:tc>
        <w:tc>
          <w:tcPr>
            <w:tcW w:w="708"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2023</w:t>
            </w:r>
          </w:p>
        </w:tc>
        <w:tc>
          <w:tcPr>
            <w:tcW w:w="4962"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Новият органичен закон, насочен към насърчаване на достъпа до висше образование, адаптиране на организацията на университетските курсове, осигуряване на добро управление на университетските институции и насърчаване на научните изследвания, трансфера и мобилността на преподавателския и изследователския персонал. Реформата повишава съответствието на висшето образование с пазара на труда, включително насърчаването на сътрудничеството с частни институции и институции от третия сектор и въвеждането на основано на резултатите финансиране на публичните университети.</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308</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C21.I1</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w:t>
            </w:r>
          </w:p>
        </w:tc>
        <w:tc>
          <w:tcPr>
            <w:tcW w:w="3119"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Бюджетна награда за насърчаване на първия цикъл на образованието в ранна детска възраст </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 </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EUR</w:t>
            </w:r>
          </w:p>
        </w:tc>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0</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670 990 000 </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708"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2023</w:t>
            </w:r>
          </w:p>
        </w:tc>
        <w:tc>
          <w:tcPr>
            <w:tcW w:w="4962" w:type="dxa"/>
            <w:shd w:val="clear" w:color="auto" w:fill="C6EFCE"/>
            <w:noWrap/>
          </w:tcPr>
          <w:p>
            <w:pPr>
              <w:spacing w:after="0" w:line="240" w:lineRule="auto"/>
              <w:jc w:val="both"/>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Отпускане на средства от бюджета за регионални/местни субекти в размер на 670 990 000 EUR за насърчаване на първия цикъл на образованието в ранна детска възраст чрез създаването на нови обществени места. </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309</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C21.I1</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w:t>
            </w:r>
          </w:p>
        </w:tc>
        <w:tc>
          <w:tcPr>
            <w:tcW w:w="3119"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Нови места за първия цикъл на образованието в ранна детска възраст </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Номер</w:t>
            </w:r>
          </w:p>
        </w:tc>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highlight w:val="yellow"/>
              </w:rPr>
            </w:pPr>
            <w:r>
              <w:rPr>
                <w:rFonts w:ascii="Times New Roman" w:hAnsi="Times New Roman"/>
                <w:noProof/>
                <w:color w:val="000000"/>
                <w:sz w:val="18"/>
                <w:szCs w:val="18"/>
              </w:rPr>
              <w:t>0</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highlight w:val="yellow"/>
              </w:rPr>
            </w:pPr>
            <w:r>
              <w:rPr>
                <w:rFonts w:ascii="Times New Roman" w:hAnsi="Times New Roman"/>
                <w:noProof/>
                <w:color w:val="000000"/>
                <w:sz w:val="18"/>
                <w:szCs w:val="18"/>
              </w:rPr>
              <w:t>60 000</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708"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2024</w:t>
            </w:r>
          </w:p>
        </w:tc>
        <w:tc>
          <w:tcPr>
            <w:tcW w:w="4962"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Насърчаване на първия цикъл на образование в ранна детска възраст чрез завършеното създаване на нови обществени места (ново строителство и/или реформа/рехабилитация и оборудване на най-малко 60 000 места в сравнение с края на 2020 г., и от тези оперативни разходи за до 40 000 места до 2024 г.).</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310</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C21.I2</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w:t>
            </w:r>
          </w:p>
        </w:tc>
        <w:tc>
          <w:tcPr>
            <w:tcW w:w="3119"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Подкрепа за училищата по програмата PROA+ </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Номер</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0</w:t>
            </w:r>
          </w:p>
        </w:tc>
        <w:tc>
          <w:tcPr>
            <w:tcW w:w="851"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2 700</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708"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2024</w:t>
            </w:r>
          </w:p>
        </w:tc>
        <w:tc>
          <w:tcPr>
            <w:tcW w:w="4962"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Най-малко 2 700 училища, подпомагани от програмата PROA+ в цялата страна, в съответствие с изискванията на програмата </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311</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C21.I3</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w:t>
            </w:r>
          </w:p>
        </w:tc>
        <w:tc>
          <w:tcPr>
            <w:tcW w:w="3119"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Екипи за придружаване и ориентиране за уязвими ученици </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Номер</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0</w:t>
            </w:r>
          </w:p>
        </w:tc>
        <w:tc>
          <w:tcPr>
            <w:tcW w:w="851"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1 000</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708"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2024</w:t>
            </w:r>
          </w:p>
        </w:tc>
        <w:tc>
          <w:tcPr>
            <w:tcW w:w="4962"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Най-малко 1 000 Съпътстващи и насочващи звена за уязвими студенти трябва да функционират в цялата страна. </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312</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C21.I4</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w:t>
            </w:r>
          </w:p>
        </w:tc>
        <w:tc>
          <w:tcPr>
            <w:tcW w:w="3119"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Стипендии и стипендии за студенти постдокторанти, асистенти и изследователи</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Номер</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0</w:t>
            </w:r>
          </w:p>
        </w:tc>
        <w:tc>
          <w:tcPr>
            <w:tcW w:w="851"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2 600</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708"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2023</w:t>
            </w:r>
          </w:p>
        </w:tc>
        <w:tc>
          <w:tcPr>
            <w:tcW w:w="4962"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Отпускане на стипендии и безвъзмездни средства на най-малко 2 600 кандидати за студенти постдокторанти, асистенти и изследователи. Целите на тези безвъзмездни средства включват насърчаване на професионалното развитие на преподавателския състав, който може да бъде интегриран в системата в бъдеще. Безвъзмездните средства финансират научноизследователски престои, организирани от престижни чуждестранни университети и научноизследователски центрове, както и в испански университети и други държавни служители. За тази цел безвъзмездните средства допринасят за привличането на международни таланти. Безвъзмездните средства се предоставят по три различни програми, като се прилагат специфични критерии в зависимост от целта и целевата група, и те продължават между една и три години в зависимост от програмата и целевата група.</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313</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C21.I5</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3119"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Увеличение на „цифровия индекс за университетите“ </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Публикуване на индекса на уебсайта на Министерството на университетите</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 </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w:t>
            </w:r>
          </w:p>
        </w:tc>
        <w:tc>
          <w:tcPr>
            <w:tcW w:w="851"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w:t>
            </w:r>
          </w:p>
        </w:tc>
        <w:tc>
          <w:tcPr>
            <w:tcW w:w="56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708"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2023</w:t>
            </w:r>
          </w:p>
        </w:tc>
        <w:tc>
          <w:tcPr>
            <w:tcW w:w="4962"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Постигане на увеличение на „цифровия индекс за университетите“ с най-малко 10 % от 2019 г. насам за университетската система като цяло, което обхваща различни измерения на зрялост: Управление, иновации и управление. Допустимите проекти трябва да са стартирани от февруари 2020 г. „Цифровият индекс за университетите „е съкратен вариант на „Модела на цифровата зрялост за университетите“ (MD4U), рамка от показатели, използвана от CRUE-TIC (IT sector of the Conference of Chancellors of Spanish University Model) за нейното годишно проучване за характеризиране на равнището на цифровизация на испанските университети в областта на управлението, иновациите и управлението. „Цифровият индекс за университетите„е „таблица“ за наблюдение на развитието на цифровото равнище на университетите. Базовата линия за въздействието на програмата са стойностите на равнището на цифровизация на университетската система през 2019 г., т.е. датата на базовата линия 31 декември 2019 г.</w:t>
            </w:r>
          </w:p>
        </w:tc>
      </w:tr>
    </w:tbl>
    <w:p>
      <w:pPr>
        <w:spacing w:before="120" w:after="120" w:line="240" w:lineRule="auto"/>
        <w:ind w:left="709"/>
        <w:jc w:val="both"/>
        <w:rPr>
          <w:rFonts w:ascii="Times New Roman" w:hAnsi="Times New Roman" w:cs="Times New Roman"/>
          <w:noProof/>
          <w:sz w:val="24"/>
        </w:rPr>
      </w:pPr>
    </w:p>
    <w:p>
      <w:pPr>
        <w:spacing w:before="120" w:after="120" w:line="240" w:lineRule="auto"/>
        <w:ind w:left="709"/>
        <w:jc w:val="both"/>
        <w:rPr>
          <w:rFonts w:ascii="Times New Roman" w:hAnsi="Times New Roman" w:cs="Times New Roman"/>
          <w:noProof/>
          <w:sz w:val="24"/>
          <w:szCs w:val="24"/>
        </w:rPr>
        <w:sectPr>
          <w:headerReference w:type="even" r:id="rId265"/>
          <w:headerReference w:type="default" r:id="rId266"/>
          <w:footerReference w:type="even" r:id="rId267"/>
          <w:footerReference w:type="default" r:id="rId268"/>
          <w:headerReference w:type="first" r:id="rId269"/>
          <w:footerReference w:type="first" r:id="rId270"/>
          <w:pgSz w:w="16839" w:h="11907" w:orient="landscape"/>
          <w:pgMar w:top="1417" w:right="1134" w:bottom="1417" w:left="1134" w:header="709" w:footer="709" w:gutter="0"/>
          <w:cols w:space="720"/>
          <w:docGrid w:linePitch="360"/>
        </w:sectPr>
      </w:pPr>
    </w:p>
    <w:p>
      <w:pPr>
        <w:pStyle w:val="Heading1"/>
        <w:rPr>
          <w:noProof/>
        </w:rPr>
      </w:pPr>
      <w:r>
        <w:rPr>
          <w:noProof/>
        </w:rPr>
        <w:t>Х. КОМПОНЕНТ 22: План за действие за икономиката на полагането на грижи, укрепване на политиките за равенство и приобщаване</w:t>
      </w:r>
    </w:p>
    <w:p>
      <w:pPr>
        <w:spacing w:before="120" w:after="0" w:line="240" w:lineRule="auto"/>
        <w:jc w:val="both"/>
        <w:textAlignment w:val="baseline"/>
        <w:rPr>
          <w:rFonts w:ascii="Times New Roman" w:eastAsia="Times New Roman" w:hAnsi="Times New Roman" w:cs="Times New Roman"/>
          <w:noProof/>
          <w:sz w:val="24"/>
        </w:rPr>
      </w:pPr>
      <w:r>
        <w:rPr>
          <w:rFonts w:ascii="Times New Roman" w:hAnsi="Times New Roman"/>
          <w:noProof/>
          <w:sz w:val="24"/>
        </w:rPr>
        <w:t xml:space="preserve">Основната цел на този компонент на испанския план за възстановяване и устойчивост е модернизацията и укрепването на социалните услуги и политиките за социално приобщаване. В него се поставя специален акцент върху модела на дългосрочните грижи, с цел да се отговори на нарастващото търсене на различни услуги за дългосрочни грижи поради застаряването на населението, да се насърчат иновациите и ориентираният към хората модел на грижи, съсредоточен върху стратегия за деинституционализация. </w:t>
      </w:r>
    </w:p>
    <w:p>
      <w:pPr>
        <w:spacing w:before="120" w:after="0" w:line="240" w:lineRule="auto"/>
        <w:jc w:val="both"/>
        <w:rPr>
          <w:rFonts w:ascii="Times New Roman" w:eastAsia="Times New Roman" w:hAnsi="Times New Roman" w:cs="Times New Roman"/>
          <w:noProof/>
          <w:sz w:val="24"/>
        </w:rPr>
      </w:pPr>
      <w:r>
        <w:rPr>
          <w:rFonts w:ascii="Times New Roman" w:hAnsi="Times New Roman"/>
          <w:noProof/>
          <w:sz w:val="24"/>
        </w:rPr>
        <w:t>В областта на другите социални услуги и социалното приобщаване целите включват модернизиране и укрепване на социалните услуги чрез насърчаване на иновациите и новите технологии, за да се гарантира предоставянето им на цялата територия, по-добро определяне на нуждите и подобряване на тяхното качество. В областта на подкрепата за семействата действията са насочени към подобряване на правната защита и материалната подкрепа (в пари и в натура) за семействата с оглед намаляване на детската бедност.</w:t>
      </w:r>
      <w:r>
        <w:rPr>
          <w:rFonts w:ascii="Times New Roman" w:hAnsi="Times New Roman"/>
          <w:noProof/>
          <w:sz w:val="24"/>
          <w:szCs w:val="24"/>
        </w:rPr>
        <w:t xml:space="preserve">  </w:t>
      </w:r>
      <w:r>
        <w:rPr>
          <w:rFonts w:ascii="Times New Roman" w:hAnsi="Times New Roman"/>
          <w:noProof/>
          <w:sz w:val="24"/>
        </w:rPr>
        <w:t>Друга цел на компонента е да се модернизират другите социални обезщетения, независещи от вноски, за да се подобрят техните функции за закрила и активизиране.</w:t>
      </w:r>
      <w:r>
        <w:rPr>
          <w:rFonts w:ascii="Times New Roman" w:hAnsi="Times New Roman"/>
          <w:noProof/>
        </w:rPr>
        <w:t xml:space="preserve"> </w:t>
      </w:r>
      <w:r>
        <w:rPr>
          <w:rFonts w:ascii="Times New Roman" w:hAnsi="Times New Roman"/>
          <w:noProof/>
          <w:sz w:val="24"/>
        </w:rPr>
        <w:t>Конкретните целеви действия са насочени към подпомагане на жертвите на насилие, основано на пола, насърчаване на достъпа до обществени услуги и подобряване на капацитета на системата за приемане на кандидати за международна закрила. </w:t>
      </w:r>
    </w:p>
    <w:p>
      <w:pPr>
        <w:spacing w:before="120" w:after="120" w:line="240" w:lineRule="auto"/>
        <w:jc w:val="both"/>
        <w:rPr>
          <w:rFonts w:ascii="Times New Roman" w:hAnsi="Times New Roman" w:cs="Times New Roman"/>
          <w:bCs/>
          <w:noProof/>
          <w:sz w:val="24"/>
        </w:rPr>
      </w:pPr>
      <w:r>
        <w:rPr>
          <w:rFonts w:ascii="Times New Roman" w:hAnsi="Times New Roman"/>
          <w:noProof/>
          <w:sz w:val="24"/>
        </w:rPr>
        <w:t>Компонентът допринася за изпълнението на специфичните за всяка държава препоръки, свързани с това да се гарантира, че службите по заетостта и социалните служби са в състояние да предоставят ефективна подкрепа (специфичната за държавата препоръка 2/2019); подобряване на подкрепата за семействата (специфична препоръка за отделните държави 2 2019 г.); намаляване на разпокъсаността на националната система за подпомагане при безработица и преодоляване на пропуските в обхвата на регионалните схеми за минимален доход (специфичната за държавата препоръка 2/2019); и подобряване на обхвата и адекватността на минималните доходи и схемите за семейно подпомагане (специфичната за държавата препоръка 2 2020 г.).</w:t>
      </w:r>
    </w:p>
    <w:p>
      <w:pPr>
        <w:spacing w:before="120" w:after="120" w:line="240" w:lineRule="auto"/>
        <w:jc w:val="both"/>
        <w:rPr>
          <w:rFonts w:ascii="Times New Roman" w:hAnsi="Times New Roman" w:cs="Times New Roman"/>
          <w:bCs/>
          <w:noProof/>
          <w:sz w:val="24"/>
        </w:rPr>
      </w:pPr>
      <w:r>
        <w:rPr>
          <w:rFonts w:ascii="Times New Roman" w:hAnsi="Times New Roman"/>
          <w:noProof/>
          <w:color w:val="000000" w:themeColor="text1"/>
          <w:sz w:val="24"/>
          <w:szCs w:val="24"/>
        </w:rPr>
        <w:t>Очаква се, че нито една мярка в този компонент не вреди в значителна степен на екологичните цели по смисъла на член 17 от Регламент (ЕС) 2020/852, като се вземат предвид описанието на мерките и стъпките за смекчаване на последиците, определени в плана за възстановяване и устойчивост в съответствие с Техническите насоки за спазването на „принципа за ненанасяне на съществена вреда“ (2021/C58/01).</w:t>
      </w:r>
    </w:p>
    <w:p>
      <w:pPr>
        <w:spacing w:before="120" w:after="120" w:line="240" w:lineRule="auto"/>
        <w:ind w:left="709"/>
        <w:jc w:val="both"/>
        <w:rPr>
          <w:rFonts w:ascii="Times New Roman" w:hAnsi="Times New Roman" w:cs="Times New Roman"/>
          <w:b/>
          <w:bCs/>
          <w:i/>
          <w:iCs/>
          <w:noProof/>
          <w:color w:val="4F81BD" w:themeColor="accent1"/>
          <w:sz w:val="24"/>
        </w:rPr>
      </w:pPr>
      <w:r>
        <w:rPr>
          <w:rFonts w:ascii="Times New Roman" w:hAnsi="Times New Roman"/>
          <w:b/>
          <w:bCs/>
          <w:noProof/>
          <w:sz w:val="24"/>
          <w:u w:val="single"/>
        </w:rPr>
        <w:t xml:space="preserve">Х.1. </w:t>
      </w:r>
      <w:r>
        <w:rPr>
          <w:rFonts w:ascii="Times New Roman" w:hAnsi="Times New Roman"/>
          <w:b/>
          <w:noProof/>
          <w:sz w:val="24"/>
          <w:u w:val="single"/>
        </w:rPr>
        <w:tab/>
      </w:r>
      <w:r>
        <w:rPr>
          <w:rFonts w:ascii="Times New Roman" w:hAnsi="Times New Roman"/>
          <w:b/>
          <w:bCs/>
          <w:noProof/>
          <w:sz w:val="24"/>
          <w:u w:val="single"/>
        </w:rPr>
        <w:t>Описание на реформите и инвестициите за безвъзмездна финансова подкрепа</w:t>
      </w:r>
    </w:p>
    <w:p>
      <w:pPr>
        <w:spacing w:before="120" w:after="120" w:line="240" w:lineRule="auto"/>
        <w:jc w:val="both"/>
        <w:rPr>
          <w:rFonts w:ascii="Times New Roman" w:hAnsi="Times New Roman" w:cs="Times New Roman"/>
          <w:noProof/>
          <w:sz w:val="24"/>
          <w:u w:val="single"/>
        </w:rPr>
      </w:pPr>
      <w:r>
        <w:rPr>
          <w:rFonts w:ascii="Times New Roman" w:hAnsi="Times New Roman"/>
          <w:noProof/>
          <w:color w:val="000000"/>
          <w:sz w:val="24"/>
          <w:szCs w:val="24"/>
          <w:u w:val="single"/>
          <w:shd w:val="clear" w:color="auto" w:fill="FFFFFF"/>
        </w:rPr>
        <w:t>Реформа 1 (C22.R1)</w:t>
      </w:r>
      <w:r>
        <w:rPr>
          <w:rFonts w:ascii="Times New Roman" w:hAnsi="Times New Roman"/>
          <w:noProof/>
          <w:sz w:val="24"/>
          <w:szCs w:val="24"/>
          <w:u w:val="single"/>
        </w:rPr>
        <w:t xml:space="preserve"> — Укрепване на дългосрочните грижи и насърчаване на промяна в модела на подкрепа и дългосрочни грижи</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Целта на реформата е насочен към ориентиран към хората и основан на правата модел за подкрепа. Очаква се системата за автономност и грижи за зависими лица (SAAD) да бъде подобрена чрез въвеждане на реформи, които да опростят административните процедури, да ускорят обработката на заявленията и да намалят списъците на чакащите за лицата на издръжка, които не получават услугите, на които имат право, както и да намалят различията на територията. Тя е насочена и към подобряване на качеството на професионалните услуги, подобряване на условията на труд и увеличаване на обхвата на различните видове финансови обезщетения. В средносрочен план реформата се съсредоточава върху прилагането на национална стратегия за деинституционализация – модел, насочен към грижи в общността, които отговарят на нуждите и предпочитанията на хората, нуждаещи се от подкрепа, като същевременно се гарантира ефективност на разходите и подкрепа за семействата, които се грижат за тях. </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Основата на реформата на дългосрочните грижи се основава на оценка на SAAD през 2021 г., за да се постигне задълбочено разбиране на напредъка на процеса на реформа на дългосрочните грижи, започнал през 2020 г., и на неговото въздействие. Заключенията от тази оценка ще бъдат представени на териториалния съвет през първата половина на 2022 г. </w:t>
      </w:r>
    </w:p>
    <w:p>
      <w:pPr>
        <w:spacing w:before="120" w:after="120" w:line="240" w:lineRule="auto"/>
        <w:jc w:val="both"/>
        <w:rPr>
          <w:rFonts w:ascii="Times New Roman" w:hAnsi="Times New Roman" w:cs="Times New Roman"/>
          <w:noProof/>
          <w:sz w:val="24"/>
        </w:rPr>
      </w:pPr>
      <w:r>
        <w:rPr>
          <w:rFonts w:ascii="Times New Roman" w:hAnsi="Times New Roman"/>
          <w:noProof/>
          <w:color w:val="000000"/>
          <w:sz w:val="24"/>
          <w:szCs w:val="24"/>
          <w:shd w:val="clear" w:color="auto" w:fill="FFFFFF"/>
        </w:rPr>
        <w:t>Изпълнението на мярката приключва до 30 юни 2022 г.</w:t>
      </w:r>
    </w:p>
    <w:p>
      <w:pPr>
        <w:spacing w:before="120" w:after="120" w:line="240" w:lineRule="auto"/>
        <w:jc w:val="both"/>
        <w:rPr>
          <w:rFonts w:ascii="Times New Roman" w:hAnsi="Times New Roman" w:cs="Times New Roman"/>
          <w:noProof/>
          <w:sz w:val="24"/>
          <w:u w:val="single"/>
        </w:rPr>
      </w:pPr>
      <w:r>
        <w:rPr>
          <w:rFonts w:ascii="Times New Roman" w:hAnsi="Times New Roman"/>
          <w:noProof/>
          <w:color w:val="000000"/>
          <w:sz w:val="24"/>
          <w:szCs w:val="24"/>
          <w:u w:val="single"/>
          <w:shd w:val="clear" w:color="auto" w:fill="FFFFFF"/>
        </w:rPr>
        <w:t>Реформа 2 (C22.R2)</w:t>
      </w:r>
      <w:r>
        <w:rPr>
          <w:rFonts w:ascii="Times New Roman" w:hAnsi="Times New Roman"/>
          <w:noProof/>
          <w:sz w:val="24"/>
          <w:szCs w:val="24"/>
          <w:u w:val="single"/>
        </w:rPr>
        <w:t xml:space="preserve"> – Модернизиране на обществените социални услуги и осигуряване на нова регулаторна рамка за тях</w:t>
      </w:r>
    </w:p>
    <w:p>
      <w:pPr>
        <w:spacing w:before="120" w:after="120" w:line="240" w:lineRule="auto"/>
        <w:jc w:val="both"/>
        <w:rPr>
          <w:rFonts w:ascii="Times New Roman" w:hAnsi="Times New Roman" w:cs="Times New Roman"/>
          <w:noProof/>
          <w:sz w:val="24"/>
        </w:rPr>
      </w:pPr>
      <w:r>
        <w:rPr>
          <w:rFonts w:ascii="Times New Roman" w:hAnsi="Times New Roman"/>
          <w:noProof/>
          <w:sz w:val="24"/>
        </w:rPr>
        <w:t>Целта на реформата е да се укрепи публичната система на социалните услуги чрез приемане на законодателство за гарантиране на минимално общо портфолио от услуги и общи стандарти за предоставянето им на цялата територия, като се гарантира равенството на всички испанци при упражняването на техните права, както е предвидено в член 149, параграф 1 от испанската конституция . За тази цел тя допринася за намаляване на различията и неравенствата, свързани с вида, нивото и качеството на предоставяните услуги.</w:t>
      </w:r>
      <w:r>
        <w:rPr>
          <w:rFonts w:ascii="Times New Roman" w:hAnsi="Times New Roman"/>
          <w:noProof/>
          <w:color w:val="000000"/>
          <w:sz w:val="24"/>
        </w:rPr>
        <w:t xml:space="preserve"> Регулаторната рамка се договаря с регионалните и местните корпорации и обхваща също така организацията на публичната система, включително вътрешната ѝ координация и координация с други системи за социална закрила (образование, здравеопазване, правосъдие, жилищно настаняване и градоустройство, заетост и др.); участието на социални предприятия в предоставянето на социални услуги; системата на правомощия и финансиране. </w:t>
      </w:r>
      <w:r>
        <w:rPr>
          <w:rFonts w:ascii="Times New Roman" w:hAnsi="Times New Roman"/>
          <w:noProof/>
          <w:sz w:val="24"/>
        </w:rPr>
        <w:t xml:space="preserve">Освен това тя има за цел насърчаване на иновациите, подобряване на уменията на социалните работници и създаване на нова информационна система за социални услуги. </w:t>
      </w:r>
    </w:p>
    <w:p>
      <w:pPr>
        <w:spacing w:before="120" w:after="120" w:line="240" w:lineRule="auto"/>
        <w:jc w:val="both"/>
        <w:rPr>
          <w:rFonts w:ascii="Times New Roman" w:hAnsi="Times New Roman" w:cs="Times New Roman"/>
          <w:noProof/>
          <w:sz w:val="24"/>
          <w:szCs w:val="24"/>
        </w:rPr>
      </w:pPr>
      <w:r>
        <w:rPr>
          <w:rFonts w:ascii="Times New Roman" w:hAnsi="Times New Roman"/>
          <w:noProof/>
          <w:color w:val="000000"/>
          <w:sz w:val="24"/>
          <w:szCs w:val="24"/>
          <w:shd w:val="clear" w:color="auto" w:fill="FFFFFF"/>
        </w:rPr>
        <w:t>Изпълнението на мярката приключва до 30 юни 2023 г.</w:t>
      </w:r>
    </w:p>
    <w:p>
      <w:pPr>
        <w:spacing w:before="120" w:after="120" w:line="240" w:lineRule="auto"/>
        <w:jc w:val="both"/>
        <w:rPr>
          <w:rFonts w:ascii="Times New Roman" w:hAnsi="Times New Roman" w:cs="Times New Roman"/>
          <w:noProof/>
          <w:sz w:val="24"/>
        </w:rPr>
      </w:pPr>
      <w:r>
        <w:rPr>
          <w:rFonts w:ascii="Times New Roman" w:hAnsi="Times New Roman"/>
          <w:noProof/>
          <w:color w:val="000000"/>
          <w:sz w:val="24"/>
          <w:szCs w:val="24"/>
          <w:shd w:val="clear" w:color="auto" w:fill="FFFFFF"/>
        </w:rPr>
        <w:t>Реформа 3 (C22.R3)</w:t>
      </w:r>
      <w:r>
        <w:rPr>
          <w:rFonts w:ascii="Times New Roman" w:hAnsi="Times New Roman"/>
          <w:noProof/>
          <w:sz w:val="24"/>
          <w:szCs w:val="24"/>
        </w:rPr>
        <w:t xml:space="preserve"> – Приемане на нов закон за защита на семействата и признаване на тяхното многообразие</w:t>
      </w:r>
    </w:p>
    <w:p>
      <w:pPr>
        <w:spacing w:before="120" w:after="120" w:line="240" w:lineRule="auto"/>
        <w:jc w:val="both"/>
        <w:rPr>
          <w:rFonts w:ascii="Times New Roman" w:hAnsi="Times New Roman" w:cs="Times New Roman"/>
          <w:noProof/>
          <w:color w:val="000000" w:themeColor="text1"/>
          <w:sz w:val="24"/>
        </w:rPr>
      </w:pPr>
      <w:r>
        <w:rPr>
          <w:rFonts w:ascii="Times New Roman" w:hAnsi="Times New Roman"/>
          <w:noProof/>
          <w:color w:val="000000"/>
          <w:sz w:val="24"/>
          <w:szCs w:val="24"/>
          <w:shd w:val="clear" w:color="auto" w:fill="FFFFFF"/>
        </w:rPr>
        <w:t xml:space="preserve">Приема се нов закон за защита на семействата и признаване на тяхното многообразие, за да се отговори на демографските и обществените трансформации, настъпили през последните десетилетия. Целта на този нов закон е да се осигури правно признаване на различните видове семейни структури и да се определят обезщетенията и услугите, на които те имат право в зависимост от техните характеристики и равнище на доходите. </w:t>
      </w:r>
      <w:r>
        <w:rPr>
          <w:rFonts w:ascii="Times New Roman" w:hAnsi="Times New Roman"/>
          <w:noProof/>
          <w:color w:val="000000" w:themeColor="text1"/>
          <w:sz w:val="24"/>
          <w:szCs w:val="24"/>
        </w:rPr>
        <w:t xml:space="preserve">За тази цел реформите включват систематизирането, актуализирането и усъвършенстването на правната рамка и защитните действия, които Общата държавна администрация признава за семействата, като се отчита тяхното многообразие както по отношение на социалната закрила (обезщетения, социални услуги), така и по отношение на правните (реформи в гражданското право за определени групи: несключили брак двойки, доведени семейства) и икономическите критерии (данъчно облагане, безвъзмездни средства и др.). </w:t>
      </w:r>
      <w:r>
        <w:rPr>
          <w:rFonts w:ascii="Times New Roman" w:hAnsi="Times New Roman"/>
          <w:noProof/>
          <w:color w:val="000000"/>
          <w:sz w:val="24"/>
          <w:szCs w:val="24"/>
          <w:shd w:val="clear" w:color="auto" w:fill="FFFFFF"/>
        </w:rPr>
        <w:t>Това включва и преразглеждане на Закона за големите семейства</w:t>
      </w:r>
      <w:r>
        <w:rPr>
          <w:rFonts w:ascii="Times New Roman" w:hAnsi="Times New Roman"/>
          <w:noProof/>
          <w:sz w:val="24"/>
          <w:szCs w:val="24"/>
        </w:rPr>
        <w:t>.</w:t>
      </w:r>
      <w:r>
        <w:rPr>
          <w:rFonts w:ascii="Times New Roman" w:hAnsi="Times New Roman"/>
          <w:noProof/>
          <w:color w:val="000000" w:themeColor="text1"/>
          <w:sz w:val="24"/>
          <w:szCs w:val="24"/>
        </w:rPr>
        <w:t xml:space="preserve"> </w:t>
      </w:r>
    </w:p>
    <w:p>
      <w:pPr>
        <w:spacing w:before="120" w:after="120" w:line="240" w:lineRule="auto"/>
        <w:jc w:val="both"/>
        <w:rPr>
          <w:rFonts w:ascii="Times New Roman" w:hAnsi="Times New Roman" w:cs="Times New Roman"/>
          <w:noProof/>
          <w:color w:val="000000"/>
          <w:sz w:val="24"/>
          <w:szCs w:val="24"/>
          <w:shd w:val="clear" w:color="auto" w:fill="FFFFFF"/>
        </w:rPr>
      </w:pPr>
      <w:r>
        <w:rPr>
          <w:rFonts w:ascii="Times New Roman" w:hAnsi="Times New Roman"/>
          <w:noProof/>
          <w:color w:val="000000"/>
          <w:sz w:val="24"/>
          <w:szCs w:val="24"/>
          <w:shd w:val="clear" w:color="auto" w:fill="FFFFFF"/>
        </w:rPr>
        <w:t xml:space="preserve">Основна цел на реформата е намаляването на детската бедност. Поради това се обръща специално внимание на намаляването на неравенствата чрез предоставяне на закрила на семействата със специални нужди или в уязвимо положение, като например домакинствата с един родител или лицата, изложени на риск от бедност или социално изключване. Освен това законът установява общи принципи и цели, за да се гарантира съгласуваност и взаимно допълване с други публични политики, включително данъчното облагане, и да се подобри защитата въз основа на субективни права.   </w:t>
      </w:r>
    </w:p>
    <w:p>
      <w:pPr>
        <w:spacing w:before="120" w:after="120" w:line="240" w:lineRule="auto"/>
        <w:jc w:val="both"/>
        <w:rPr>
          <w:rFonts w:ascii="Times New Roman" w:hAnsi="Times New Roman" w:cs="Times New Roman"/>
          <w:noProof/>
          <w:color w:val="000000"/>
          <w:sz w:val="24"/>
          <w:shd w:val="clear" w:color="auto" w:fill="FFFFFF"/>
        </w:rPr>
      </w:pPr>
      <w:r>
        <w:rPr>
          <w:rFonts w:ascii="Times New Roman" w:hAnsi="Times New Roman"/>
          <w:noProof/>
          <w:color w:val="000000"/>
          <w:sz w:val="24"/>
          <w:szCs w:val="24"/>
          <w:shd w:val="clear" w:color="auto" w:fill="FFFFFF"/>
        </w:rPr>
        <w:t>Изпълнението на мярката приключва до 30 юни 2023 г.</w:t>
      </w:r>
    </w:p>
    <w:p>
      <w:pPr>
        <w:spacing w:before="120" w:after="120" w:line="240" w:lineRule="auto"/>
        <w:jc w:val="both"/>
        <w:rPr>
          <w:rFonts w:ascii="Times New Roman" w:hAnsi="Times New Roman" w:cs="Times New Roman"/>
          <w:noProof/>
          <w:sz w:val="24"/>
          <w:u w:val="single"/>
        </w:rPr>
      </w:pPr>
      <w:r>
        <w:rPr>
          <w:rFonts w:ascii="Times New Roman" w:hAnsi="Times New Roman"/>
          <w:noProof/>
          <w:color w:val="000000"/>
          <w:sz w:val="24"/>
          <w:szCs w:val="24"/>
          <w:u w:val="single"/>
          <w:shd w:val="clear" w:color="auto" w:fill="FFFFFF"/>
        </w:rPr>
        <w:t>Реформа 4 (C22.R4</w:t>
      </w:r>
      <w:r>
        <w:rPr>
          <w:rFonts w:ascii="Times New Roman" w:hAnsi="Times New Roman"/>
          <w:noProof/>
          <w:sz w:val="24"/>
          <w:szCs w:val="24"/>
          <w:u w:val="single"/>
        </w:rPr>
        <w:t xml:space="preserve">) — Реформа на системата за приемане на мигранти и кандидати за международна закрила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Настоящата система за прием на мигранти и кандидати за международна закрила в Испания ще бъде укрепена, за да се подобри нейният капацитет, като се адаптира към съществуващите и очакваните бъдещи нужди и се допринесе за повишаване на нейната ефективност. Акцентът е поставен по-специално върху намаляването на дългите срокове на чакане и ниския процент на признаване на кандидати за международна закрила. </w:t>
      </w:r>
      <w:r>
        <w:rPr>
          <w:rFonts w:ascii="Times New Roman" w:hAnsi="Times New Roman"/>
          <w:noProof/>
          <w:color w:val="000000"/>
          <w:sz w:val="24"/>
        </w:rPr>
        <w:t>При наличието на по-стабилна и по-добре функционираща система се очаква управлението на бъдещи миграционни кризи да бъде по-гладко.</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Политиките за приемане се адаптират към нуждите на уязвимите лица и лицата, търсещи убежище, и към целите за интеграция на ЕС, като по този начин се повишава устойчивостта на цялата система . В тях се определя също така равнището на ползите за основните услуги за кандидатите, които не разполагат с финансови ресурси, и за кандидатите с по-уязвим профил, нуждаещи се от засилена закрила, като целта е да се сведе до минимум предоставянето на условия на приемане под формата на финансови ползи.</w:t>
      </w:r>
      <w:r>
        <w:rPr>
          <w:rFonts w:ascii="Times New Roman" w:hAnsi="Times New Roman"/>
          <w:noProof/>
          <w:color w:val="000000"/>
          <w:sz w:val="24"/>
        </w:rPr>
        <w:t xml:space="preserve"> </w:t>
      </w:r>
      <w:r>
        <w:rPr>
          <w:rFonts w:ascii="Times New Roman" w:hAnsi="Times New Roman"/>
          <w:noProof/>
          <w:sz w:val="24"/>
        </w:rPr>
        <w:t xml:space="preserve">Освен това системата, обхващаща съпътстващите услуги и пътеки, трябва да бъде адаптирана. Тя разглежда организацията на системата за приемане от териториална гледна точка, насочена към ускоряване на поемането на правомощия от автономните области, както е установено от съдебната практика, чрез няколко пилотни проекта . Накрая, параметрите на териториалното разпределение за кандидатите в сътрудничество се договарят с автономните общности. </w:t>
      </w:r>
    </w:p>
    <w:p>
      <w:pPr>
        <w:spacing w:before="120" w:after="120" w:line="240" w:lineRule="auto"/>
        <w:jc w:val="both"/>
        <w:rPr>
          <w:rFonts w:ascii="Times New Roman" w:hAnsi="Times New Roman" w:cs="Times New Roman"/>
          <w:noProof/>
          <w:color w:val="000000"/>
          <w:sz w:val="24"/>
        </w:rPr>
      </w:pPr>
      <w:r>
        <w:rPr>
          <w:rFonts w:ascii="Times New Roman" w:hAnsi="Times New Roman"/>
          <w:noProof/>
          <w:sz w:val="24"/>
        </w:rPr>
        <w:t xml:space="preserve">За да се гарантира прилагането, в претеглена формула се използва система от показатели, включваща елементи като националност, пол, етническа принадлежност, уязвимост, условия в държавата </w:t>
      </w:r>
      <w:r>
        <w:rPr>
          <w:rFonts w:ascii="Times New Roman" w:hAnsi="Times New Roman"/>
          <w:noProof/>
          <w:sz w:val="24"/>
          <w:szCs w:val="24"/>
        </w:rPr>
        <w:t>на произход и т.н., която дава възможност за обективно изчисляване на вероятността за предоставяне на закрила.</w:t>
      </w:r>
      <w:r>
        <w:rPr>
          <w:rFonts w:ascii="Times New Roman" w:hAnsi="Times New Roman"/>
          <w:noProof/>
          <w:color w:val="000000"/>
          <w:sz w:val="24"/>
          <w:szCs w:val="24"/>
        </w:rPr>
        <w:t xml:space="preserve"> </w:t>
      </w:r>
      <w:r>
        <w:rPr>
          <w:rFonts w:ascii="Times New Roman" w:hAnsi="Times New Roman"/>
          <w:noProof/>
          <w:sz w:val="24"/>
          <w:szCs w:val="24"/>
        </w:rPr>
        <w:t>Докато молбите се обработват, резултатът от формулата позволява на органите, отговорни за приемането, да насочат кандидатите към основното или подобреното направление за приемане.</w:t>
      </w:r>
      <w:r>
        <w:rPr>
          <w:rFonts w:ascii="Times New Roman" w:hAnsi="Times New Roman"/>
          <w:noProof/>
          <w:color w:val="000000"/>
          <w:sz w:val="24"/>
          <w:szCs w:val="24"/>
        </w:rPr>
        <w:t xml:space="preserve"> Това важи и за съответните обезщетения. Това дава възможност за прилагане на основни условия на приемане за всички лица, търсещи убежище, и за по-добри условия</w:t>
      </w:r>
      <w:r>
        <w:rPr>
          <w:rFonts w:ascii="Times New Roman" w:hAnsi="Times New Roman"/>
          <w:noProof/>
          <w:color w:val="000000"/>
          <w:sz w:val="24"/>
        </w:rPr>
        <w:t xml:space="preserve"> на приемане за лицата с висока степен на вероятност за признаване.</w:t>
      </w:r>
    </w:p>
    <w:p>
      <w:pPr>
        <w:spacing w:before="120" w:after="120" w:line="240" w:lineRule="auto"/>
        <w:jc w:val="both"/>
        <w:rPr>
          <w:rFonts w:ascii="Times New Roman" w:hAnsi="Times New Roman" w:cs="Times New Roman"/>
          <w:noProof/>
          <w:color w:val="000000"/>
          <w:sz w:val="24"/>
        </w:rPr>
      </w:pPr>
      <w:r>
        <w:rPr>
          <w:rFonts w:ascii="Times New Roman" w:hAnsi="Times New Roman"/>
          <w:noProof/>
          <w:color w:val="000000"/>
          <w:sz w:val="24"/>
          <w:szCs w:val="24"/>
          <w:shd w:val="clear" w:color="auto" w:fill="FFFFFF"/>
        </w:rPr>
        <w:t>Изпълнението на мярката приключва до 31 март 2022 г.</w:t>
      </w:r>
    </w:p>
    <w:p>
      <w:pPr>
        <w:spacing w:before="120" w:after="120" w:line="240" w:lineRule="auto"/>
        <w:jc w:val="both"/>
        <w:rPr>
          <w:rFonts w:ascii="Times New Roman" w:hAnsi="Times New Roman" w:cs="Times New Roman"/>
          <w:noProof/>
          <w:sz w:val="24"/>
          <w:u w:val="single"/>
        </w:rPr>
      </w:pPr>
      <w:r>
        <w:rPr>
          <w:rFonts w:ascii="Times New Roman" w:hAnsi="Times New Roman"/>
          <w:noProof/>
          <w:color w:val="000000"/>
          <w:sz w:val="24"/>
          <w:szCs w:val="24"/>
          <w:u w:val="single"/>
          <w:shd w:val="clear" w:color="auto" w:fill="FFFFFF"/>
        </w:rPr>
        <w:t>Реформа 5 (C22.R5)</w:t>
      </w:r>
      <w:r>
        <w:rPr>
          <w:rFonts w:ascii="Times New Roman" w:hAnsi="Times New Roman"/>
          <w:noProof/>
          <w:sz w:val="24"/>
          <w:szCs w:val="24"/>
          <w:u w:val="single"/>
        </w:rPr>
        <w:t xml:space="preserve"> — Подобряване на системата на независещите от вноски финансови обезщетения на общата държавна администрация</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Тази реформа включва одобряването на новата схема за минимален виртуален доход (MVI) през май 2020 г., създаването на единна национална система за независещи от вноски финансови обезщетения и минимално равнище на независещите от вноски финансови обезщетения за най-уязвимите домакинства. </w:t>
      </w:r>
    </w:p>
    <w:p>
      <w:pPr>
        <w:spacing w:before="120" w:after="120" w:line="240" w:lineRule="auto"/>
        <w:jc w:val="both"/>
        <w:rPr>
          <w:rFonts w:ascii="Times New Roman" w:hAnsi="Times New Roman" w:cs="Times New Roman"/>
          <w:noProof/>
          <w:sz w:val="24"/>
        </w:rPr>
      </w:pPr>
      <w:r>
        <w:rPr>
          <w:rFonts w:ascii="Times New Roman" w:hAnsi="Times New Roman"/>
          <w:noProof/>
          <w:sz w:val="24"/>
        </w:rPr>
        <w:t>Вземайки за отправна точка схемата за MVI, се приема план за реорганизация и опростяване на системата на финансови обезщетения, независещи от вноски, на общата държавна администрация.</w:t>
      </w:r>
      <w:r>
        <w:rPr>
          <w:rFonts w:ascii="Times New Roman" w:hAnsi="Times New Roman"/>
          <w:noProof/>
          <w:color w:val="000000" w:themeColor="text1"/>
          <w:sz w:val="24"/>
        </w:rPr>
        <w:t xml:space="preserve"> </w:t>
      </w:r>
      <w:r>
        <w:rPr>
          <w:rFonts w:ascii="Times New Roman" w:hAnsi="Times New Roman"/>
          <w:noProof/>
          <w:sz w:val="24"/>
        </w:rPr>
        <w:t xml:space="preserve">Планът има за цел да интегрира и рационализира обезщетенията, независещи от вноски, въз основа на схемата за MVI, за да подобри ефективността и ефикасността на публичните средства и да ги насочи към уязвимите лица и хората, изложени на риск от бедност или социално изключване . Акцентът се поставя върху осигуряването на подходящо покритие в зависимост от обстоятелствата, водещи до уязвимост, и върху осигуряването на подходящо подпомагане на доходите, като по този начин се допринася за намаляване на бедността. За тази цел тя взема предвид структурните нужди на домакинствата, по-специално семействата с деца и хората с увреждания. Тя също така обвързва подпомагането на доходите с активното търсене на работа, за да се насърчи социално-икономическата интеграция и да се избегнат „капаните на бедността“. </w:t>
      </w:r>
    </w:p>
    <w:p>
      <w:pPr>
        <w:spacing w:before="120" w:after="120" w:line="240" w:lineRule="auto"/>
        <w:jc w:val="both"/>
        <w:rPr>
          <w:rFonts w:ascii="Times New Roman" w:hAnsi="Times New Roman" w:cs="Times New Roman"/>
          <w:noProof/>
          <w:sz w:val="24"/>
        </w:rPr>
      </w:pPr>
      <w:r>
        <w:rPr>
          <w:rFonts w:ascii="Times New Roman" w:hAnsi="Times New Roman"/>
          <w:noProof/>
          <w:color w:val="000000"/>
          <w:sz w:val="24"/>
          <w:szCs w:val="24"/>
          <w:shd w:val="clear" w:color="auto" w:fill="FFFFFF"/>
        </w:rPr>
        <w:t>Изпълнението на мярката приключва до 31 декември 2023 г.</w:t>
      </w:r>
    </w:p>
    <w:p>
      <w:pPr>
        <w:spacing w:before="120" w:after="120" w:line="240" w:lineRule="auto"/>
        <w:jc w:val="both"/>
        <w:rPr>
          <w:rFonts w:ascii="Times New Roman" w:hAnsi="Times New Roman" w:cs="Times New Roman"/>
          <w:noProof/>
          <w:sz w:val="24"/>
          <w:u w:val="single"/>
        </w:rPr>
      </w:pPr>
      <w:r>
        <w:rPr>
          <w:rFonts w:ascii="Times New Roman" w:hAnsi="Times New Roman"/>
          <w:noProof/>
          <w:sz w:val="24"/>
          <w:szCs w:val="24"/>
          <w:u w:val="single"/>
        </w:rPr>
        <w:t xml:space="preserve">Инвестиция 1 </w:t>
      </w:r>
      <w:r>
        <w:rPr>
          <w:rFonts w:ascii="Times New Roman" w:hAnsi="Times New Roman"/>
          <w:noProof/>
          <w:color w:val="000000"/>
          <w:sz w:val="24"/>
          <w:szCs w:val="24"/>
          <w:u w:val="single"/>
          <w:shd w:val="clear" w:color="auto" w:fill="FFFFFF"/>
        </w:rPr>
        <w:t>(C22.I1)</w:t>
      </w:r>
      <w:r>
        <w:rPr>
          <w:rFonts w:ascii="Times New Roman" w:hAnsi="Times New Roman"/>
          <w:noProof/>
          <w:sz w:val="24"/>
          <w:szCs w:val="24"/>
          <w:u w:val="single"/>
        </w:rPr>
        <w:t>: План за дългосрочни грижи и подкрепа: деинституционализация, оборудване и технологии</w:t>
      </w:r>
      <w:r>
        <w:rPr>
          <w:rFonts w:ascii="Times New Roman" w:hAnsi="Times New Roman"/>
          <w:noProof/>
          <w:sz w:val="24"/>
          <w:szCs w:val="24"/>
        </w:rPr>
        <w:t xml:space="preserve">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В съответствие с реформа 1 на този компонент Испания ще инвестира в шест области на действие. </w:t>
      </w:r>
    </w:p>
    <w:p>
      <w:pPr>
        <w:numPr>
          <w:ilvl w:val="0"/>
          <w:numId w:val="97"/>
        </w:numPr>
        <w:spacing w:before="120" w:after="160" w:line="240" w:lineRule="auto"/>
        <w:contextualSpacing/>
        <w:jc w:val="both"/>
        <w:rPr>
          <w:rFonts w:ascii="Times New Roman" w:hAnsi="Times New Roman" w:cs="Times New Roman"/>
          <w:noProof/>
          <w:sz w:val="24"/>
          <w:szCs w:val="24"/>
        </w:rPr>
      </w:pPr>
      <w:r>
        <w:rPr>
          <w:rFonts w:ascii="Times New Roman" w:hAnsi="Times New Roman"/>
          <w:noProof/>
          <w:sz w:val="24"/>
          <w:szCs w:val="24"/>
        </w:rPr>
        <w:t xml:space="preserve">В дългосрочен план за подкрепа, в който се анализира настоящото положение на политиките за полагане на грижи, чиято цел е да се установят нуждите от подобрение и да се направи предложение за реформа на действащия закон за личната независимост и грижите за хората в положение на зависимост. Тя също така оценява ситуацията и текущите проекти в различни територии; </w:t>
      </w:r>
    </w:p>
    <w:p>
      <w:pPr>
        <w:numPr>
          <w:ilvl w:val="0"/>
          <w:numId w:val="97"/>
        </w:numPr>
        <w:spacing w:before="120" w:after="160" w:line="240" w:lineRule="auto"/>
        <w:contextualSpacing/>
        <w:jc w:val="both"/>
        <w:rPr>
          <w:rFonts w:ascii="Times New Roman" w:hAnsi="Times New Roman" w:cs="Times New Roman"/>
          <w:noProof/>
          <w:sz w:val="24"/>
          <w:szCs w:val="24"/>
        </w:rPr>
      </w:pPr>
      <w:r>
        <w:rPr>
          <w:rFonts w:ascii="Times New Roman" w:hAnsi="Times New Roman"/>
          <w:noProof/>
          <w:sz w:val="24"/>
          <w:szCs w:val="24"/>
        </w:rPr>
        <w:t xml:space="preserve">Национална стратегия за деинституционализация, включително провеждането на кампании за повишаване на осведомеността и разпространение на информация; </w:t>
      </w:r>
    </w:p>
    <w:p>
      <w:pPr>
        <w:numPr>
          <w:ilvl w:val="0"/>
          <w:numId w:val="97"/>
        </w:numPr>
        <w:spacing w:before="120" w:after="160" w:line="240" w:lineRule="auto"/>
        <w:contextualSpacing/>
        <w:jc w:val="both"/>
        <w:rPr>
          <w:rFonts w:ascii="Times New Roman" w:hAnsi="Times New Roman" w:cs="Times New Roman"/>
          <w:noProof/>
          <w:sz w:val="24"/>
          <w:szCs w:val="24"/>
        </w:rPr>
      </w:pPr>
      <w:r>
        <w:rPr>
          <w:rFonts w:ascii="Times New Roman" w:hAnsi="Times New Roman"/>
          <w:noProof/>
          <w:sz w:val="24"/>
          <w:szCs w:val="24"/>
        </w:rPr>
        <w:t>Четири пилотни проекта, насочени към засилване на деинституционализацията и извличане на поуки за трансформирането на подкрепата и дългосрочните грижи, включително за подкрепа и дългосрочни грижи за лица с умствени увреждания;</w:t>
      </w:r>
      <w:r>
        <w:rPr>
          <w:rFonts w:ascii="Times New Roman" w:hAnsi="Times New Roman"/>
          <w:noProof/>
        </w:rPr>
        <w:t xml:space="preserve"> </w:t>
      </w:r>
    </w:p>
    <w:p>
      <w:pPr>
        <w:numPr>
          <w:ilvl w:val="0"/>
          <w:numId w:val="97"/>
        </w:numPr>
        <w:spacing w:before="120" w:after="160" w:line="240" w:lineRule="auto"/>
        <w:contextualSpacing/>
        <w:jc w:val="both"/>
        <w:rPr>
          <w:rFonts w:ascii="Times New Roman" w:hAnsi="Times New Roman" w:cs="Times New Roman"/>
          <w:noProof/>
          <w:sz w:val="24"/>
          <w:szCs w:val="24"/>
        </w:rPr>
      </w:pPr>
      <w:r>
        <w:rPr>
          <w:rFonts w:ascii="Times New Roman" w:hAnsi="Times New Roman"/>
          <w:noProof/>
          <w:sz w:val="24"/>
          <w:szCs w:val="24"/>
        </w:rPr>
        <w:t>Изграждане и обновяване на центрове за настаняване, нежилищни и дневни грижи и инвестиционно оборудване за подобряване на качеството на услугите за полагане на грижи. Тези инвестиционни проекти се изпълняват от автономните области въз основа на оценка на териториалните нужди; и гарантиране, че новите и обновени жилищни места са приведени в съответствие с Конвенцията на ООН за правата на хората с увреждания.</w:t>
      </w:r>
    </w:p>
    <w:p>
      <w:pPr>
        <w:numPr>
          <w:ilvl w:val="0"/>
          <w:numId w:val="97"/>
        </w:numPr>
        <w:spacing w:before="120" w:after="160" w:line="240" w:lineRule="auto"/>
        <w:contextualSpacing/>
        <w:jc w:val="both"/>
        <w:rPr>
          <w:rFonts w:ascii="Times New Roman" w:hAnsi="Times New Roman" w:cs="Times New Roman"/>
          <w:noProof/>
          <w:spacing w:val="-2"/>
          <w:sz w:val="24"/>
          <w:szCs w:val="24"/>
        </w:rPr>
      </w:pPr>
      <w:r>
        <w:rPr>
          <w:rFonts w:ascii="Times New Roman" w:hAnsi="Times New Roman"/>
          <w:noProof/>
          <w:spacing w:val="-2"/>
          <w:sz w:val="24"/>
          <w:szCs w:val="24"/>
        </w:rPr>
        <w:t>Реформа на интегрирани в общността центрове за дневни грижи, включително в селските райони, ръководена от IMSERSO (</w:t>
      </w:r>
      <w:r>
        <w:rPr>
          <w:rFonts w:ascii="Times New Roman" w:hAnsi="Times New Roman"/>
          <w:i/>
          <w:noProof/>
          <w:spacing w:val="-2"/>
          <w:sz w:val="24"/>
          <w:szCs w:val="24"/>
        </w:rPr>
        <w:t>Instituto de Mayores y Servicios Social</w:t>
      </w:r>
      <w:r>
        <w:rPr>
          <w:rFonts w:ascii="Times New Roman" w:hAnsi="Times New Roman"/>
          <w:noProof/>
          <w:spacing w:val="-2"/>
          <w:sz w:val="24"/>
          <w:szCs w:val="24"/>
        </w:rPr>
        <w:t xml:space="preserve"> , към Министерството на социалните права и Програмата до 2030 г.). Единадесет центъра се реформират и адаптират към новия модел за дългосрочни грижи, насочен към хората с физически увреждания, което съответства на 1 209 места. Инвестициите са предназначени също така за иновативни проекти в същите центрове; и</w:t>
      </w:r>
    </w:p>
    <w:p>
      <w:pPr>
        <w:numPr>
          <w:ilvl w:val="0"/>
          <w:numId w:val="97"/>
        </w:numPr>
        <w:spacing w:before="120" w:after="120" w:line="240" w:lineRule="auto"/>
        <w:ind w:left="714" w:hanging="357"/>
        <w:jc w:val="both"/>
        <w:rPr>
          <w:rFonts w:ascii="Times New Roman" w:hAnsi="Times New Roman" w:cs="Times New Roman"/>
          <w:noProof/>
          <w:sz w:val="24"/>
          <w:szCs w:val="24"/>
        </w:rPr>
      </w:pPr>
      <w:r>
        <w:rPr>
          <w:rFonts w:ascii="Times New Roman" w:hAnsi="Times New Roman"/>
          <w:noProof/>
          <w:sz w:val="24"/>
          <w:szCs w:val="24"/>
        </w:rPr>
        <w:t>Инвестиции в нови технологии за подобряване на грижите от разстояние, насочени към насърчаване на личната автономност, предоставянето на грижи и приобщаваща среда за полагане на грижи. Най-малко 90 % от хората в системата за автономност и грижи за зависими лица (SAAD) трябва да разполагат с минимален списък на услугите за домашни грижи от разстояние в резултат на тази инвестиция.</w:t>
      </w:r>
      <w:r>
        <w:rPr>
          <w:rFonts w:ascii="Times New Roman" w:hAnsi="Times New Roman"/>
          <w:noProof/>
          <w:color w:val="000000" w:themeColor="text1"/>
          <w:sz w:val="24"/>
          <w:szCs w:val="24"/>
        </w:rPr>
        <w:t xml:space="preserve"> Това включва услуги по телефонната линия и със специфично комуникационно и информационно-технологично оборудване, разположени в център за полагане на грижи и в домовете на потребителите. </w:t>
      </w:r>
    </w:p>
    <w:p>
      <w:pPr>
        <w:keepNext/>
        <w:tabs>
          <w:tab w:val="left" w:pos="709"/>
        </w:tabs>
        <w:spacing w:before="120" w:after="120" w:line="240" w:lineRule="auto"/>
        <w:jc w:val="both"/>
        <w:rPr>
          <w:rFonts w:ascii="Times New Roman" w:hAnsi="Times New Roman" w:cs="Times New Roman"/>
          <w:noProof/>
          <w:sz w:val="24"/>
          <w:szCs w:val="24"/>
          <w:u w:val="single"/>
        </w:rPr>
      </w:pPr>
      <w:r>
        <w:rPr>
          <w:rFonts w:ascii="Times New Roman" w:hAnsi="Times New Roman"/>
          <w:noProof/>
          <w:color w:val="000000"/>
          <w:sz w:val="24"/>
          <w:szCs w:val="24"/>
          <w:shd w:val="clear" w:color="auto" w:fill="FFFFFF"/>
        </w:rPr>
        <w:t>Изпълнението на мярката приключва до 31 декември 2023 г.</w:t>
      </w:r>
    </w:p>
    <w:p>
      <w:pPr>
        <w:keepNext/>
        <w:tabs>
          <w:tab w:val="left" w:pos="709"/>
        </w:tabs>
        <w:spacing w:before="120" w:after="120" w:line="240" w:lineRule="auto"/>
        <w:jc w:val="both"/>
        <w:rPr>
          <w:rFonts w:ascii="Times New Roman" w:hAnsi="Times New Roman" w:cs="Times New Roman"/>
          <w:noProof/>
          <w:sz w:val="24"/>
          <w:u w:val="single"/>
        </w:rPr>
      </w:pPr>
      <w:r>
        <w:rPr>
          <w:rFonts w:ascii="Times New Roman" w:hAnsi="Times New Roman"/>
          <w:noProof/>
          <w:sz w:val="24"/>
          <w:szCs w:val="24"/>
          <w:u w:val="single"/>
        </w:rPr>
        <w:t xml:space="preserve">Инвестиция 2 </w:t>
      </w:r>
      <w:r>
        <w:rPr>
          <w:rFonts w:ascii="Times New Roman" w:hAnsi="Times New Roman"/>
          <w:noProof/>
          <w:color w:val="000000"/>
          <w:sz w:val="24"/>
          <w:szCs w:val="24"/>
          <w:u w:val="single"/>
          <w:shd w:val="clear" w:color="auto" w:fill="FFFFFF"/>
        </w:rPr>
        <w:t>(C22.I2)</w:t>
      </w:r>
      <w:r>
        <w:rPr>
          <w:rFonts w:ascii="Times New Roman" w:hAnsi="Times New Roman"/>
          <w:noProof/>
          <w:sz w:val="24"/>
          <w:szCs w:val="24"/>
          <w:u w:val="single"/>
        </w:rPr>
        <w:t>: План за модернизиране на социалните услуги – Технологична трансформация, иновации, обучение и укрепване на грижите за децата</w:t>
      </w:r>
      <w:r>
        <w:rPr>
          <w:rFonts w:ascii="Times New Roman" w:hAnsi="Times New Roman"/>
          <w:noProof/>
          <w:sz w:val="24"/>
          <w:szCs w:val="24"/>
        </w:rPr>
        <w:t xml:space="preserve"> </w:t>
      </w:r>
    </w:p>
    <w:p>
      <w:pPr>
        <w:keepNext/>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В съответствие с реформа 2 на този компонент Испания ще инвестира в пет области на действие. </w:t>
      </w:r>
    </w:p>
    <w:p>
      <w:pPr>
        <w:keepNext/>
        <w:numPr>
          <w:ilvl w:val="0"/>
          <w:numId w:val="98"/>
        </w:numPr>
        <w:spacing w:before="120" w:after="160" w:line="240" w:lineRule="auto"/>
        <w:contextualSpacing/>
        <w:jc w:val="both"/>
        <w:rPr>
          <w:rFonts w:ascii="Times New Roman" w:hAnsi="Times New Roman" w:cs="Times New Roman"/>
          <w:noProof/>
          <w:sz w:val="24"/>
          <w:szCs w:val="24"/>
        </w:rPr>
      </w:pPr>
      <w:r>
        <w:rPr>
          <w:rFonts w:ascii="Times New Roman" w:hAnsi="Times New Roman"/>
          <w:noProof/>
          <w:sz w:val="24"/>
          <w:szCs w:val="24"/>
        </w:rPr>
        <w:t xml:space="preserve">Нови технологии за подобряване както на ефективността на социалните услуги (по-кратки срокове за чакане), така и на тяхното качество (по-добри резултати от социалната намеса), включително насърчаване на интегрираните грижи. </w:t>
      </w:r>
    </w:p>
    <w:p>
      <w:pPr>
        <w:numPr>
          <w:ilvl w:val="0"/>
          <w:numId w:val="98"/>
        </w:numPr>
        <w:spacing w:before="120" w:after="160" w:line="240" w:lineRule="auto"/>
        <w:contextualSpacing/>
        <w:jc w:val="both"/>
        <w:rPr>
          <w:rFonts w:ascii="Times New Roman" w:hAnsi="Times New Roman" w:cs="Times New Roman"/>
          <w:noProof/>
          <w:sz w:val="24"/>
          <w:szCs w:val="24"/>
        </w:rPr>
      </w:pPr>
      <w:r>
        <w:rPr>
          <w:rFonts w:ascii="Times New Roman" w:hAnsi="Times New Roman"/>
          <w:noProof/>
          <w:sz w:val="24"/>
          <w:szCs w:val="24"/>
        </w:rPr>
        <w:t xml:space="preserve">Технологични инструменти за подобряване на управлението на социалните услуги и информационните системи, включително онлайн платформа за централизиране на информацията, налична в националните и регионалните администрации. Това включва по-специално пълното прилагане на Испанската информационна система за социални услуги (SIESS). </w:t>
      </w:r>
      <w:r>
        <w:rPr>
          <w:rFonts w:ascii="Times New Roman" w:hAnsi="Times New Roman"/>
          <w:noProof/>
          <w:color w:val="000000"/>
          <w:sz w:val="24"/>
          <w:szCs w:val="24"/>
        </w:rPr>
        <w:t>Очаква се тази нова информационна система да позволи и оперативна съвместимост с други системи (Заетост, Здравеопазване, Трети сектор). Той включва и онлайн инструмент за анализ на проекти, разработени от организации от третия сектор, за управлението на различни бюджетни програми, свързани със социалните услуги и грижите за семействата, децата и някои уязвими групи, както и онлайн платформа за централизиране на информацията относно грижите, налична в общата държавна администрация и автономните области.</w:t>
      </w:r>
    </w:p>
    <w:p>
      <w:pPr>
        <w:numPr>
          <w:ilvl w:val="0"/>
          <w:numId w:val="98"/>
        </w:numPr>
        <w:spacing w:before="120" w:after="160" w:line="240" w:lineRule="auto"/>
        <w:contextualSpacing/>
        <w:jc w:val="both"/>
        <w:rPr>
          <w:rFonts w:ascii="Times New Roman" w:hAnsi="Times New Roman" w:cs="Times New Roman"/>
          <w:noProof/>
          <w:sz w:val="24"/>
          <w:szCs w:val="24"/>
        </w:rPr>
      </w:pPr>
      <w:r>
        <w:rPr>
          <w:rFonts w:ascii="Times New Roman" w:hAnsi="Times New Roman"/>
          <w:noProof/>
          <w:sz w:val="24"/>
          <w:szCs w:val="24"/>
        </w:rPr>
        <w:t xml:space="preserve">Пилотни проекти за насърчаване на иновациите в социалните услуги. </w:t>
      </w:r>
    </w:p>
    <w:p>
      <w:pPr>
        <w:numPr>
          <w:ilvl w:val="0"/>
          <w:numId w:val="98"/>
        </w:numPr>
        <w:spacing w:before="120" w:after="160" w:line="240" w:lineRule="auto"/>
        <w:contextualSpacing/>
        <w:jc w:val="both"/>
        <w:rPr>
          <w:rFonts w:ascii="Times New Roman" w:hAnsi="Times New Roman" w:cs="Times New Roman"/>
          <w:noProof/>
          <w:sz w:val="24"/>
          <w:szCs w:val="24"/>
        </w:rPr>
      </w:pPr>
      <w:r>
        <w:rPr>
          <w:rFonts w:ascii="Times New Roman" w:hAnsi="Times New Roman"/>
          <w:noProof/>
          <w:sz w:val="24"/>
          <w:szCs w:val="24"/>
        </w:rPr>
        <w:t>Обучение на персонала в системата на обществените социални услуги, участващ в прилагането и подкрепата на новия модел за дългосрочни грижи.</w:t>
      </w:r>
    </w:p>
    <w:p>
      <w:pPr>
        <w:numPr>
          <w:ilvl w:val="0"/>
          <w:numId w:val="98"/>
        </w:numPr>
        <w:spacing w:before="120" w:after="160" w:line="240" w:lineRule="auto"/>
        <w:contextualSpacing/>
        <w:jc w:val="both"/>
        <w:rPr>
          <w:rFonts w:ascii="Times New Roman" w:hAnsi="Times New Roman" w:cs="Times New Roman"/>
          <w:noProof/>
          <w:sz w:val="24"/>
          <w:szCs w:val="24"/>
        </w:rPr>
      </w:pPr>
      <w:r>
        <w:rPr>
          <w:rFonts w:ascii="Times New Roman" w:hAnsi="Times New Roman"/>
          <w:noProof/>
          <w:sz w:val="24"/>
          <w:szCs w:val="24"/>
        </w:rPr>
        <w:t xml:space="preserve">Подобряване на инфраструктурата за настаняване и други аспекти на услугите за полагане на грижи за деца и подрастващи, за да се отговори по-добре на емоционалните, личните и образователните/професионалните нужди. </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По-голямата част от инвестициите се състои от проекти, изпълнявани от регионалните правителства за технологична трансформация на социалните услуги и за модернизация на инфраструктурата и услугите, свързани със защитата на жилищата и приемните семейства. </w:t>
      </w:r>
    </w:p>
    <w:p>
      <w:pPr>
        <w:spacing w:before="120" w:after="120" w:line="240" w:lineRule="auto"/>
        <w:jc w:val="both"/>
        <w:rPr>
          <w:rFonts w:ascii="Times New Roman" w:hAnsi="Times New Roman" w:cs="Times New Roman"/>
          <w:noProof/>
          <w:sz w:val="24"/>
        </w:rPr>
      </w:pPr>
      <w:r>
        <w:rPr>
          <w:rFonts w:ascii="Times New Roman" w:hAnsi="Times New Roman"/>
          <w:noProof/>
          <w:color w:val="000000"/>
          <w:sz w:val="24"/>
          <w:szCs w:val="24"/>
          <w:shd w:val="clear" w:color="auto" w:fill="FFFFFF"/>
        </w:rPr>
        <w:t>Изпълнението на мярката приключва до 31 декември 2023 г.</w:t>
      </w:r>
    </w:p>
    <w:p>
      <w:pPr>
        <w:spacing w:before="120" w:after="120" w:line="240" w:lineRule="auto"/>
        <w:jc w:val="both"/>
        <w:rPr>
          <w:rFonts w:ascii="Times New Roman" w:hAnsi="Times New Roman" w:cs="Times New Roman"/>
          <w:noProof/>
          <w:sz w:val="24"/>
          <w:u w:val="single"/>
        </w:rPr>
      </w:pPr>
      <w:r>
        <w:rPr>
          <w:rFonts w:ascii="Times New Roman" w:hAnsi="Times New Roman"/>
          <w:noProof/>
          <w:sz w:val="24"/>
          <w:szCs w:val="24"/>
          <w:u w:val="single"/>
        </w:rPr>
        <w:t xml:space="preserve">Инвестиция 3 </w:t>
      </w:r>
      <w:r>
        <w:rPr>
          <w:rFonts w:ascii="Times New Roman" w:hAnsi="Times New Roman"/>
          <w:noProof/>
          <w:color w:val="000000"/>
          <w:sz w:val="24"/>
          <w:szCs w:val="24"/>
          <w:u w:val="single"/>
          <w:shd w:val="clear" w:color="auto" w:fill="FFFFFF"/>
        </w:rPr>
        <w:t>(C22.I3)</w:t>
      </w:r>
      <w:r>
        <w:rPr>
          <w:rFonts w:ascii="Times New Roman" w:hAnsi="Times New Roman"/>
          <w:noProof/>
          <w:sz w:val="24"/>
          <w:szCs w:val="24"/>
          <w:u w:val="single"/>
        </w:rPr>
        <w:t xml:space="preserve">: Национален план на Испания за подобряване на достъпа </w:t>
      </w:r>
    </w:p>
    <w:p>
      <w:pPr>
        <w:spacing w:before="120" w:after="120" w:line="240" w:lineRule="auto"/>
        <w:jc w:val="both"/>
        <w:rPr>
          <w:rFonts w:ascii="Times New Roman" w:hAnsi="Times New Roman" w:cs="Times New Roman"/>
          <w:noProof/>
          <w:sz w:val="24"/>
        </w:rPr>
      </w:pPr>
      <w:r>
        <w:rPr>
          <w:rFonts w:ascii="Times New Roman" w:hAnsi="Times New Roman"/>
          <w:noProof/>
          <w:sz w:val="24"/>
        </w:rPr>
        <w:t>Испания инвестира в подобряването на достъпността на обществените услуги за хората с увреждания, като се съсредоточи върху подобряването на когнитивната достъпност в комуникацията с публичните органи (включително уебсайтове) и физическия достъп до обществени сгради и обществени пространства; пригодността на здравните услуги физически пространства; достъпност в образователните центрове; и настаняване на обществения транспорт, включително достъпността между градските и селските райони. На общините се предоставя финансова подкрепа за извършването на строителни работи и закупуването на оборудване, по-специално в селските райони. Инвестициите са предназначени също така за комуникационни кампании и кампании за повишаване на осведомеността, както и за научноизследователски проекти за научни изследвания, развитие и иновации в областта на когнитивната достъпност.</w:t>
      </w:r>
    </w:p>
    <w:p>
      <w:pPr>
        <w:spacing w:before="120" w:after="120" w:line="240" w:lineRule="auto"/>
        <w:jc w:val="both"/>
        <w:rPr>
          <w:rFonts w:ascii="Times New Roman" w:hAnsi="Times New Roman" w:cs="Times New Roman"/>
          <w:noProof/>
          <w:sz w:val="24"/>
        </w:rPr>
      </w:pPr>
      <w:r>
        <w:rPr>
          <w:rFonts w:ascii="Times New Roman" w:hAnsi="Times New Roman"/>
          <w:noProof/>
          <w:color w:val="000000"/>
          <w:sz w:val="24"/>
          <w:szCs w:val="24"/>
          <w:shd w:val="clear" w:color="auto" w:fill="FFFFFF"/>
        </w:rPr>
        <w:t>Изпълнението на мярката приключва до 31 март 2023 г.</w:t>
      </w:r>
    </w:p>
    <w:p>
      <w:pPr>
        <w:spacing w:before="120" w:after="120" w:line="240" w:lineRule="auto"/>
        <w:jc w:val="both"/>
        <w:rPr>
          <w:rFonts w:ascii="Times New Roman" w:hAnsi="Times New Roman" w:cs="Times New Roman"/>
          <w:noProof/>
          <w:sz w:val="24"/>
          <w:u w:val="single"/>
        </w:rPr>
      </w:pPr>
      <w:r>
        <w:rPr>
          <w:rFonts w:ascii="Times New Roman" w:hAnsi="Times New Roman"/>
          <w:noProof/>
          <w:sz w:val="24"/>
          <w:szCs w:val="24"/>
          <w:u w:val="single"/>
        </w:rPr>
        <w:t xml:space="preserve">Инвестиция 4 </w:t>
      </w:r>
      <w:r>
        <w:rPr>
          <w:rFonts w:ascii="Times New Roman" w:hAnsi="Times New Roman"/>
          <w:noProof/>
          <w:color w:val="000000"/>
          <w:sz w:val="24"/>
          <w:szCs w:val="24"/>
          <w:u w:val="single"/>
          <w:shd w:val="clear" w:color="auto" w:fill="FFFFFF"/>
        </w:rPr>
        <w:t>(C22.I4)</w:t>
      </w:r>
      <w:r>
        <w:rPr>
          <w:rFonts w:ascii="Times New Roman" w:hAnsi="Times New Roman"/>
          <w:noProof/>
          <w:sz w:val="24"/>
          <w:szCs w:val="24"/>
          <w:u w:val="single"/>
        </w:rPr>
        <w:t>: План на Испания за защита от насилие, основано на пола</w:t>
      </w:r>
      <w:r>
        <w:rPr>
          <w:rFonts w:ascii="Times New Roman" w:hAnsi="Times New Roman"/>
          <w:noProof/>
          <w:sz w:val="24"/>
          <w:szCs w:val="24"/>
        </w:rPr>
        <w:t xml:space="preserve"> </w:t>
      </w:r>
    </w:p>
    <w:p>
      <w:pPr>
        <w:spacing w:before="120" w:after="120" w:line="240" w:lineRule="auto"/>
        <w:jc w:val="both"/>
        <w:rPr>
          <w:rFonts w:ascii="Times New Roman" w:hAnsi="Times New Roman" w:cs="Times New Roman"/>
          <w:noProof/>
          <w:sz w:val="24"/>
        </w:rPr>
      </w:pPr>
      <w:r>
        <w:rPr>
          <w:rFonts w:ascii="Times New Roman" w:hAnsi="Times New Roman"/>
          <w:noProof/>
          <w:sz w:val="24"/>
        </w:rPr>
        <w:t>Испания инвестира в телефонни и онлайн услуги в подкрепа на жертвите на насилие срещу жени, включително жертви на трафик и сексуална експлоатация. Тя включва 24-часови кризисни центрове във всички провинции, включително Сеута и Мелила, като се вземат предвид предизвикателствата, свързани с гарантирането на анонимност и демографските аспекти. Създаването на тези центрове е част от ангажимента на Испания към Конвенцията на Съвета на Европа за превенция и борба с насилието срещу жени и домашното насилие, която беше ратифицирана за Испания през 2014 г.</w:t>
      </w:r>
      <w:r>
        <w:rPr>
          <w:rFonts w:ascii="Times New Roman" w:hAnsi="Times New Roman"/>
          <w:noProof/>
          <w:color w:val="000000"/>
          <w:sz w:val="24"/>
        </w:rPr>
        <w:t xml:space="preserve"> </w:t>
      </w:r>
      <w:r>
        <w:rPr>
          <w:rFonts w:ascii="Times New Roman" w:hAnsi="Times New Roman"/>
          <w:noProof/>
          <w:sz w:val="24"/>
        </w:rPr>
        <w:t xml:space="preserve">Инвестицията също така предоставя различни видове услуги, включително правни консултации, психологическа и емоционална подкрепа, и подпомага интеграцията на пазара на труда. Помощта от разстояние включва също защита на жертвите, включително устройства за наблюдение на мерките за дистанциране. </w:t>
      </w:r>
    </w:p>
    <w:p>
      <w:pPr>
        <w:spacing w:before="120" w:after="120" w:line="240" w:lineRule="auto"/>
        <w:jc w:val="both"/>
        <w:rPr>
          <w:rFonts w:ascii="Times New Roman" w:hAnsi="Times New Roman" w:cs="Times New Roman"/>
          <w:noProof/>
          <w:sz w:val="24"/>
          <w:szCs w:val="24"/>
        </w:rPr>
      </w:pPr>
      <w:r>
        <w:rPr>
          <w:rFonts w:ascii="Times New Roman" w:hAnsi="Times New Roman"/>
          <w:noProof/>
          <w:color w:val="000000"/>
          <w:sz w:val="24"/>
          <w:szCs w:val="24"/>
          <w:shd w:val="clear" w:color="auto" w:fill="FFFFFF"/>
        </w:rPr>
        <w:t>Изпълнението на мярката приключва до 31 декември 2023 г.</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u w:val="single"/>
        </w:rPr>
        <w:t xml:space="preserve">Инвестиция 5 </w:t>
      </w:r>
      <w:r>
        <w:rPr>
          <w:rFonts w:ascii="Times New Roman" w:hAnsi="Times New Roman"/>
          <w:noProof/>
          <w:color w:val="000000"/>
          <w:sz w:val="24"/>
          <w:szCs w:val="24"/>
          <w:u w:val="single"/>
          <w:shd w:val="clear" w:color="auto" w:fill="FFFFFF"/>
        </w:rPr>
        <w:t>(C22.I5)</w:t>
      </w:r>
      <w:r>
        <w:rPr>
          <w:rFonts w:ascii="Times New Roman" w:hAnsi="Times New Roman"/>
          <w:noProof/>
          <w:sz w:val="24"/>
          <w:szCs w:val="24"/>
          <w:u w:val="single"/>
        </w:rPr>
        <w:t>: Повишаване на капацитета и ефективността на системата за приемане на мигранти и кандидати за международна закрила</w:t>
      </w:r>
      <w:r>
        <w:rPr>
          <w:rFonts w:ascii="Times New Roman" w:hAnsi="Times New Roman"/>
          <w:noProof/>
          <w:sz w:val="24"/>
          <w:szCs w:val="24"/>
        </w:rPr>
        <w:t xml:space="preserve">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Испания инвестира в увеличаване на капацитета на системата за приемане чрез увеличаване на прякото участие на държавата в ресурсите на мрежата за приемане. Това допринася за осигуряване на по-голяма стабилност на услугите по настаняване и приемане. Инвестицията включва оценка на нуждите на системата през следващите три години, подкрепа за санирането и обновяването на съществуващи центрове и административни процедури за придобиване, изграждане на нови сгради и възможно обновяване на съществуващи сгради, осигуряване на енергийна ефективност. Въз основа на оценка на добрите практики Испания определя и управлението на приемните центрове от трети страни. И накрая, инвестициите обхващат цифровизацията на центровете и разработването на нова цифрова архитектура, за да се подобри тяхното управление и да се улесни разпределянето на местата на кандидатите между автономните общности. </w:t>
      </w:r>
    </w:p>
    <w:p>
      <w:pPr>
        <w:spacing w:before="120" w:after="120" w:line="240" w:lineRule="auto"/>
        <w:jc w:val="both"/>
        <w:rPr>
          <w:rFonts w:ascii="Times New Roman" w:hAnsi="Times New Roman" w:cs="Times New Roman"/>
          <w:noProof/>
          <w:sz w:val="24"/>
        </w:rPr>
      </w:pPr>
      <w:r>
        <w:rPr>
          <w:rFonts w:ascii="Times New Roman" w:hAnsi="Times New Roman"/>
          <w:noProof/>
          <w:color w:val="000000"/>
          <w:sz w:val="24"/>
          <w:szCs w:val="24"/>
          <w:shd w:val="clear" w:color="auto" w:fill="FFFFFF"/>
        </w:rPr>
        <w:t>Изпълнението на мярката приключва до 31 декември 2024 г.</w:t>
      </w:r>
    </w:p>
    <w:p>
      <w:pPr>
        <w:spacing w:before="120" w:after="120" w:line="240" w:lineRule="auto"/>
        <w:ind w:left="709"/>
        <w:jc w:val="both"/>
        <w:rPr>
          <w:rFonts w:ascii="Times New Roman" w:hAnsi="Times New Roman" w:cs="Times New Roman"/>
          <w:b/>
          <w:bCs/>
          <w:noProof/>
          <w:sz w:val="24"/>
          <w:u w:val="single"/>
        </w:rPr>
      </w:pPr>
      <w:r>
        <w:rPr>
          <w:rFonts w:ascii="Times New Roman" w:hAnsi="Times New Roman"/>
          <w:b/>
          <w:bCs/>
          <w:noProof/>
          <w:sz w:val="24"/>
          <w:u w:val="single"/>
        </w:rPr>
        <w:t xml:space="preserve">Х.2. </w:t>
      </w:r>
      <w:r>
        <w:rPr>
          <w:rFonts w:ascii="Times New Roman" w:hAnsi="Times New Roman"/>
          <w:b/>
          <w:noProof/>
          <w:sz w:val="24"/>
          <w:u w:val="single"/>
        </w:rPr>
        <w:tab/>
      </w:r>
      <w:r>
        <w:rPr>
          <w:rFonts w:ascii="Times New Roman" w:hAnsi="Times New Roman"/>
          <w:b/>
          <w:bCs/>
          <w:noProof/>
          <w:sz w:val="24"/>
          <w:u w:val="single"/>
        </w:rPr>
        <w:t>Ключови етапи, цели, показатели и график за мониторинг и изпълнение на безвъзмездната финансова подкрепа</w:t>
      </w:r>
    </w:p>
    <w:p>
      <w:pPr>
        <w:spacing w:before="120" w:after="120" w:line="240" w:lineRule="auto"/>
        <w:jc w:val="both"/>
        <w:rPr>
          <w:rFonts w:ascii="Times New Roman" w:hAnsi="Times New Roman" w:cs="Times New Roman"/>
          <w:noProof/>
          <w:color w:val="1F497D"/>
        </w:rPr>
      </w:pPr>
      <w:r>
        <w:rPr>
          <w:rFonts w:ascii="Times New Roman" w:hAnsi="Times New Roman"/>
          <w:i/>
          <w:iCs/>
          <w:noProof/>
          <w:color w:val="000000"/>
          <w:sz w:val="24"/>
        </w:rPr>
        <w:t>Вж. таблицата по-долу.</w:t>
      </w:r>
      <w:r>
        <w:rPr>
          <w:rFonts w:ascii="Times New Roman" w:hAnsi="Times New Roman"/>
          <w:noProof/>
          <w:color w:val="1F497D"/>
          <w:sz w:val="24"/>
        </w:rPr>
        <w:t xml:space="preserve"> </w:t>
      </w:r>
      <w:r>
        <w:rPr>
          <w:rFonts w:ascii="Times New Roman" w:hAnsi="Times New Roman"/>
          <w:i/>
          <w:iCs/>
          <w:noProof/>
          <w:color w:val="000000"/>
          <w:sz w:val="24"/>
        </w:rPr>
        <w:t>Датата на базовата линия за всички показатели е 1 февруари 2020 г., освен ако не е посочено друго в описанието на действието. Сумите в таблицата не включват ДДС.</w:t>
      </w:r>
    </w:p>
    <w:p>
      <w:pPr>
        <w:spacing w:before="120" w:after="120" w:line="240" w:lineRule="auto"/>
        <w:ind w:left="709"/>
        <w:jc w:val="both"/>
        <w:rPr>
          <w:rFonts w:ascii="Times New Roman" w:hAnsi="Times New Roman" w:cs="Times New Roman"/>
          <w:noProof/>
          <w:sz w:val="24"/>
          <w:lang w:val="en-IE"/>
        </w:rPr>
        <w:sectPr>
          <w:headerReference w:type="even" r:id="rId271"/>
          <w:headerReference w:type="default" r:id="rId272"/>
          <w:footerReference w:type="even" r:id="rId273"/>
          <w:footerReference w:type="default" r:id="rId274"/>
          <w:headerReference w:type="first" r:id="rId275"/>
          <w:footerReference w:type="first" r:id="rId276"/>
          <w:pgSz w:w="11907" w:h="16839"/>
          <w:pgMar w:top="1134" w:right="1417" w:bottom="1134" w:left="1417" w:header="709" w:footer="709" w:gutter="0"/>
          <w:cols w:space="720"/>
          <w:docGrid w:linePitch="360"/>
        </w:sectPr>
      </w:pPr>
    </w:p>
    <w:tbl>
      <w:tblPr>
        <w:tblW w:w="15310"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09"/>
        <w:gridCol w:w="851"/>
        <w:gridCol w:w="992"/>
        <w:gridCol w:w="2990"/>
        <w:gridCol w:w="1350"/>
        <w:gridCol w:w="810"/>
        <w:gridCol w:w="662"/>
        <w:gridCol w:w="709"/>
        <w:gridCol w:w="429"/>
        <w:gridCol w:w="705"/>
        <w:gridCol w:w="5103"/>
      </w:tblGrid>
      <w:tr>
        <w:trPr>
          <w:trHeight w:val="309"/>
          <w:tblHeader/>
        </w:trPr>
        <w:tc>
          <w:tcPr>
            <w:tcW w:w="709"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sz w:val="18"/>
                <w:szCs w:val="18"/>
              </w:rPr>
            </w:pPr>
            <w:r>
              <w:rPr>
                <w:rFonts w:ascii="Times New Roman" w:hAnsi="Times New Roman"/>
                <w:b/>
                <w:bCs/>
                <w:noProof/>
                <w:color w:val="000000"/>
                <w:sz w:val="18"/>
                <w:szCs w:val="18"/>
              </w:rPr>
              <w:t>Номер</w:t>
            </w:r>
          </w:p>
        </w:tc>
        <w:tc>
          <w:tcPr>
            <w:tcW w:w="851"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sz w:val="18"/>
                <w:szCs w:val="18"/>
              </w:rPr>
            </w:pPr>
            <w:r>
              <w:rPr>
                <w:rFonts w:ascii="Times New Roman" w:hAnsi="Times New Roman"/>
                <w:b/>
                <w:bCs/>
                <w:noProof/>
                <w:color w:val="000000"/>
                <w:sz w:val="18"/>
                <w:szCs w:val="18"/>
              </w:rPr>
              <w:t>Мярка</w:t>
            </w:r>
          </w:p>
        </w:tc>
        <w:tc>
          <w:tcPr>
            <w:tcW w:w="992"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sz w:val="18"/>
                <w:szCs w:val="18"/>
              </w:rPr>
            </w:pPr>
            <w:r>
              <w:rPr>
                <w:rFonts w:ascii="Times New Roman" w:hAnsi="Times New Roman"/>
                <w:b/>
                <w:bCs/>
                <w:noProof/>
                <w:color w:val="000000"/>
                <w:sz w:val="18"/>
                <w:szCs w:val="18"/>
              </w:rPr>
              <w:t>Ключов етап /Цел</w:t>
            </w:r>
          </w:p>
        </w:tc>
        <w:tc>
          <w:tcPr>
            <w:tcW w:w="2990"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sz w:val="18"/>
                <w:szCs w:val="18"/>
              </w:rPr>
            </w:pPr>
            <w:r>
              <w:rPr>
                <w:rFonts w:ascii="Times New Roman" w:hAnsi="Times New Roman"/>
                <w:b/>
                <w:bCs/>
                <w:noProof/>
                <w:color w:val="000000"/>
                <w:sz w:val="18"/>
                <w:szCs w:val="18"/>
              </w:rPr>
              <w:t>Наименование</w:t>
            </w:r>
          </w:p>
        </w:tc>
        <w:tc>
          <w:tcPr>
            <w:tcW w:w="1350"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sz w:val="18"/>
                <w:szCs w:val="18"/>
              </w:rPr>
            </w:pPr>
            <w:r>
              <w:rPr>
                <w:rFonts w:ascii="Times New Roman" w:hAnsi="Times New Roman"/>
                <w:b/>
                <w:bCs/>
                <w:noProof/>
                <w:color w:val="000000"/>
                <w:sz w:val="18"/>
                <w:szCs w:val="18"/>
              </w:rPr>
              <w:t>Качествени показатели за ключовите етапи</w:t>
            </w:r>
          </w:p>
        </w:tc>
        <w:tc>
          <w:tcPr>
            <w:tcW w:w="2181" w:type="dxa"/>
            <w:gridSpan w:val="3"/>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sz w:val="18"/>
                <w:szCs w:val="18"/>
              </w:rPr>
            </w:pPr>
            <w:r>
              <w:rPr>
                <w:rFonts w:ascii="Times New Roman" w:hAnsi="Times New Roman"/>
                <w:b/>
                <w:bCs/>
                <w:noProof/>
                <w:color w:val="000000"/>
                <w:sz w:val="18"/>
                <w:szCs w:val="18"/>
              </w:rPr>
              <w:t>Количествени показатели за целите</w:t>
            </w:r>
          </w:p>
        </w:tc>
        <w:tc>
          <w:tcPr>
            <w:tcW w:w="1134" w:type="dxa"/>
            <w:gridSpan w:val="2"/>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sz w:val="18"/>
                <w:szCs w:val="18"/>
              </w:rPr>
            </w:pPr>
            <w:r>
              <w:rPr>
                <w:rFonts w:ascii="Times New Roman" w:hAnsi="Times New Roman"/>
                <w:b/>
                <w:bCs/>
                <w:noProof/>
                <w:color w:val="000000"/>
                <w:sz w:val="18"/>
                <w:szCs w:val="18"/>
              </w:rPr>
              <w:t>Време</w:t>
            </w:r>
          </w:p>
        </w:tc>
        <w:tc>
          <w:tcPr>
            <w:tcW w:w="5103"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bCs/>
                <w:noProof/>
                <w:color w:val="000000"/>
                <w:sz w:val="18"/>
                <w:szCs w:val="18"/>
              </w:rPr>
            </w:pPr>
            <w:r>
              <w:rPr>
                <w:rFonts w:ascii="Times New Roman" w:hAnsi="Times New Roman"/>
                <w:b/>
                <w:bCs/>
                <w:noProof/>
                <w:sz w:val="18"/>
                <w:szCs w:val="18"/>
              </w:rPr>
              <w:t>Описание на всеки ключов етап и всяка цел</w:t>
            </w:r>
          </w:p>
        </w:tc>
      </w:tr>
      <w:tr>
        <w:trPr>
          <w:trHeight w:val="309"/>
          <w:tblHeader/>
        </w:trPr>
        <w:tc>
          <w:tcPr>
            <w:tcW w:w="709"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851"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992"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2990" w:type="dxa"/>
            <w:tcBorders>
              <w:top w:val="nil"/>
            </w:tcBorders>
            <w:shd w:val="clear" w:color="auto" w:fill="C6D9F1" w:themeFill="text2" w:themeFillTint="33"/>
            <w:noWrap/>
          </w:tcPr>
          <w:p>
            <w:pPr>
              <w:spacing w:after="0" w:line="240" w:lineRule="auto"/>
              <w:rPr>
                <w:rFonts w:ascii="Times New Roman" w:hAnsi="Times New Roman" w:cs="Times New Roman"/>
                <w:b/>
                <w:noProof/>
                <w:color w:val="000000"/>
                <w:sz w:val="18"/>
                <w:szCs w:val="18"/>
              </w:rPr>
            </w:pPr>
          </w:p>
        </w:tc>
        <w:tc>
          <w:tcPr>
            <w:tcW w:w="1350"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810" w:type="dxa"/>
            <w:shd w:val="clear" w:color="auto" w:fill="C6D9F1" w:themeFill="text2" w:themeFillTint="33"/>
            <w:noWrap/>
          </w:tcPr>
          <w:p>
            <w:pPr>
              <w:spacing w:after="0" w:line="240" w:lineRule="auto"/>
              <w:jc w:val="center"/>
              <w:rPr>
                <w:rFonts w:ascii="Times New Roman" w:hAnsi="Times New Roman" w:cs="Times New Roman"/>
                <w:b/>
                <w:bCs/>
                <w:noProof/>
                <w:color w:val="000000"/>
                <w:sz w:val="18"/>
                <w:szCs w:val="18"/>
              </w:rPr>
            </w:pPr>
            <w:r>
              <w:rPr>
                <w:rFonts w:ascii="Times New Roman" w:hAnsi="Times New Roman"/>
                <w:b/>
                <w:bCs/>
                <w:noProof/>
                <w:color w:val="000000"/>
                <w:sz w:val="18"/>
                <w:szCs w:val="18"/>
              </w:rPr>
              <w:t>Мерна единица</w:t>
            </w:r>
          </w:p>
        </w:tc>
        <w:tc>
          <w:tcPr>
            <w:tcW w:w="662" w:type="dxa"/>
            <w:shd w:val="clear" w:color="auto" w:fill="C6D9F1" w:themeFill="text2" w:themeFillTint="33"/>
            <w:noWrap/>
          </w:tcPr>
          <w:p>
            <w:pPr>
              <w:spacing w:after="0" w:line="240" w:lineRule="auto"/>
              <w:jc w:val="center"/>
              <w:rPr>
                <w:rFonts w:ascii="Times New Roman" w:hAnsi="Times New Roman" w:cs="Times New Roman"/>
                <w:b/>
                <w:bCs/>
                <w:noProof/>
                <w:color w:val="000000"/>
                <w:sz w:val="18"/>
                <w:szCs w:val="18"/>
              </w:rPr>
            </w:pPr>
            <w:r>
              <w:rPr>
                <w:rFonts w:ascii="Times New Roman" w:hAnsi="Times New Roman"/>
                <w:b/>
                <w:bCs/>
                <w:noProof/>
                <w:color w:val="000000"/>
                <w:sz w:val="18"/>
                <w:szCs w:val="18"/>
              </w:rPr>
              <w:t>Базова линия</w:t>
            </w:r>
          </w:p>
        </w:tc>
        <w:tc>
          <w:tcPr>
            <w:tcW w:w="709" w:type="dxa"/>
            <w:shd w:val="clear" w:color="auto" w:fill="C6D9F1" w:themeFill="text2" w:themeFillTint="33"/>
            <w:noWrap/>
          </w:tcPr>
          <w:p>
            <w:pPr>
              <w:spacing w:after="0" w:line="240" w:lineRule="auto"/>
              <w:jc w:val="center"/>
              <w:rPr>
                <w:rFonts w:ascii="Times New Roman" w:hAnsi="Times New Roman" w:cs="Times New Roman"/>
                <w:b/>
                <w:bCs/>
                <w:noProof/>
                <w:color w:val="000000"/>
                <w:sz w:val="18"/>
                <w:szCs w:val="18"/>
              </w:rPr>
            </w:pPr>
            <w:r>
              <w:rPr>
                <w:rFonts w:ascii="Times New Roman" w:hAnsi="Times New Roman"/>
                <w:b/>
                <w:bCs/>
                <w:noProof/>
                <w:color w:val="000000"/>
                <w:sz w:val="18"/>
                <w:szCs w:val="18"/>
              </w:rPr>
              <w:t>Цел</w:t>
            </w:r>
          </w:p>
        </w:tc>
        <w:tc>
          <w:tcPr>
            <w:tcW w:w="429" w:type="dxa"/>
            <w:shd w:val="clear" w:color="auto" w:fill="C6D9F1" w:themeFill="text2" w:themeFillTint="33"/>
            <w:noWrap/>
          </w:tcPr>
          <w:p>
            <w:pPr>
              <w:spacing w:after="0" w:line="240" w:lineRule="auto"/>
              <w:jc w:val="center"/>
              <w:rPr>
                <w:rFonts w:ascii="Times New Roman" w:hAnsi="Times New Roman" w:cs="Times New Roman"/>
                <w:b/>
                <w:bCs/>
                <w:noProof/>
                <w:color w:val="000000"/>
                <w:sz w:val="18"/>
                <w:szCs w:val="18"/>
              </w:rPr>
            </w:pPr>
            <w:r>
              <w:rPr>
                <w:rFonts w:ascii="Times New Roman" w:hAnsi="Times New Roman"/>
                <w:b/>
                <w:bCs/>
                <w:noProof/>
                <w:color w:val="000000"/>
                <w:sz w:val="18"/>
                <w:szCs w:val="18"/>
              </w:rPr>
              <w:t>T</w:t>
            </w:r>
          </w:p>
        </w:tc>
        <w:tc>
          <w:tcPr>
            <w:tcW w:w="705" w:type="dxa"/>
            <w:shd w:val="clear" w:color="auto" w:fill="C6D9F1" w:themeFill="text2" w:themeFillTint="33"/>
            <w:noWrap/>
          </w:tcPr>
          <w:p>
            <w:pPr>
              <w:spacing w:after="0" w:line="240" w:lineRule="auto"/>
              <w:jc w:val="center"/>
              <w:rPr>
                <w:rFonts w:ascii="Times New Roman" w:hAnsi="Times New Roman" w:cs="Times New Roman"/>
                <w:b/>
                <w:bCs/>
                <w:noProof/>
                <w:color w:val="000000"/>
                <w:sz w:val="18"/>
                <w:szCs w:val="18"/>
              </w:rPr>
            </w:pPr>
            <w:r>
              <w:rPr>
                <w:rFonts w:ascii="Times New Roman" w:hAnsi="Times New Roman"/>
                <w:b/>
                <w:bCs/>
                <w:noProof/>
                <w:color w:val="000000"/>
                <w:sz w:val="18"/>
                <w:szCs w:val="18"/>
              </w:rPr>
              <w:t>Година</w:t>
            </w:r>
          </w:p>
        </w:tc>
        <w:tc>
          <w:tcPr>
            <w:tcW w:w="5103" w:type="dxa"/>
            <w:tcBorders>
              <w:top w:val="nil"/>
            </w:tcBorders>
            <w:shd w:val="clear" w:color="auto" w:fill="C6D9F1" w:themeFill="text2" w:themeFillTint="33"/>
            <w:noWrap/>
            <w:vAlign w:val="center"/>
          </w:tcPr>
          <w:p>
            <w:pPr>
              <w:spacing w:after="0" w:line="240" w:lineRule="auto"/>
              <w:rPr>
                <w:rFonts w:ascii="Times New Roman" w:hAnsi="Times New Roman" w:cs="Times New Roman"/>
                <w:b/>
                <w:noProof/>
                <w:color w:val="000000"/>
                <w:sz w:val="18"/>
                <w:szCs w:val="18"/>
                <w:lang w:val="en-IE"/>
              </w:rPr>
            </w:pP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314</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C22.R1</w:t>
            </w:r>
          </w:p>
        </w:tc>
        <w:tc>
          <w:tcPr>
            <w:tcW w:w="992"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2990"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Одобряване от Териториалния съвет на оценката на системата за автономност и грижи за зависими лица (SAAD). </w:t>
            </w:r>
          </w:p>
        </w:tc>
        <w:tc>
          <w:tcPr>
            <w:tcW w:w="13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Публикуване на оценката </w:t>
            </w:r>
          </w:p>
        </w:tc>
        <w:tc>
          <w:tcPr>
            <w:tcW w:w="81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 </w:t>
            </w:r>
          </w:p>
        </w:tc>
        <w:tc>
          <w:tcPr>
            <w:tcW w:w="662"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w:t>
            </w:r>
          </w:p>
        </w:tc>
        <w:tc>
          <w:tcPr>
            <w:tcW w:w="42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T2</w:t>
            </w:r>
          </w:p>
        </w:tc>
        <w:tc>
          <w:tcPr>
            <w:tcW w:w="70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2022</w:t>
            </w:r>
          </w:p>
        </w:tc>
        <w:tc>
          <w:tcPr>
            <w:tcW w:w="5103"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Оценката се извършва през 2021 г., за да се постигне задълбочено разбиране на напредъка на започналия през 2020 г. процес на реформа в областта на дългосрочните грижи и неговото въздействие. Заключенията от тази оценка ще бъдат представени на териториалния съвет през първата половина на 2022 г. </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315</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C22.R2</w:t>
            </w:r>
          </w:p>
        </w:tc>
        <w:tc>
          <w:tcPr>
            <w:tcW w:w="992"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2990"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Влизане в сила на Закона за социалните услуги и министерските наредби</w:t>
            </w:r>
          </w:p>
        </w:tc>
        <w:tc>
          <w:tcPr>
            <w:tcW w:w="13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sz w:val="18"/>
                <w:szCs w:val="18"/>
              </w:rPr>
              <w:t>Разпоредба в закона и в министерските наредби, в които се посочва тяхното влизане в сила</w:t>
            </w:r>
            <w:r>
              <w:rPr>
                <w:rFonts w:ascii="Times New Roman" w:hAnsi="Times New Roman"/>
                <w:noProof/>
                <w:color w:val="000000"/>
                <w:sz w:val="18"/>
                <w:szCs w:val="18"/>
              </w:rPr>
              <w:t xml:space="preserve"> </w:t>
            </w:r>
          </w:p>
        </w:tc>
        <w:tc>
          <w:tcPr>
            <w:tcW w:w="81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662"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42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Q2</w:t>
            </w:r>
          </w:p>
        </w:tc>
        <w:tc>
          <w:tcPr>
            <w:tcW w:w="70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2023</w:t>
            </w:r>
          </w:p>
        </w:tc>
        <w:tc>
          <w:tcPr>
            <w:tcW w:w="5103"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Приемането на Закона за социалните услуги е последвано от приемането на необходимите министерски постановления. Целта на закона е да се подобри настоящата система за предоставяне на услуги и да се регламентират основните условия, при които се предоставят социални услуги в Испания. </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316</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C22.R3</w:t>
            </w:r>
          </w:p>
        </w:tc>
        <w:tc>
          <w:tcPr>
            <w:tcW w:w="992"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2990"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Влизане в сила на Закона за семейното многообразие</w:t>
            </w:r>
          </w:p>
        </w:tc>
        <w:tc>
          <w:tcPr>
            <w:tcW w:w="13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Разпоредба от закона, указваща влизането в сила на закона</w:t>
            </w:r>
          </w:p>
        </w:tc>
        <w:tc>
          <w:tcPr>
            <w:tcW w:w="81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662"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42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T2</w:t>
            </w:r>
          </w:p>
        </w:tc>
        <w:tc>
          <w:tcPr>
            <w:tcW w:w="70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2023</w:t>
            </w:r>
          </w:p>
        </w:tc>
        <w:tc>
          <w:tcPr>
            <w:tcW w:w="5103"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Законът за семейното многообразие има за цел: i) правното признаване на различните видове съществуващи семейни структури; ii) определянето на обезщетенията и услугите, на които те имат право в съответствие с техните характеристики и равнища на доходите; и iii) намаляване на детската бедност, като се вземат предвид констатациите от преразпределителната оценка на въздействието.</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317</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C22.R4</w:t>
            </w:r>
          </w:p>
        </w:tc>
        <w:tc>
          <w:tcPr>
            <w:tcW w:w="992"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2990"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Влизане в сила на законодателната реформа на системата за прием на мигранти и кандидати за международна закрила в Испания </w:t>
            </w:r>
          </w:p>
        </w:tc>
        <w:tc>
          <w:tcPr>
            <w:tcW w:w="13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Разпоредба в заповедта, в която се посочва влизането в сила на заповедта</w:t>
            </w:r>
          </w:p>
        </w:tc>
        <w:tc>
          <w:tcPr>
            <w:tcW w:w="81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662"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42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T1</w:t>
            </w:r>
          </w:p>
        </w:tc>
        <w:tc>
          <w:tcPr>
            <w:tcW w:w="70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2022</w:t>
            </w:r>
          </w:p>
        </w:tc>
        <w:tc>
          <w:tcPr>
            <w:tcW w:w="5103"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Централно министерско постановление ще реформира системата за приемане на мигранти и кандидати за международна закрила в Испания, приета от Министерството на приобщаването, социалната сигурност и миграцията. Целта на реформата е да се разработят нови процедури за приемане за всички центрове в мрежата за приемане и да се признаят основните условия на приемане за всички лица, търсещи убежище, и да се подобрят условията на приемане за лицата с висока степен на вероятност за признаване.</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318</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C22.R5</w:t>
            </w:r>
          </w:p>
        </w:tc>
        <w:tc>
          <w:tcPr>
            <w:tcW w:w="992"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2990"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Влизане в сила на Кралски законодателен указ 20/2020 от 29 май за одобряване на минималния жизнен доход</w:t>
            </w:r>
          </w:p>
        </w:tc>
        <w:tc>
          <w:tcPr>
            <w:tcW w:w="13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Разпоредба от закона, указваща влизането в сила на закона </w:t>
            </w:r>
          </w:p>
        </w:tc>
        <w:tc>
          <w:tcPr>
            <w:tcW w:w="81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662"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709"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42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T2</w:t>
            </w:r>
          </w:p>
        </w:tc>
        <w:tc>
          <w:tcPr>
            <w:tcW w:w="70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2020</w:t>
            </w:r>
          </w:p>
        </w:tc>
        <w:tc>
          <w:tcPr>
            <w:tcW w:w="5103"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Влизане в сила на минималния Vital Income (Кралски указ-закон 20/2020 от 29 май).</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319</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C22.R5</w:t>
            </w:r>
          </w:p>
        </w:tc>
        <w:tc>
          <w:tcPr>
            <w:tcW w:w="992"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2990"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Публикуване на „План за реорганизация и опростяване на системата на независещи от вноски финансови обезщетения на общата държавна администрация“.</w:t>
            </w:r>
          </w:p>
        </w:tc>
        <w:tc>
          <w:tcPr>
            <w:tcW w:w="13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Публикуване на плана в Официален вестник</w:t>
            </w:r>
          </w:p>
        </w:tc>
        <w:tc>
          <w:tcPr>
            <w:tcW w:w="81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 </w:t>
            </w:r>
          </w:p>
        </w:tc>
        <w:tc>
          <w:tcPr>
            <w:tcW w:w="662"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w:t>
            </w:r>
          </w:p>
        </w:tc>
        <w:tc>
          <w:tcPr>
            <w:tcW w:w="42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T3</w:t>
            </w:r>
          </w:p>
        </w:tc>
        <w:tc>
          <w:tcPr>
            <w:tcW w:w="70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2022</w:t>
            </w:r>
          </w:p>
        </w:tc>
        <w:tc>
          <w:tcPr>
            <w:tcW w:w="5103"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Приемане на „План за реорганизиране и опростяване на системата на финансови обезщетения, независещи от вноски, на общата държавна администрация“ (публикуван в Официален вестник). Планът има за цел да интегрира обезщетенията, независещи от вноски, около инструмент за покритие на доходите, за да подобри ефективността и ефикасността на публичните ресурси и да ги насочи към хората, изложени на риск от уязвимост или социално изключване. Този план се съсредоточава върху подходящото обхващане на различните обстоятелства, които водят хората до уязвимост, както и върху адекватността на подпомагането на доходите. За тази цел тя взема предвид, от една страна, структурните нужди като домакинства с деца и хора с увреждания, а от друга страна, обвързва подпомагането на доходите с активна работа, която търси приобщаване, и избягва „капаните на бедността“. Планът разглежда всички съществуващи независещи от вноски елементи с оглед на тяхното постепенно и с течение на времето интегриране в единна национална система, за да се гарантира, че целта на плана е напълно постигната. </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320</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C22.R5</w:t>
            </w:r>
          </w:p>
        </w:tc>
        <w:tc>
          <w:tcPr>
            <w:tcW w:w="992"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2990"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Влизане в сила на законодателство за реорганизиране и опростяване на системата на независещи от вноски финансови обезщетения</w:t>
            </w:r>
          </w:p>
        </w:tc>
        <w:tc>
          <w:tcPr>
            <w:tcW w:w="13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Разпоредба от закона, указваща влизането в сила на закона </w:t>
            </w:r>
          </w:p>
        </w:tc>
        <w:tc>
          <w:tcPr>
            <w:tcW w:w="81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662"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42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70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2023</w:t>
            </w:r>
          </w:p>
        </w:tc>
        <w:tc>
          <w:tcPr>
            <w:tcW w:w="5103"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Реформата реорганизира и опростява системата на парични обезщетения, независещи от вноски. Целта на реформата е в инструмента за покритие, изграден около схемата за минимален жизнен доход (IMV), да се включат основните обезщетения, независещи от вноски, предоставяни от общата държавна администрация, да се реорганизира и опрости системата на финансови обезщетения, независещи от вноски, в съответствие с целите на „План за реорганизация и опростяване на системата за финансови обезщетения, независещи от вноски, на общата държавна администрация“.</w:t>
            </w:r>
          </w:p>
        </w:tc>
      </w:tr>
      <w:tr>
        <w:trPr>
          <w:trHeight w:val="309"/>
        </w:trPr>
        <w:tc>
          <w:tcPr>
            <w:tcW w:w="709"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321</w:t>
            </w:r>
          </w:p>
        </w:tc>
        <w:tc>
          <w:tcPr>
            <w:tcW w:w="851"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C22.I1</w:t>
            </w:r>
          </w:p>
        </w:tc>
        <w:tc>
          <w:tcPr>
            <w:tcW w:w="992"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T</w:t>
            </w:r>
          </w:p>
        </w:tc>
        <w:tc>
          <w:tcPr>
            <w:tcW w:w="2990"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szCs w:val="18"/>
              </w:rPr>
              <w:t>Проекти, изпълнявани от Министерството на социалните права и Програмата до 2030 г.</w:t>
            </w:r>
          </w:p>
        </w:tc>
        <w:tc>
          <w:tcPr>
            <w:tcW w:w="13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 </w:t>
            </w:r>
          </w:p>
        </w:tc>
        <w:tc>
          <w:tcPr>
            <w:tcW w:w="810"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Номер</w:t>
            </w:r>
          </w:p>
        </w:tc>
        <w:tc>
          <w:tcPr>
            <w:tcW w:w="662"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0</w:t>
            </w:r>
          </w:p>
        </w:tc>
        <w:tc>
          <w:tcPr>
            <w:tcW w:w="709"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4</w:t>
            </w:r>
          </w:p>
        </w:tc>
        <w:tc>
          <w:tcPr>
            <w:tcW w:w="429"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T2</w:t>
            </w:r>
          </w:p>
        </w:tc>
        <w:tc>
          <w:tcPr>
            <w:tcW w:w="705"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2023</w:t>
            </w:r>
          </w:p>
        </w:tc>
        <w:tc>
          <w:tcPr>
            <w:tcW w:w="5103"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szCs w:val="18"/>
              </w:rPr>
              <w:t>Приключване на 4 пилотни проекта за деинституционализирани грижи, единият от които е съсредоточен върху подкрепата и грижите за хора с умствени увреждания, и реформиране на центрове, съответстващи на най-малко 1100 места в IMSERSO.</w:t>
            </w:r>
          </w:p>
        </w:tc>
      </w:tr>
      <w:tr>
        <w:trPr>
          <w:trHeight w:val="309"/>
        </w:trPr>
        <w:tc>
          <w:tcPr>
            <w:tcW w:w="709"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322</w:t>
            </w:r>
          </w:p>
        </w:tc>
        <w:tc>
          <w:tcPr>
            <w:tcW w:w="851"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C22.I1</w:t>
            </w:r>
          </w:p>
        </w:tc>
        <w:tc>
          <w:tcPr>
            <w:tcW w:w="992"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T</w:t>
            </w:r>
          </w:p>
        </w:tc>
        <w:tc>
          <w:tcPr>
            <w:tcW w:w="2990"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szCs w:val="18"/>
              </w:rPr>
              <w:t xml:space="preserve">Услуги за домашни грижи от разстояние в системата за автономност и грижи за зависими лица (SAAD) </w:t>
            </w:r>
          </w:p>
        </w:tc>
        <w:tc>
          <w:tcPr>
            <w:tcW w:w="13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 </w:t>
            </w:r>
          </w:p>
        </w:tc>
        <w:tc>
          <w:tcPr>
            <w:tcW w:w="810"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 xml:space="preserve">% </w:t>
            </w:r>
          </w:p>
        </w:tc>
        <w:tc>
          <w:tcPr>
            <w:tcW w:w="662"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26</w:t>
            </w:r>
          </w:p>
        </w:tc>
        <w:tc>
          <w:tcPr>
            <w:tcW w:w="709"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90</w:t>
            </w:r>
          </w:p>
        </w:tc>
        <w:tc>
          <w:tcPr>
            <w:tcW w:w="429"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T4</w:t>
            </w:r>
          </w:p>
        </w:tc>
        <w:tc>
          <w:tcPr>
            <w:tcW w:w="705"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2023</w:t>
            </w:r>
          </w:p>
        </w:tc>
        <w:tc>
          <w:tcPr>
            <w:tcW w:w="5103"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szCs w:val="18"/>
              </w:rPr>
              <w:t>Най-малко 90 % от хората в системата за автономност и грижи за зависими лица (SAAD) да се възползват от минимален списък от услуги за домашни грижи от разстояние, по-специално чрез телефонни линии и специално оборудване за комуникация и ИТ оборудване, разположени в център за полагане на грижи и в домовете на потребителите. Дата на базовата линия: 31 март 2020 г.</w:t>
            </w:r>
          </w:p>
        </w:tc>
      </w:tr>
      <w:tr>
        <w:trPr>
          <w:trHeight w:val="309"/>
        </w:trPr>
        <w:tc>
          <w:tcPr>
            <w:tcW w:w="709"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323</w:t>
            </w:r>
          </w:p>
        </w:tc>
        <w:tc>
          <w:tcPr>
            <w:tcW w:w="851"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C22.I1</w:t>
            </w:r>
          </w:p>
        </w:tc>
        <w:tc>
          <w:tcPr>
            <w:tcW w:w="992"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T</w:t>
            </w:r>
          </w:p>
        </w:tc>
        <w:tc>
          <w:tcPr>
            <w:tcW w:w="2990"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szCs w:val="18"/>
              </w:rPr>
              <w:t xml:space="preserve">Места за настаняване, нежилищни и дневни грижи.  </w:t>
            </w:r>
          </w:p>
        </w:tc>
        <w:tc>
          <w:tcPr>
            <w:tcW w:w="13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 </w:t>
            </w:r>
          </w:p>
        </w:tc>
        <w:tc>
          <w:tcPr>
            <w:tcW w:w="810"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Номер</w:t>
            </w:r>
          </w:p>
        </w:tc>
        <w:tc>
          <w:tcPr>
            <w:tcW w:w="662"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 </w:t>
            </w:r>
          </w:p>
        </w:tc>
        <w:tc>
          <w:tcPr>
            <w:tcW w:w="709"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22 360</w:t>
            </w:r>
          </w:p>
        </w:tc>
        <w:tc>
          <w:tcPr>
            <w:tcW w:w="429"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T4</w:t>
            </w:r>
          </w:p>
        </w:tc>
        <w:tc>
          <w:tcPr>
            <w:tcW w:w="705"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2023</w:t>
            </w:r>
          </w:p>
        </w:tc>
        <w:tc>
          <w:tcPr>
            <w:tcW w:w="5103"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szCs w:val="18"/>
              </w:rPr>
              <w:t xml:space="preserve">Центрове за настаняване, нежилищни и дневни грижи, обновени и/или построени, така че да се адаптират 22 360 места към новия модел за дългосрочни грижи </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324</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C22.I2</w:t>
            </w:r>
          </w:p>
        </w:tc>
        <w:tc>
          <w:tcPr>
            <w:tcW w:w="992"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2990"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Прилагане на специфични технологични инструменти за подобряване на информационните системи и системите за управление на социалните услуги.</w:t>
            </w:r>
          </w:p>
        </w:tc>
        <w:tc>
          <w:tcPr>
            <w:tcW w:w="13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Външна оценка на всички етапи и окончателните резултати от проекта.</w:t>
            </w:r>
          </w:p>
        </w:tc>
        <w:tc>
          <w:tcPr>
            <w:tcW w:w="81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 </w:t>
            </w:r>
          </w:p>
        </w:tc>
        <w:tc>
          <w:tcPr>
            <w:tcW w:w="662"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w:t>
            </w:r>
          </w:p>
        </w:tc>
        <w:tc>
          <w:tcPr>
            <w:tcW w:w="42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T3 </w:t>
            </w:r>
          </w:p>
        </w:tc>
        <w:tc>
          <w:tcPr>
            <w:tcW w:w="70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2023</w:t>
            </w:r>
          </w:p>
        </w:tc>
        <w:tc>
          <w:tcPr>
            <w:tcW w:w="5103"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Разработването и прилагането на специфични технологични инструменти за подобряване на информационните системи и системите за управление на социалните услуги обхваща: </w:t>
            </w:r>
            <w:r>
              <w:rPr>
                <w:rFonts w:ascii="Times New Roman" w:hAnsi="Times New Roman"/>
                <w:noProof/>
                <w:color w:val="000000"/>
                <w:sz w:val="18"/>
                <w:szCs w:val="18"/>
                <w:lang w:val="en-US"/>
              </w:rPr>
              <w:t>i</w:t>
            </w:r>
            <w:r>
              <w:rPr>
                <w:rFonts w:ascii="Times New Roman" w:hAnsi="Times New Roman"/>
                <w:noProof/>
                <w:color w:val="000000"/>
                <w:sz w:val="18"/>
                <w:szCs w:val="18"/>
              </w:rPr>
              <w:t xml:space="preserve">) Испанската информационна система за социални услуги (SIESS); ii) онлайн инструмент за анализ на проекти, разработени от субекти от третия сектор; iii) компютърни инструменти за управлението на различни бюджетни програми, свързани със социалните услуги и грижите за семейството, децата и някои уязвими групи; и iv) онлайн платформа за централизиране на наличната в страната информация относно грижите. </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325</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C22.I2</w:t>
            </w:r>
          </w:p>
        </w:tc>
        <w:tc>
          <w:tcPr>
            <w:tcW w:w="992"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2990"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Приключване на проекти за технологична трансформация на социалните услуги и за модернизиране на инфраструктурата и услугите, свързани със защитата на жилищата и приемните семейства </w:t>
            </w:r>
          </w:p>
        </w:tc>
        <w:tc>
          <w:tcPr>
            <w:tcW w:w="13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Контрол на споразуменията, подписани с всеки от автономните региони</w:t>
            </w:r>
          </w:p>
        </w:tc>
        <w:tc>
          <w:tcPr>
            <w:tcW w:w="81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 </w:t>
            </w:r>
          </w:p>
        </w:tc>
        <w:tc>
          <w:tcPr>
            <w:tcW w:w="662"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w:t>
            </w:r>
          </w:p>
        </w:tc>
        <w:tc>
          <w:tcPr>
            <w:tcW w:w="709"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w:t>
            </w:r>
          </w:p>
        </w:tc>
        <w:tc>
          <w:tcPr>
            <w:tcW w:w="42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705"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2023</w:t>
            </w:r>
          </w:p>
        </w:tc>
        <w:tc>
          <w:tcPr>
            <w:tcW w:w="5103"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Завършване от страна на регионалните правителства на технологична трансформация на социалните услуги, която позволява оперативна съвместимост с други системи, взаимодействащи със социалните услуги (заетост, здравеопазване, трети сектор), модернизиране на инфраструктурата и услугите, свързани със защитата на домовете за деца и юноши, включително чрез по-добро удовлетворяване на нуждите от персонализирана подкрепа (включително емоционална и образователна/професионална) и обучение на приемни семейства, за изпълнение на общ бюджет от най-малко 450 000 000 EUR. </w:t>
            </w:r>
          </w:p>
        </w:tc>
      </w:tr>
      <w:tr>
        <w:trPr>
          <w:trHeight w:val="309"/>
        </w:trPr>
        <w:tc>
          <w:tcPr>
            <w:tcW w:w="709"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326</w:t>
            </w:r>
          </w:p>
        </w:tc>
        <w:tc>
          <w:tcPr>
            <w:tcW w:w="851"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C22.I3</w:t>
            </w:r>
          </w:p>
        </w:tc>
        <w:tc>
          <w:tcPr>
            <w:tcW w:w="992"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T</w:t>
            </w:r>
          </w:p>
        </w:tc>
        <w:tc>
          <w:tcPr>
            <w:tcW w:w="2990"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szCs w:val="18"/>
              </w:rPr>
              <w:t>Проекти за подобряване на достъпността</w:t>
            </w:r>
          </w:p>
        </w:tc>
        <w:tc>
          <w:tcPr>
            <w:tcW w:w="1350"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 </w:t>
            </w:r>
          </w:p>
        </w:tc>
        <w:tc>
          <w:tcPr>
            <w:tcW w:w="810"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Номер</w:t>
            </w:r>
          </w:p>
        </w:tc>
        <w:tc>
          <w:tcPr>
            <w:tcW w:w="662"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0</w:t>
            </w:r>
          </w:p>
        </w:tc>
        <w:tc>
          <w:tcPr>
            <w:tcW w:w="709"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277</w:t>
            </w:r>
          </w:p>
        </w:tc>
        <w:tc>
          <w:tcPr>
            <w:tcW w:w="429"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T1</w:t>
            </w:r>
          </w:p>
        </w:tc>
        <w:tc>
          <w:tcPr>
            <w:tcW w:w="705"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2023</w:t>
            </w:r>
          </w:p>
        </w:tc>
        <w:tc>
          <w:tcPr>
            <w:tcW w:w="5103"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szCs w:val="18"/>
              </w:rPr>
              <w:t xml:space="preserve">Завършване на поне 277 проекта от страна на регионалното правителство и централното правителство за подобряване на достъпността и премахване на пречките. </w:t>
            </w:r>
          </w:p>
        </w:tc>
      </w:tr>
      <w:tr>
        <w:trPr>
          <w:trHeight w:val="309"/>
        </w:trPr>
        <w:tc>
          <w:tcPr>
            <w:tcW w:w="709"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327</w:t>
            </w:r>
          </w:p>
        </w:tc>
        <w:tc>
          <w:tcPr>
            <w:tcW w:w="851"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C22.I4</w:t>
            </w:r>
          </w:p>
        </w:tc>
        <w:tc>
          <w:tcPr>
            <w:tcW w:w="992"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T</w:t>
            </w:r>
          </w:p>
        </w:tc>
        <w:tc>
          <w:tcPr>
            <w:tcW w:w="2990"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szCs w:val="18"/>
              </w:rPr>
              <w:t>Центрове за жертви на сексуално насилие.</w:t>
            </w:r>
          </w:p>
        </w:tc>
        <w:tc>
          <w:tcPr>
            <w:tcW w:w="1350"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 </w:t>
            </w:r>
          </w:p>
        </w:tc>
        <w:tc>
          <w:tcPr>
            <w:tcW w:w="810"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Номер</w:t>
            </w:r>
          </w:p>
        </w:tc>
        <w:tc>
          <w:tcPr>
            <w:tcW w:w="662"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19</w:t>
            </w:r>
          </w:p>
        </w:tc>
        <w:tc>
          <w:tcPr>
            <w:tcW w:w="709"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52</w:t>
            </w:r>
          </w:p>
        </w:tc>
        <w:tc>
          <w:tcPr>
            <w:tcW w:w="429"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T4</w:t>
            </w:r>
          </w:p>
        </w:tc>
        <w:tc>
          <w:tcPr>
            <w:tcW w:w="705"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2023</w:t>
            </w:r>
          </w:p>
        </w:tc>
        <w:tc>
          <w:tcPr>
            <w:tcW w:w="5103"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szCs w:val="18"/>
              </w:rPr>
              <w:t>Поне един всеобхватен център за грижи за жертвите на сексуално насилие функционира от провинция, както и един в автономните испански градове съответно Сеута и Мелиля. Дата на базовата линия: 1 февруари 2020 г.</w:t>
            </w:r>
          </w:p>
        </w:tc>
      </w:tr>
      <w:tr>
        <w:trPr>
          <w:trHeight w:val="309"/>
        </w:trPr>
        <w:tc>
          <w:tcPr>
            <w:tcW w:w="709"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328</w:t>
            </w:r>
          </w:p>
        </w:tc>
        <w:tc>
          <w:tcPr>
            <w:tcW w:w="851"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C22.I5</w:t>
            </w:r>
          </w:p>
        </w:tc>
        <w:tc>
          <w:tcPr>
            <w:tcW w:w="992"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T</w:t>
            </w:r>
          </w:p>
        </w:tc>
        <w:tc>
          <w:tcPr>
            <w:tcW w:w="2990"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szCs w:val="18"/>
              </w:rPr>
              <w:t xml:space="preserve">Капацитет на системата за приемане на мигранти и кандидати за международна закрила </w:t>
            </w:r>
          </w:p>
        </w:tc>
        <w:tc>
          <w:tcPr>
            <w:tcW w:w="1350"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 xml:space="preserve"> </w:t>
            </w:r>
          </w:p>
        </w:tc>
        <w:tc>
          <w:tcPr>
            <w:tcW w:w="810"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Номер</w:t>
            </w:r>
          </w:p>
        </w:tc>
        <w:tc>
          <w:tcPr>
            <w:tcW w:w="662"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400</w:t>
            </w:r>
          </w:p>
        </w:tc>
        <w:tc>
          <w:tcPr>
            <w:tcW w:w="709"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6 100</w:t>
            </w:r>
          </w:p>
        </w:tc>
        <w:tc>
          <w:tcPr>
            <w:tcW w:w="429"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T4</w:t>
            </w:r>
          </w:p>
        </w:tc>
        <w:tc>
          <w:tcPr>
            <w:tcW w:w="705"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2024</w:t>
            </w:r>
          </w:p>
        </w:tc>
        <w:tc>
          <w:tcPr>
            <w:tcW w:w="5103"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szCs w:val="18"/>
              </w:rPr>
              <w:t>Увеличаване на капацитета за приемане на системата за приемане на кандидати за международна закрила, търсещи убежище, в центровете на Министерството на приобщаването, социалната сигурност и миграцията с най-малко 5700 места в сравнение с 2019 г. Най-малко 176 000 000 EUR се изразходват за строителство и рехабилитация на сгради, като се гарантира енергийната ефективност. Дата на базовата линия: 31 декември 2019 г.</w:t>
            </w:r>
          </w:p>
        </w:tc>
      </w:tr>
    </w:tbl>
    <w:p>
      <w:pPr>
        <w:spacing w:before="120" w:after="120" w:line="240" w:lineRule="auto"/>
        <w:ind w:left="709"/>
        <w:jc w:val="both"/>
        <w:rPr>
          <w:rFonts w:ascii="Times New Roman" w:hAnsi="Times New Roman" w:cs="Times New Roman"/>
          <w:noProof/>
          <w:sz w:val="24"/>
        </w:rPr>
        <w:sectPr>
          <w:headerReference w:type="even" r:id="rId277"/>
          <w:headerReference w:type="default" r:id="rId278"/>
          <w:footerReference w:type="even" r:id="rId279"/>
          <w:footerReference w:type="default" r:id="rId280"/>
          <w:headerReference w:type="first" r:id="rId281"/>
          <w:footerReference w:type="first" r:id="rId282"/>
          <w:pgSz w:w="16839" w:h="11907" w:orient="landscape"/>
          <w:pgMar w:top="1417" w:right="1134" w:bottom="1417" w:left="1134" w:header="709" w:footer="709" w:gutter="0"/>
          <w:cols w:space="720"/>
          <w:docGrid w:linePitch="360"/>
        </w:sectPr>
      </w:pPr>
    </w:p>
    <w:p>
      <w:pPr>
        <w:pStyle w:val="Heading1"/>
        <w:rPr>
          <w:noProof/>
        </w:rPr>
      </w:pPr>
      <w:r>
        <w:rPr>
          <w:noProof/>
        </w:rPr>
        <w:t>Ц. КОМПОНЕНТ 23: Нови публични политики за динамичен, устойчив и приобщаващ пазар на труда</w:t>
      </w:r>
    </w:p>
    <w:p>
      <w:pPr>
        <w:spacing w:before="120" w:after="120" w:line="240" w:lineRule="auto"/>
        <w:jc w:val="both"/>
        <w:rPr>
          <w:rFonts w:ascii="Times New Roman" w:hAnsi="Times New Roman" w:cs="Times New Roman"/>
          <w:noProof/>
          <w:sz w:val="24"/>
        </w:rPr>
      </w:pPr>
      <w:r>
        <w:rPr>
          <w:rFonts w:ascii="Times New Roman" w:hAnsi="Times New Roman"/>
          <w:noProof/>
        </w:rPr>
        <w:t>Компонентът на испанския план за възстановяване и устойчивост е насочен към важни структурни предизвикателства на испанския пазар на труда.</w:t>
      </w:r>
      <w:r>
        <w:rPr>
          <w:rFonts w:ascii="Times New Roman" w:hAnsi="Times New Roman"/>
          <w:noProof/>
          <w:sz w:val="24"/>
        </w:rPr>
        <w:t xml:space="preserve"> Основните му цели са намаляване на структурната безработица и младежката безработица, намаляване на широкото използване на временни договори и коригиране на двойствеността на пазара на труда, увеличаване на инвестициите в човешки капитал, модернизиране на инструментите за колективно договаряне и повишаване на ефективността и ефикасността на активните политики на пазара на труда. </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Компонентът включва съответни инвестиции в допълнение към тези, финансирани от структурните фондове (по-специално Европейския социален фонд), които имат за цел да увеличат максимално въздействието на реформите върху създаването на качествени работни места, повишаването на производителността и намаляването на социалните и териториалните различия и различията между половете. </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Като цяло мерките, включени в компонента, са насочени към преодоляване на дългогодишните предизвикателства на испанския пазар на труда и представят набор от амбициозни и съгласувани реформи, повечето от които трябва да бъдат изпълнени до края на 2021 г. Някои от предложенията за реформи понастоящем се обсъждат със социалните партньори чрез процес на социален диалог. Поради това някои подробности бяха изрично оставени отворени, за да се остави достатъчно място за постигане на споразумение и одобрение от страна на социалните партньори. </w:t>
      </w:r>
    </w:p>
    <w:p>
      <w:pPr>
        <w:spacing w:before="120" w:after="120" w:line="240" w:lineRule="auto"/>
        <w:jc w:val="both"/>
        <w:rPr>
          <w:rFonts w:ascii="Times New Roman" w:hAnsi="Times New Roman" w:cs="Times New Roman"/>
          <w:iCs/>
          <w:noProof/>
          <w:color w:val="000000" w:themeColor="text1"/>
          <w:sz w:val="24"/>
        </w:rPr>
      </w:pPr>
      <w:r>
        <w:rPr>
          <w:rFonts w:ascii="Times New Roman" w:hAnsi="Times New Roman"/>
          <w:iCs/>
          <w:noProof/>
          <w:color w:val="000000" w:themeColor="text1"/>
          <w:sz w:val="24"/>
        </w:rPr>
        <w:t>Компонентът е насочен към специфичните за всяка държава препоръки относно прехода към безсрочни договори и относно стимулите за наемане на работа, относно публичните служби по заетостта, активните политики на пазара на труда и обучението за възрастни, относно защитата при безработица, схемите за минимален доход и относно запазването на работните места (специфични за всяка държава препоръки 2/2019 и 2 2020 г.).</w:t>
      </w:r>
    </w:p>
    <w:p>
      <w:pPr>
        <w:spacing w:before="120" w:after="120" w:line="240" w:lineRule="auto"/>
        <w:jc w:val="both"/>
        <w:rPr>
          <w:rFonts w:ascii="Times New Roman" w:hAnsi="Times New Roman" w:cs="Times New Roman"/>
          <w:noProof/>
          <w:sz w:val="24"/>
        </w:rPr>
      </w:pPr>
      <w:r>
        <w:rPr>
          <w:rFonts w:ascii="Times New Roman" w:hAnsi="Times New Roman"/>
          <w:noProof/>
          <w:color w:val="000000" w:themeColor="text1"/>
          <w:sz w:val="24"/>
          <w:szCs w:val="24"/>
        </w:rPr>
        <w:t>Очаква се, че нито една мярка в този компонент не вреди в значителна степен на екологичните цели по смисъла на член 17 от Регламент (ЕС) 2020/852, като се вземат предвид описанието на мерките и стъпките за смекчаване на последиците, определени в плана за възстановяване и устойчивост в съответствие с Техническите насоки за спазването на „принципа за ненанасяне на съществена вреда“ (2021/C58/01).</w:t>
      </w:r>
    </w:p>
    <w:p>
      <w:pPr>
        <w:spacing w:before="120" w:after="120" w:line="240" w:lineRule="auto"/>
        <w:ind w:left="709"/>
        <w:jc w:val="both"/>
        <w:rPr>
          <w:rFonts w:ascii="Times New Roman" w:hAnsi="Times New Roman" w:cs="Times New Roman"/>
          <w:b/>
          <w:i/>
          <w:noProof/>
          <w:color w:val="4F81BD" w:themeColor="accent1"/>
          <w:sz w:val="24"/>
        </w:rPr>
      </w:pPr>
      <w:r>
        <w:rPr>
          <w:rFonts w:ascii="Times New Roman" w:hAnsi="Times New Roman"/>
          <w:b/>
          <w:bCs/>
          <w:noProof/>
          <w:sz w:val="24"/>
          <w:u w:val="single"/>
        </w:rPr>
        <w:t xml:space="preserve">Ц.1. </w:t>
      </w:r>
      <w:r>
        <w:rPr>
          <w:rFonts w:ascii="Times New Roman" w:hAnsi="Times New Roman"/>
          <w:b/>
          <w:noProof/>
          <w:sz w:val="24"/>
          <w:u w:val="single"/>
        </w:rPr>
        <w:tab/>
      </w:r>
      <w:r>
        <w:rPr>
          <w:rFonts w:ascii="Times New Roman" w:hAnsi="Times New Roman"/>
          <w:b/>
          <w:bCs/>
          <w:noProof/>
          <w:sz w:val="24"/>
          <w:u w:val="single"/>
        </w:rPr>
        <w:t>Описание на реформите и инвестициите за безвъзмездна финансова подкрепа</w:t>
      </w:r>
    </w:p>
    <w:p>
      <w:pPr>
        <w:spacing w:before="120" w:after="120" w:line="240" w:lineRule="auto"/>
        <w:jc w:val="both"/>
        <w:rPr>
          <w:rFonts w:ascii="Times New Roman" w:hAnsi="Times New Roman" w:cs="Times New Roman"/>
          <w:noProof/>
          <w:sz w:val="24"/>
          <w:u w:val="single"/>
        </w:rPr>
      </w:pPr>
      <w:r>
        <w:rPr>
          <w:rFonts w:ascii="Times New Roman" w:hAnsi="Times New Roman"/>
          <w:noProof/>
          <w:sz w:val="24"/>
          <w:u w:val="single"/>
        </w:rPr>
        <w:t>Реформа 1 (C23.R1) – регулиране на дистанционната работа</w:t>
      </w:r>
    </w:p>
    <w:p>
      <w:pPr>
        <w:spacing w:before="120" w:after="120" w:line="240" w:lineRule="auto"/>
        <w:jc w:val="both"/>
        <w:rPr>
          <w:rFonts w:ascii="Times New Roman" w:hAnsi="Times New Roman" w:cs="Times New Roman"/>
          <w:noProof/>
          <w:sz w:val="24"/>
        </w:rPr>
      </w:pPr>
      <w:r>
        <w:rPr>
          <w:rFonts w:ascii="Times New Roman" w:hAnsi="Times New Roman"/>
          <w:noProof/>
          <w:sz w:val="24"/>
        </w:rPr>
        <w:t>Тази реформа установява регулаторна рамка за предоставяне на дистанционна работа с цел подобряване на защитата и гъвкавостта на работниците, като същевременно се запази производителността на предприятията. Той се състои в одобряването на два кралски декрет-закона:</w:t>
      </w:r>
    </w:p>
    <w:p>
      <w:pPr>
        <w:numPr>
          <w:ilvl w:val="0"/>
          <w:numId w:val="99"/>
        </w:numPr>
        <w:spacing w:before="120" w:after="160" w:line="259" w:lineRule="auto"/>
        <w:contextualSpacing/>
        <w:jc w:val="both"/>
        <w:rPr>
          <w:rFonts w:ascii="Times New Roman" w:hAnsi="Times New Roman" w:cs="Times New Roman"/>
          <w:noProof/>
          <w:sz w:val="24"/>
          <w:szCs w:val="24"/>
        </w:rPr>
      </w:pPr>
      <w:r>
        <w:rPr>
          <w:rFonts w:ascii="Times New Roman" w:hAnsi="Times New Roman"/>
          <w:noProof/>
          <w:sz w:val="24"/>
          <w:szCs w:val="24"/>
        </w:rPr>
        <w:t xml:space="preserve">Кралски законодателен указ 28/2020 от 22 септември осигурява регулаторна рамка, която благоприятства въвеждането на дистанционна работа в частния сектор, като същевременно запазва производителността на предприятията и осигурява защита и гъвкавост на работниците. Тя гарантира еднакви условия на труд за работещите от разстояние и на място, както и доброволния характер на дистанционната работа както за работника, така и за работодателя. Установената рамка благоприятства смесените форми на работа от разстояние и работа на място. </w:t>
      </w:r>
    </w:p>
    <w:p>
      <w:pPr>
        <w:numPr>
          <w:ilvl w:val="0"/>
          <w:numId w:val="99"/>
        </w:numPr>
        <w:spacing w:before="120" w:after="160" w:line="259" w:lineRule="auto"/>
        <w:contextualSpacing/>
        <w:jc w:val="both"/>
        <w:rPr>
          <w:rFonts w:ascii="Times New Roman" w:hAnsi="Times New Roman" w:cs="Times New Roman"/>
          <w:noProof/>
          <w:sz w:val="24"/>
          <w:szCs w:val="24"/>
        </w:rPr>
      </w:pPr>
      <w:r>
        <w:rPr>
          <w:rFonts w:ascii="Times New Roman" w:hAnsi="Times New Roman"/>
          <w:noProof/>
          <w:sz w:val="24"/>
          <w:szCs w:val="24"/>
        </w:rPr>
        <w:t>Кралски законодателен указ 29/2020 от 29 септември относно дистанционната работа в публичните администрации определя регулаторна рамка за държавните служители, в която се признава възможността за предоставяне на този вид работа на доброволна и обратима основа с предварително разрешение.</w:t>
      </w:r>
    </w:p>
    <w:p>
      <w:pPr>
        <w:spacing w:before="240" w:after="120" w:line="240" w:lineRule="auto"/>
        <w:jc w:val="both"/>
        <w:rPr>
          <w:rFonts w:ascii="Times New Roman" w:hAnsi="Times New Roman" w:cs="Times New Roman"/>
          <w:noProof/>
          <w:sz w:val="24"/>
          <w:szCs w:val="24"/>
        </w:rPr>
      </w:pPr>
      <w:r>
        <w:rPr>
          <w:rFonts w:ascii="Times New Roman" w:hAnsi="Times New Roman"/>
          <w:noProof/>
          <w:sz w:val="24"/>
          <w:szCs w:val="24"/>
        </w:rPr>
        <w:t>Тази реформа е свързана с реформа 1 в компонент 11 относно публичната администрация.</w:t>
      </w:r>
    </w:p>
    <w:p>
      <w:pPr>
        <w:spacing w:before="240" w:after="120" w:line="240" w:lineRule="auto"/>
        <w:jc w:val="both"/>
        <w:rPr>
          <w:rFonts w:ascii="Times New Roman" w:hAnsi="Times New Roman" w:cs="Times New Roman"/>
          <w:noProof/>
          <w:sz w:val="24"/>
          <w:szCs w:val="24"/>
        </w:rPr>
      </w:pPr>
      <w:r>
        <w:rPr>
          <w:rFonts w:ascii="Times New Roman" w:hAnsi="Times New Roman"/>
          <w:noProof/>
          <w:sz w:val="24"/>
          <w:szCs w:val="24"/>
        </w:rPr>
        <w:t>Изпълнението на мярката приключва до 31 декември 2020 г.</w:t>
      </w:r>
    </w:p>
    <w:p>
      <w:pPr>
        <w:keepNext/>
        <w:spacing w:before="120" w:after="120" w:line="240" w:lineRule="auto"/>
        <w:jc w:val="both"/>
        <w:rPr>
          <w:rFonts w:ascii="Times New Roman" w:hAnsi="Times New Roman" w:cs="Times New Roman"/>
          <w:noProof/>
          <w:sz w:val="24"/>
          <w:u w:val="single"/>
        </w:rPr>
      </w:pPr>
      <w:r>
        <w:rPr>
          <w:rFonts w:ascii="Times New Roman" w:hAnsi="Times New Roman"/>
          <w:noProof/>
          <w:sz w:val="24"/>
          <w:u w:val="single"/>
        </w:rPr>
        <w:t>Реформа 2 (C23.R2) – Мерки за премахване на неравнопоставеността между половете</w:t>
      </w:r>
    </w:p>
    <w:p>
      <w:pPr>
        <w:keepNext/>
        <w:spacing w:before="120" w:after="120" w:line="240" w:lineRule="auto"/>
        <w:jc w:val="both"/>
        <w:rPr>
          <w:rFonts w:ascii="Times New Roman" w:hAnsi="Times New Roman" w:cs="Times New Roman"/>
          <w:noProof/>
          <w:sz w:val="24"/>
        </w:rPr>
      </w:pPr>
      <w:r>
        <w:rPr>
          <w:rFonts w:ascii="Times New Roman" w:hAnsi="Times New Roman"/>
          <w:noProof/>
          <w:sz w:val="24"/>
        </w:rPr>
        <w:t>Целта на тази реформа е да се премахне разликата в заплащането на жените и мъжете. Той се състои от два устава:</w:t>
      </w:r>
    </w:p>
    <w:p>
      <w:pPr>
        <w:numPr>
          <w:ilvl w:val="0"/>
          <w:numId w:val="99"/>
        </w:numPr>
        <w:spacing w:before="120" w:after="160" w:line="259" w:lineRule="auto"/>
        <w:contextualSpacing/>
        <w:jc w:val="both"/>
        <w:rPr>
          <w:rFonts w:ascii="Times New Roman" w:hAnsi="Times New Roman" w:cs="Times New Roman"/>
          <w:noProof/>
          <w:sz w:val="24"/>
          <w:szCs w:val="24"/>
        </w:rPr>
      </w:pPr>
      <w:r>
        <w:rPr>
          <w:rFonts w:ascii="Times New Roman" w:hAnsi="Times New Roman"/>
          <w:noProof/>
          <w:sz w:val="24"/>
          <w:szCs w:val="24"/>
        </w:rPr>
        <w:t xml:space="preserve">Кралски указ 901/2020 от 13 октомври урежда задължението на работодателите да изготвят и регистрират планове за равенство за осигуряване на прозрачност на заплащането. Всички дружества с повече от 150 служители са задължени да изготвят и регистрират такива планове, а през 2022 г. всички дружества с повече от 50 работници също са задължени. Кралският указ определя процедурата за договаряне на плановете, изискванията, които трябва да бъдат следвани от диагнозата, както и характеристиките на тяхната оценка и наблюдение. </w:t>
      </w:r>
    </w:p>
    <w:p>
      <w:pPr>
        <w:numPr>
          <w:ilvl w:val="0"/>
          <w:numId w:val="99"/>
        </w:numPr>
        <w:spacing w:before="120" w:after="160" w:line="259" w:lineRule="auto"/>
        <w:contextualSpacing/>
        <w:jc w:val="both"/>
        <w:rPr>
          <w:rFonts w:ascii="Times New Roman" w:hAnsi="Times New Roman" w:cs="Times New Roman"/>
          <w:noProof/>
          <w:sz w:val="24"/>
          <w:szCs w:val="24"/>
        </w:rPr>
      </w:pPr>
      <w:r>
        <w:rPr>
          <w:rFonts w:ascii="Times New Roman" w:hAnsi="Times New Roman"/>
          <w:noProof/>
          <w:sz w:val="24"/>
          <w:szCs w:val="24"/>
        </w:rPr>
        <w:t>Кралски указ 902/2020 от 13 октомври 2020 г. относно равното заплащане на мъжете и жените гарантира принципа на прозрачност на заплащането, за да се установят дискриминационни ситуации, дължащи се на неправилни оценки на работата (т.е. по-ниско заплащане за труд с равна стойност). Постановлението определя случаите, в които дадено произведение се счита за равностойно. Той е в сила от април 2021 г. след 6-месечния срок, даден на работодателите за създаване на необходимите механизми за изпълнение.</w:t>
      </w:r>
    </w:p>
    <w:p>
      <w:pPr>
        <w:spacing w:before="240" w:after="120" w:line="240" w:lineRule="auto"/>
        <w:jc w:val="both"/>
        <w:rPr>
          <w:rFonts w:ascii="Times New Roman" w:hAnsi="Times New Roman" w:cs="Times New Roman"/>
          <w:noProof/>
          <w:sz w:val="24"/>
          <w:szCs w:val="24"/>
        </w:rPr>
      </w:pPr>
      <w:r>
        <w:rPr>
          <w:rFonts w:ascii="Times New Roman" w:hAnsi="Times New Roman"/>
          <w:noProof/>
          <w:sz w:val="24"/>
          <w:szCs w:val="24"/>
        </w:rPr>
        <w:t>Изпълнението на мярката приключва до 30 юни 2021 г.</w:t>
      </w:r>
    </w:p>
    <w:p>
      <w:pPr>
        <w:spacing w:before="120" w:after="120" w:line="240" w:lineRule="auto"/>
        <w:jc w:val="both"/>
        <w:rPr>
          <w:rFonts w:ascii="Times New Roman" w:hAnsi="Times New Roman" w:cs="Times New Roman"/>
          <w:noProof/>
          <w:sz w:val="24"/>
        </w:rPr>
      </w:pPr>
      <w:r>
        <w:rPr>
          <w:rFonts w:ascii="Times New Roman" w:hAnsi="Times New Roman"/>
          <w:noProof/>
          <w:sz w:val="24"/>
          <w:u w:val="single"/>
        </w:rPr>
        <w:t>Реформа 3 (C23.R3) – Регулиране на работата на разпространителите на жилища чрез цифрови платформи ( водачи )</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Реформата има за цел да регламентира условията на труд на т.нар. " ездачи ", които участват в дейности по разпространение на трети страни чрез използване на технологични средства. Кралският декрет-закон гарантира на тези работници правото на справедливо и равно третиране по отношение на условията на труд, както и правото на достъп до социална закрила и обучение, чрез законовата презумпция за наличие на трудово правоотношение между дружеството и водача. Тя също така дава възможност на законното представителство на работниците да бъде информирано за правилата, съдържащи се в алгоритмите и системите за изкуствен интелект, които могат да окажат въздействие върху условията на труд, включително достъпа до заетост и поддържането на работни места и профилирането.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Изпълнението на мярката приключва до 30 септември 2021 г.</w:t>
      </w:r>
    </w:p>
    <w:p>
      <w:pPr>
        <w:spacing w:before="120" w:after="120" w:line="240" w:lineRule="auto"/>
        <w:jc w:val="both"/>
        <w:rPr>
          <w:rFonts w:ascii="Times New Roman" w:hAnsi="Times New Roman" w:cs="Times New Roman"/>
          <w:noProof/>
          <w:sz w:val="24"/>
          <w:u w:val="single"/>
        </w:rPr>
      </w:pPr>
      <w:r>
        <w:rPr>
          <w:rFonts w:ascii="Times New Roman" w:hAnsi="Times New Roman"/>
          <w:noProof/>
          <w:sz w:val="24"/>
          <w:u w:val="single"/>
        </w:rPr>
        <w:t>Реформа 4 (C23.R4) – Опростяване на договорите: генерализиране на безсрочния договор, основания за използване на временни договори и регламентиране на договора за обучение/чиракуване.</w:t>
      </w:r>
    </w:p>
    <w:p>
      <w:pPr>
        <w:spacing w:before="120" w:after="120" w:line="240" w:lineRule="auto"/>
        <w:jc w:val="both"/>
        <w:rPr>
          <w:rFonts w:ascii="Times New Roman" w:hAnsi="Times New Roman" w:cs="Times New Roman"/>
          <w:noProof/>
          <w:sz w:val="24"/>
        </w:rPr>
      </w:pPr>
      <w:r>
        <w:rPr>
          <w:rFonts w:ascii="Times New Roman" w:hAnsi="Times New Roman"/>
          <w:noProof/>
          <w:sz w:val="24"/>
        </w:rPr>
        <w:t>Тази реформа се състои в изменение на Правилника относно договорите, установен със Законодателен декрет 2/2015, с цел да се регламентира използването на срочни трудови договори като изключително причинно-следствена връзка и да се разшири използването на безсрочни договори. В договора се включват следните елементи:</w:t>
      </w:r>
    </w:p>
    <w:p>
      <w:pPr>
        <w:numPr>
          <w:ilvl w:val="0"/>
          <w:numId w:val="100"/>
        </w:numPr>
        <w:spacing w:before="120" w:after="160" w:line="259" w:lineRule="auto"/>
        <w:contextualSpacing/>
        <w:jc w:val="both"/>
        <w:rPr>
          <w:rFonts w:ascii="Times New Roman" w:hAnsi="Times New Roman" w:cs="Times New Roman"/>
          <w:noProof/>
          <w:sz w:val="24"/>
          <w:szCs w:val="24"/>
        </w:rPr>
      </w:pPr>
      <w:r>
        <w:rPr>
          <w:rFonts w:ascii="Times New Roman" w:hAnsi="Times New Roman"/>
          <w:noProof/>
          <w:sz w:val="24"/>
          <w:szCs w:val="24"/>
        </w:rPr>
        <w:t xml:space="preserve">Опростяване и реорганизация на менюто от договори с три основни вида: безсрочно, временно и обучение/чиракуване. Структурата на новите видове договори има за цел да ограничи валидните причини за използване на временни договори, като по този начин превръща безсрочните договори в общо правило. </w:t>
      </w:r>
    </w:p>
    <w:p>
      <w:pPr>
        <w:numPr>
          <w:ilvl w:val="0"/>
          <w:numId w:val="100"/>
        </w:numPr>
        <w:spacing w:before="120" w:after="160" w:line="259" w:lineRule="auto"/>
        <w:contextualSpacing/>
        <w:jc w:val="both"/>
        <w:rPr>
          <w:rFonts w:ascii="Times New Roman" w:hAnsi="Times New Roman" w:cs="Times New Roman"/>
          <w:noProof/>
          <w:sz w:val="24"/>
          <w:szCs w:val="24"/>
        </w:rPr>
      </w:pPr>
      <w:r>
        <w:rPr>
          <w:rFonts w:ascii="Times New Roman" w:hAnsi="Times New Roman"/>
          <w:noProof/>
          <w:sz w:val="24"/>
          <w:szCs w:val="24"/>
        </w:rPr>
        <w:t xml:space="preserve">Преразглеждане на използването на договора за обучение/чиракуване, за да се осигури подходяща рамка за навлизането на младите хора на пазара на труда. </w:t>
      </w:r>
    </w:p>
    <w:p>
      <w:pPr>
        <w:numPr>
          <w:ilvl w:val="0"/>
          <w:numId w:val="100"/>
        </w:numPr>
        <w:spacing w:before="120" w:after="160" w:line="259" w:lineRule="auto"/>
        <w:contextualSpacing/>
        <w:jc w:val="both"/>
        <w:rPr>
          <w:rFonts w:ascii="Times New Roman" w:hAnsi="Times New Roman" w:cs="Times New Roman"/>
          <w:noProof/>
          <w:sz w:val="24"/>
          <w:szCs w:val="24"/>
        </w:rPr>
      </w:pPr>
      <w:r>
        <w:rPr>
          <w:rFonts w:ascii="Times New Roman" w:hAnsi="Times New Roman"/>
          <w:noProof/>
          <w:sz w:val="24"/>
          <w:szCs w:val="24"/>
        </w:rPr>
        <w:t>Увеличаване на използването на сезонния договор, което е специален вид безсрочен договор, използван за сезонни дейности.</w:t>
      </w:r>
    </w:p>
    <w:p>
      <w:pPr>
        <w:numPr>
          <w:ilvl w:val="0"/>
          <w:numId w:val="100"/>
        </w:numPr>
        <w:spacing w:before="120" w:after="160" w:line="259" w:lineRule="auto"/>
        <w:contextualSpacing/>
        <w:jc w:val="both"/>
        <w:rPr>
          <w:rFonts w:ascii="Times New Roman" w:hAnsi="Times New Roman" w:cs="Times New Roman"/>
          <w:noProof/>
          <w:sz w:val="24"/>
          <w:szCs w:val="24"/>
        </w:rPr>
      </w:pPr>
      <w:r>
        <w:rPr>
          <w:rFonts w:ascii="Times New Roman" w:hAnsi="Times New Roman"/>
          <w:noProof/>
          <w:sz w:val="24"/>
          <w:szCs w:val="24"/>
        </w:rPr>
        <w:t>Реформата ще засили контрола при използването на договори на непълно работно време, за да се предотврати нередовното работно време.</w:t>
      </w:r>
    </w:p>
    <w:p>
      <w:pPr>
        <w:numPr>
          <w:ilvl w:val="0"/>
          <w:numId w:val="100"/>
        </w:numPr>
        <w:spacing w:before="120" w:after="160" w:line="259" w:lineRule="auto"/>
        <w:contextualSpacing/>
        <w:jc w:val="both"/>
        <w:rPr>
          <w:rFonts w:ascii="Times New Roman" w:hAnsi="Times New Roman" w:cs="Times New Roman"/>
          <w:noProof/>
          <w:sz w:val="24"/>
          <w:szCs w:val="24"/>
        </w:rPr>
      </w:pPr>
      <w:r>
        <w:rPr>
          <w:rFonts w:ascii="Times New Roman" w:hAnsi="Times New Roman"/>
          <w:noProof/>
          <w:sz w:val="24"/>
          <w:szCs w:val="24"/>
        </w:rPr>
        <w:t>Засилване на борбата срещу трудовите измами, включително чрез актуализиране на системата за санкциониране.</w:t>
      </w:r>
    </w:p>
    <w:p>
      <w:pPr>
        <w:spacing w:before="240" w:after="120" w:line="240" w:lineRule="auto"/>
        <w:jc w:val="both"/>
        <w:rPr>
          <w:rFonts w:ascii="Times New Roman" w:hAnsi="Times New Roman" w:cs="Times New Roman"/>
          <w:noProof/>
          <w:sz w:val="24"/>
        </w:rPr>
      </w:pPr>
      <w:r>
        <w:rPr>
          <w:rFonts w:ascii="Times New Roman" w:hAnsi="Times New Roman"/>
          <w:noProof/>
          <w:sz w:val="24"/>
          <w:szCs w:val="24"/>
        </w:rPr>
        <w:t>Тази реформа е тясно свързана с реформа 1 в раздел 11, с която се въвеждат други правни промени в статута на държавните служители, за да се намали използването на временни договори в публичния сектор. То е свързано и с реформа 6 (механизъм за гъвкавост и стабилност) в този компонент.</w:t>
      </w:r>
    </w:p>
    <w:p>
      <w:pPr>
        <w:spacing w:before="240" w:after="120" w:line="240" w:lineRule="auto"/>
        <w:jc w:val="both"/>
        <w:rPr>
          <w:rFonts w:ascii="Times New Roman" w:hAnsi="Times New Roman" w:cs="Times New Roman"/>
          <w:noProof/>
          <w:sz w:val="24"/>
        </w:rPr>
      </w:pPr>
      <w:r>
        <w:rPr>
          <w:rFonts w:ascii="Times New Roman" w:hAnsi="Times New Roman"/>
          <w:noProof/>
          <w:sz w:val="24"/>
          <w:szCs w:val="24"/>
        </w:rPr>
        <w:t>Изпълнението на мярката приключва до 31 декември 2021 г.</w:t>
      </w:r>
    </w:p>
    <w:p>
      <w:pPr>
        <w:spacing w:before="120" w:after="120" w:line="240" w:lineRule="auto"/>
        <w:jc w:val="both"/>
        <w:rPr>
          <w:rFonts w:ascii="Times New Roman" w:hAnsi="Times New Roman" w:cs="Times New Roman"/>
          <w:noProof/>
          <w:sz w:val="24"/>
          <w:u w:val="single"/>
        </w:rPr>
      </w:pPr>
      <w:r>
        <w:rPr>
          <w:rFonts w:ascii="Times New Roman" w:hAnsi="Times New Roman"/>
          <w:noProof/>
          <w:sz w:val="24"/>
          <w:u w:val="single"/>
        </w:rPr>
        <w:t>Реформа 5 (C23.R5) – Модернизиране на активните политики на пазара на труда (АППТ)</w:t>
      </w:r>
    </w:p>
    <w:p>
      <w:pPr>
        <w:spacing w:before="120" w:after="120" w:line="240" w:lineRule="auto"/>
        <w:jc w:val="both"/>
        <w:rPr>
          <w:rFonts w:ascii="Times New Roman" w:hAnsi="Times New Roman" w:cs="Times New Roman"/>
          <w:noProof/>
          <w:sz w:val="24"/>
        </w:rPr>
      </w:pPr>
      <w:r>
        <w:rPr>
          <w:rFonts w:ascii="Times New Roman" w:hAnsi="Times New Roman"/>
          <w:noProof/>
          <w:sz w:val="24"/>
        </w:rPr>
        <w:t>Целта на тази реформа е да се модернизира изпълнението на АППТ в Испания, като се вземат предвид заключенията от прегледите на разходите, направени от независимия фискален орган („AIReF“). Реформата се състои от множество елементи, като например разработване на индивидуални пътища за консултиране, предотвратяване на злоупотреби при обучението в процеса на работа (като стажове и договори за обучение), укрепване на системата за учене за възрастни и признаване на компетентностите, създаване на „обслужване на едно гише“ за младите хора, подобряване на координацията между службите по заетостта и социалните служби и с регионите, както и подобряване на сътрудничеството с частния сектор.</w:t>
      </w:r>
    </w:p>
    <w:p>
      <w:pPr>
        <w:spacing w:before="120" w:after="120" w:line="240" w:lineRule="auto"/>
        <w:jc w:val="both"/>
        <w:rPr>
          <w:rFonts w:ascii="Times New Roman" w:hAnsi="Times New Roman" w:cs="Times New Roman"/>
          <w:noProof/>
          <w:sz w:val="24"/>
        </w:rPr>
      </w:pPr>
      <w:r>
        <w:rPr>
          <w:rFonts w:ascii="Times New Roman" w:hAnsi="Times New Roman"/>
          <w:noProof/>
          <w:sz w:val="24"/>
        </w:rPr>
        <w:t>Тази реформа се допълва от две други реформи в този компонент, а именно реформа 7 (стимули за наемане на работа) и реформа 11 (цифровизация на публичните служби по заетостта). Някои елементи на реформата (като например укрепването на програмата за преквалификация и подпомагане на възрастните работници) представляват полезни взаимодействия с реформа 2 в компонент 30 (привеждане на действителната пенсионна възраст в съответствие със законоустановената пенсионна възраст).</w:t>
      </w:r>
    </w:p>
    <w:p>
      <w:pPr>
        <w:spacing w:before="120" w:after="120" w:line="240" w:lineRule="auto"/>
        <w:jc w:val="both"/>
        <w:rPr>
          <w:rFonts w:ascii="Times New Roman" w:hAnsi="Times New Roman" w:cs="Times New Roman"/>
          <w:noProof/>
          <w:sz w:val="24"/>
        </w:rPr>
      </w:pPr>
      <w:r>
        <w:rPr>
          <w:rFonts w:ascii="Times New Roman" w:hAnsi="Times New Roman"/>
          <w:noProof/>
          <w:sz w:val="24"/>
        </w:rPr>
        <w:t>Реформата включва редица законодателни стъпки през 2021 г. и 2022 г.:</w:t>
      </w:r>
    </w:p>
    <w:p>
      <w:pPr>
        <w:numPr>
          <w:ilvl w:val="0"/>
          <w:numId w:val="101"/>
        </w:numPr>
        <w:spacing w:before="120" w:after="160" w:line="240" w:lineRule="auto"/>
        <w:contextualSpacing/>
        <w:jc w:val="both"/>
        <w:rPr>
          <w:rFonts w:ascii="Times New Roman" w:hAnsi="Times New Roman" w:cs="Times New Roman"/>
          <w:noProof/>
          <w:sz w:val="24"/>
          <w:szCs w:val="24"/>
        </w:rPr>
      </w:pPr>
      <w:r>
        <w:rPr>
          <w:rFonts w:ascii="Times New Roman" w:hAnsi="Times New Roman"/>
          <w:noProof/>
          <w:sz w:val="24"/>
          <w:szCs w:val="24"/>
        </w:rPr>
        <w:t>План за действие за периода 2021—2027 г. за борба с младежката безработица по повод на прилагането на гаранцията на ЕС за младежта плюс. Планът за действие включва преглед на договорите за стаж/стаж и одобряване на устава на стажантите. Тези мерки са съгласувани с образователните политики за справяне с преждевременното напускане на училище (както е посочено в компонент 21). Прилагането на този елемент от мярката приключва до 30 юни 2021 г.</w:t>
      </w:r>
    </w:p>
    <w:p>
      <w:pPr>
        <w:numPr>
          <w:ilvl w:val="0"/>
          <w:numId w:val="101"/>
        </w:numPr>
        <w:spacing w:before="120" w:after="160" w:line="240" w:lineRule="auto"/>
        <w:contextualSpacing/>
        <w:jc w:val="both"/>
        <w:rPr>
          <w:rFonts w:ascii="Times New Roman" w:hAnsi="Times New Roman" w:cs="Times New Roman"/>
          <w:noProof/>
          <w:sz w:val="24"/>
          <w:szCs w:val="24"/>
        </w:rPr>
      </w:pPr>
      <w:r>
        <w:rPr>
          <w:rFonts w:ascii="Times New Roman" w:hAnsi="Times New Roman"/>
          <w:noProof/>
          <w:sz w:val="24"/>
          <w:szCs w:val="24"/>
        </w:rPr>
        <w:t xml:space="preserve">Испанска стратегия за заетост за периода 2021—2024 г., след процес на социален диалог. Основните цели на новата стратегия са: </w:t>
      </w:r>
    </w:p>
    <w:p>
      <w:pPr>
        <w:numPr>
          <w:ilvl w:val="1"/>
          <w:numId w:val="102"/>
        </w:numPr>
        <w:spacing w:before="120" w:after="160" w:line="240" w:lineRule="auto"/>
        <w:contextualSpacing/>
        <w:jc w:val="both"/>
        <w:rPr>
          <w:rFonts w:ascii="Times New Roman" w:hAnsi="Times New Roman" w:cs="Times New Roman"/>
          <w:noProof/>
          <w:sz w:val="24"/>
          <w:szCs w:val="24"/>
        </w:rPr>
      </w:pPr>
      <w:r>
        <w:rPr>
          <w:rFonts w:ascii="Times New Roman" w:hAnsi="Times New Roman"/>
          <w:noProof/>
          <w:sz w:val="24"/>
          <w:szCs w:val="24"/>
        </w:rPr>
        <w:t>Ориентиран към хората и ориентиран към бизнеса подход: очаква се разработването на активни политики на пазара на труда да бъде съсредоточено върху специфичните обстоятелства на всяко лице и предприятие.</w:t>
      </w:r>
    </w:p>
    <w:p>
      <w:pPr>
        <w:numPr>
          <w:ilvl w:val="1"/>
          <w:numId w:val="102"/>
        </w:numPr>
        <w:spacing w:before="120" w:after="160" w:line="240" w:lineRule="auto"/>
        <w:contextualSpacing/>
        <w:jc w:val="both"/>
        <w:rPr>
          <w:rFonts w:ascii="Times New Roman" w:hAnsi="Times New Roman" w:cs="Times New Roman"/>
          <w:noProof/>
          <w:sz w:val="24"/>
          <w:szCs w:val="24"/>
        </w:rPr>
      </w:pPr>
      <w:r>
        <w:rPr>
          <w:rFonts w:ascii="Times New Roman" w:hAnsi="Times New Roman"/>
          <w:noProof/>
          <w:sz w:val="24"/>
          <w:szCs w:val="24"/>
        </w:rPr>
        <w:t>Съгласуваност с производствената трансформация: АППТ следва да даде възможност за професионален преход, придружаващ производствения модел, към екологична и цифрова икономика.</w:t>
      </w:r>
    </w:p>
    <w:p>
      <w:pPr>
        <w:numPr>
          <w:ilvl w:val="1"/>
          <w:numId w:val="102"/>
        </w:numPr>
        <w:spacing w:before="120" w:after="160" w:line="240" w:lineRule="auto"/>
        <w:contextualSpacing/>
        <w:jc w:val="both"/>
        <w:rPr>
          <w:rFonts w:ascii="Times New Roman" w:hAnsi="Times New Roman" w:cs="Times New Roman"/>
          <w:noProof/>
          <w:sz w:val="24"/>
          <w:szCs w:val="24"/>
        </w:rPr>
      </w:pPr>
      <w:r>
        <w:rPr>
          <w:rFonts w:ascii="Times New Roman" w:hAnsi="Times New Roman"/>
          <w:noProof/>
          <w:sz w:val="24"/>
          <w:szCs w:val="24"/>
        </w:rPr>
        <w:t>Насоченост към резултатите Очаква се АППТ да бъде оценявана, наблюдавана и насърчаваща постигането на резултати.</w:t>
      </w:r>
    </w:p>
    <w:p>
      <w:pPr>
        <w:numPr>
          <w:ilvl w:val="1"/>
          <w:numId w:val="102"/>
        </w:numPr>
        <w:spacing w:before="120" w:after="160" w:line="240" w:lineRule="auto"/>
        <w:contextualSpacing/>
        <w:jc w:val="both"/>
        <w:rPr>
          <w:rFonts w:ascii="Times New Roman" w:hAnsi="Times New Roman" w:cs="Times New Roman"/>
          <w:noProof/>
          <w:sz w:val="24"/>
          <w:szCs w:val="24"/>
        </w:rPr>
      </w:pPr>
      <w:r>
        <w:rPr>
          <w:rFonts w:ascii="Times New Roman" w:hAnsi="Times New Roman"/>
          <w:noProof/>
          <w:sz w:val="24"/>
          <w:szCs w:val="24"/>
        </w:rPr>
        <w:t xml:space="preserve">Подобряване на капацитета на публичните служби по заетостта чрез тяхната цифровизация и модернизация. </w:t>
      </w:r>
    </w:p>
    <w:p>
      <w:pPr>
        <w:numPr>
          <w:ilvl w:val="1"/>
          <w:numId w:val="102"/>
        </w:numPr>
        <w:spacing w:before="120" w:after="160" w:line="240" w:lineRule="auto"/>
        <w:contextualSpacing/>
        <w:jc w:val="both"/>
        <w:rPr>
          <w:rFonts w:ascii="Times New Roman" w:hAnsi="Times New Roman" w:cs="Times New Roman"/>
          <w:noProof/>
          <w:sz w:val="24"/>
          <w:szCs w:val="24"/>
        </w:rPr>
      </w:pPr>
      <w:r>
        <w:rPr>
          <w:rFonts w:ascii="Times New Roman" w:hAnsi="Times New Roman"/>
          <w:noProof/>
          <w:sz w:val="24"/>
          <w:szCs w:val="24"/>
        </w:rPr>
        <w:t>Управление и сближаване на националната система за заетост с цел подобряване на координацията на национално и регионално равнище и заинтересованите страни, участващи в АППТ.</w:t>
      </w:r>
    </w:p>
    <w:p>
      <w:pPr>
        <w:spacing w:before="120" w:after="160" w:line="240" w:lineRule="auto"/>
        <w:ind w:left="709"/>
        <w:contextualSpacing/>
        <w:jc w:val="both"/>
        <w:rPr>
          <w:rFonts w:ascii="Times New Roman" w:hAnsi="Times New Roman" w:cs="Times New Roman"/>
          <w:noProof/>
          <w:sz w:val="24"/>
          <w:szCs w:val="24"/>
        </w:rPr>
      </w:pPr>
      <w:r>
        <w:rPr>
          <w:rFonts w:ascii="Times New Roman" w:hAnsi="Times New Roman"/>
          <w:noProof/>
          <w:sz w:val="24"/>
          <w:szCs w:val="24"/>
        </w:rPr>
        <w:t>Прилагането на този елемент от мярката приключва до 31 декември 2021 г.</w:t>
      </w:r>
    </w:p>
    <w:p>
      <w:pPr>
        <w:numPr>
          <w:ilvl w:val="0"/>
          <w:numId w:val="101"/>
        </w:numPr>
        <w:spacing w:before="120" w:after="160" w:line="240" w:lineRule="auto"/>
        <w:contextualSpacing/>
        <w:jc w:val="both"/>
        <w:rPr>
          <w:rFonts w:ascii="Times New Roman" w:hAnsi="Times New Roman" w:cs="Times New Roman"/>
          <w:noProof/>
          <w:sz w:val="24"/>
          <w:szCs w:val="24"/>
        </w:rPr>
      </w:pPr>
      <w:r>
        <w:rPr>
          <w:rFonts w:ascii="Times New Roman" w:hAnsi="Times New Roman"/>
          <w:noProof/>
          <w:sz w:val="24"/>
          <w:szCs w:val="24"/>
        </w:rPr>
        <w:t>Реформа на Закона за заетостта със следните цели: i) укрепване на политиката и инструментите за координация на националната система по заетостта; ii) да реформира активните политики на пазара на труда; iii) да преразгледа управлението на системата; iv) укрепване на местното измерение на политиката по заетостта; и v) да отговори на изискванията за прилагане на различните мерки, предвидени в рамките на Националния план за активни политики по заетостта. В този контекст основните елементи на законодателните промени включват:</w:t>
      </w:r>
    </w:p>
    <w:p>
      <w:pPr>
        <w:numPr>
          <w:ilvl w:val="1"/>
          <w:numId w:val="102"/>
        </w:numPr>
        <w:spacing w:before="120" w:after="160" w:line="240" w:lineRule="auto"/>
        <w:contextualSpacing/>
        <w:jc w:val="both"/>
        <w:rPr>
          <w:rFonts w:ascii="Times New Roman" w:hAnsi="Times New Roman" w:cs="Times New Roman"/>
          <w:noProof/>
          <w:sz w:val="24"/>
          <w:szCs w:val="24"/>
        </w:rPr>
      </w:pPr>
      <w:r>
        <w:rPr>
          <w:rFonts w:ascii="Times New Roman" w:hAnsi="Times New Roman"/>
          <w:noProof/>
          <w:sz w:val="24"/>
          <w:szCs w:val="24"/>
        </w:rPr>
        <w:t>Укрепване на политиките за активна и пасивна заетост, като се отчита разпределението на правомощията между държавата и автономните области.</w:t>
      </w:r>
    </w:p>
    <w:p>
      <w:pPr>
        <w:numPr>
          <w:ilvl w:val="1"/>
          <w:numId w:val="102"/>
        </w:numPr>
        <w:spacing w:before="120" w:after="160" w:line="240" w:lineRule="auto"/>
        <w:contextualSpacing/>
        <w:jc w:val="both"/>
        <w:rPr>
          <w:rFonts w:ascii="Times New Roman" w:hAnsi="Times New Roman" w:cs="Times New Roman"/>
          <w:noProof/>
          <w:sz w:val="24"/>
          <w:szCs w:val="24"/>
        </w:rPr>
      </w:pPr>
      <w:r>
        <w:rPr>
          <w:rFonts w:ascii="Times New Roman" w:hAnsi="Times New Roman"/>
          <w:noProof/>
          <w:sz w:val="24"/>
          <w:szCs w:val="24"/>
        </w:rPr>
        <w:t xml:space="preserve">Укрепване на системата за посредничество и публично-частните партньорства. </w:t>
      </w:r>
    </w:p>
    <w:p>
      <w:pPr>
        <w:numPr>
          <w:ilvl w:val="1"/>
          <w:numId w:val="102"/>
        </w:numPr>
        <w:spacing w:before="120" w:after="160" w:line="240" w:lineRule="auto"/>
        <w:contextualSpacing/>
        <w:jc w:val="both"/>
        <w:rPr>
          <w:rFonts w:ascii="Times New Roman" w:hAnsi="Times New Roman" w:cs="Times New Roman"/>
          <w:noProof/>
          <w:sz w:val="24"/>
          <w:szCs w:val="24"/>
        </w:rPr>
      </w:pPr>
      <w:r>
        <w:rPr>
          <w:rFonts w:ascii="Times New Roman" w:hAnsi="Times New Roman"/>
          <w:noProof/>
          <w:sz w:val="24"/>
          <w:szCs w:val="24"/>
        </w:rPr>
        <w:t>Общ портфейл от услуги на националната система за заетост.</w:t>
      </w:r>
    </w:p>
    <w:p>
      <w:pPr>
        <w:numPr>
          <w:ilvl w:val="1"/>
          <w:numId w:val="102"/>
        </w:numPr>
        <w:spacing w:before="120" w:after="160" w:line="240" w:lineRule="auto"/>
        <w:contextualSpacing/>
        <w:jc w:val="both"/>
        <w:rPr>
          <w:rFonts w:ascii="Times New Roman" w:hAnsi="Times New Roman" w:cs="Times New Roman"/>
          <w:noProof/>
          <w:sz w:val="24"/>
          <w:szCs w:val="24"/>
        </w:rPr>
      </w:pPr>
      <w:r>
        <w:rPr>
          <w:rFonts w:ascii="Times New Roman" w:hAnsi="Times New Roman"/>
          <w:noProof/>
          <w:sz w:val="24"/>
          <w:szCs w:val="24"/>
        </w:rPr>
        <w:t xml:space="preserve">Преглед на модела на финансиране. </w:t>
      </w:r>
    </w:p>
    <w:p>
      <w:pPr>
        <w:numPr>
          <w:ilvl w:val="1"/>
          <w:numId w:val="102"/>
        </w:numPr>
        <w:spacing w:before="120" w:after="160" w:line="240" w:lineRule="auto"/>
        <w:contextualSpacing/>
        <w:jc w:val="both"/>
        <w:rPr>
          <w:rFonts w:ascii="Times New Roman" w:hAnsi="Times New Roman" w:cs="Times New Roman"/>
          <w:noProof/>
          <w:sz w:val="24"/>
          <w:szCs w:val="24"/>
        </w:rPr>
      </w:pPr>
      <w:r>
        <w:rPr>
          <w:rFonts w:ascii="Times New Roman" w:hAnsi="Times New Roman"/>
          <w:noProof/>
          <w:sz w:val="24"/>
          <w:szCs w:val="24"/>
        </w:rPr>
        <w:t>Сътрудничество със социалните служби.</w:t>
      </w:r>
    </w:p>
    <w:p>
      <w:pPr>
        <w:numPr>
          <w:ilvl w:val="1"/>
          <w:numId w:val="102"/>
        </w:numPr>
        <w:spacing w:before="120" w:after="160" w:line="240" w:lineRule="auto"/>
        <w:contextualSpacing/>
        <w:jc w:val="both"/>
        <w:rPr>
          <w:rFonts w:ascii="Times New Roman" w:hAnsi="Times New Roman" w:cs="Times New Roman"/>
          <w:noProof/>
          <w:sz w:val="24"/>
          <w:szCs w:val="24"/>
        </w:rPr>
      </w:pPr>
      <w:r>
        <w:rPr>
          <w:rFonts w:ascii="Times New Roman" w:hAnsi="Times New Roman"/>
          <w:noProof/>
          <w:sz w:val="24"/>
          <w:szCs w:val="24"/>
        </w:rPr>
        <w:t>Местно и европейско измерение.</w:t>
      </w:r>
    </w:p>
    <w:p>
      <w:pPr>
        <w:numPr>
          <w:ilvl w:val="1"/>
          <w:numId w:val="102"/>
        </w:numPr>
        <w:spacing w:before="120" w:after="160" w:line="240" w:lineRule="auto"/>
        <w:contextualSpacing/>
        <w:jc w:val="both"/>
        <w:rPr>
          <w:rFonts w:ascii="Times New Roman" w:hAnsi="Times New Roman" w:cs="Times New Roman"/>
          <w:noProof/>
          <w:sz w:val="24"/>
          <w:szCs w:val="24"/>
        </w:rPr>
      </w:pPr>
      <w:r>
        <w:rPr>
          <w:rFonts w:ascii="Times New Roman" w:hAnsi="Times New Roman"/>
          <w:noProof/>
          <w:sz w:val="24"/>
          <w:szCs w:val="24"/>
        </w:rPr>
        <w:t>Технологично развитие за пригодност за заетост.</w:t>
      </w:r>
    </w:p>
    <w:p>
      <w:pPr>
        <w:numPr>
          <w:ilvl w:val="1"/>
          <w:numId w:val="102"/>
        </w:numPr>
        <w:spacing w:before="120" w:after="160" w:line="240" w:lineRule="auto"/>
        <w:contextualSpacing/>
        <w:jc w:val="both"/>
        <w:rPr>
          <w:rFonts w:ascii="Times New Roman" w:hAnsi="Times New Roman" w:cs="Times New Roman"/>
          <w:noProof/>
          <w:sz w:val="24"/>
          <w:szCs w:val="24"/>
        </w:rPr>
      </w:pPr>
      <w:r>
        <w:rPr>
          <w:rFonts w:ascii="Times New Roman" w:hAnsi="Times New Roman"/>
          <w:noProof/>
          <w:sz w:val="24"/>
          <w:szCs w:val="24"/>
        </w:rPr>
        <w:t>Използване на ИКТ и големи информационни масиви.</w:t>
      </w:r>
    </w:p>
    <w:p>
      <w:pPr>
        <w:numPr>
          <w:ilvl w:val="1"/>
          <w:numId w:val="102"/>
        </w:numPr>
        <w:spacing w:before="120" w:after="160" w:line="240" w:lineRule="auto"/>
        <w:contextualSpacing/>
        <w:jc w:val="both"/>
        <w:rPr>
          <w:rFonts w:ascii="Times New Roman" w:hAnsi="Times New Roman" w:cs="Times New Roman"/>
          <w:noProof/>
          <w:sz w:val="24"/>
          <w:szCs w:val="24"/>
        </w:rPr>
      </w:pPr>
      <w:r>
        <w:rPr>
          <w:rFonts w:ascii="Times New Roman" w:hAnsi="Times New Roman"/>
          <w:noProof/>
          <w:sz w:val="24"/>
          <w:szCs w:val="24"/>
        </w:rPr>
        <w:t>Подобряване на пригодността за заетост.</w:t>
      </w:r>
    </w:p>
    <w:p>
      <w:pPr>
        <w:spacing w:before="120" w:after="160" w:line="240" w:lineRule="auto"/>
        <w:ind w:left="709"/>
        <w:contextualSpacing/>
        <w:jc w:val="both"/>
        <w:rPr>
          <w:rFonts w:ascii="Times New Roman" w:hAnsi="Times New Roman" w:cs="Times New Roman"/>
          <w:noProof/>
          <w:sz w:val="24"/>
          <w:szCs w:val="24"/>
        </w:rPr>
      </w:pPr>
      <w:r>
        <w:rPr>
          <w:rFonts w:ascii="Times New Roman" w:hAnsi="Times New Roman"/>
          <w:noProof/>
          <w:sz w:val="24"/>
          <w:szCs w:val="24"/>
        </w:rPr>
        <w:t>Прилагането на този елемент от мярката приключва до 31 декември 2022 г.</w:t>
      </w:r>
    </w:p>
    <w:p>
      <w:pPr>
        <w:spacing w:before="240" w:after="120" w:line="240" w:lineRule="auto"/>
        <w:jc w:val="both"/>
        <w:rPr>
          <w:rFonts w:ascii="Times New Roman" w:hAnsi="Times New Roman" w:cs="Times New Roman"/>
          <w:noProof/>
          <w:sz w:val="24"/>
          <w:u w:val="single"/>
        </w:rPr>
      </w:pPr>
      <w:r>
        <w:rPr>
          <w:rFonts w:ascii="Times New Roman" w:hAnsi="Times New Roman"/>
          <w:noProof/>
          <w:sz w:val="24"/>
          <w:u w:val="single"/>
        </w:rPr>
        <w:t>Реформа 6 (C23.R6) – Постоянен механизъм за вътрешна гъвкавост, стабилност на работните места и преквалификация на работниците в преход.</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Целта на тази реформа е да се създаде постоянна схема за адаптиране към циклични и структурни сътресения, като се обхване спирането или намаляването на работното време чрез план за регулиране на заетостта, който включва изискването за подобряване или преквалификация на работниците в уменията, за които е установено, че са в търсене. Схемата се основава на опита от схемите за работа с намалено работно време (т.нар. „ERTE“), въведени по време на кризата с COVID-19 с цел запазване на работните места по време на ограничителните мерки и други ограничения на стопанската дейност, причинени от пандемията. </w:t>
      </w:r>
    </w:p>
    <w:p>
      <w:pPr>
        <w:spacing w:before="120" w:after="120" w:line="240" w:lineRule="auto"/>
        <w:jc w:val="both"/>
        <w:rPr>
          <w:rFonts w:ascii="Times New Roman" w:hAnsi="Times New Roman" w:cs="Times New Roman"/>
          <w:noProof/>
          <w:sz w:val="24"/>
        </w:rPr>
      </w:pPr>
      <w:r>
        <w:rPr>
          <w:rFonts w:ascii="Times New Roman" w:hAnsi="Times New Roman"/>
          <w:noProof/>
          <w:sz w:val="24"/>
        </w:rPr>
        <w:t>Реформата се състои от два нови механизма за приспособяване:</w:t>
      </w:r>
    </w:p>
    <w:p>
      <w:pPr>
        <w:numPr>
          <w:ilvl w:val="0"/>
          <w:numId w:val="103"/>
        </w:numPr>
        <w:spacing w:before="120" w:after="160" w:line="240" w:lineRule="auto"/>
        <w:contextualSpacing/>
        <w:jc w:val="both"/>
        <w:rPr>
          <w:rFonts w:ascii="Times New Roman" w:hAnsi="Times New Roman" w:cs="Times New Roman"/>
          <w:noProof/>
          <w:sz w:val="24"/>
          <w:szCs w:val="24"/>
        </w:rPr>
      </w:pPr>
      <w:r>
        <w:rPr>
          <w:rFonts w:ascii="Times New Roman" w:hAnsi="Times New Roman"/>
          <w:noProof/>
          <w:sz w:val="24"/>
          <w:szCs w:val="24"/>
        </w:rPr>
        <w:t>Механизъм за икономическо стабилизиране, който осигурява вътрешна гъвкавост за предприятията и стабилност за работниците в условията на преходни или циклични сътресения, със специален акцент върху обучението на работниците.</w:t>
      </w:r>
    </w:p>
    <w:p>
      <w:pPr>
        <w:numPr>
          <w:ilvl w:val="0"/>
          <w:numId w:val="103"/>
        </w:numPr>
        <w:spacing w:before="120" w:after="160" w:line="240" w:lineRule="auto"/>
        <w:contextualSpacing/>
        <w:jc w:val="both"/>
        <w:rPr>
          <w:rFonts w:ascii="Times New Roman" w:hAnsi="Times New Roman" w:cs="Times New Roman"/>
          <w:noProof/>
          <w:sz w:val="24"/>
          <w:szCs w:val="24"/>
        </w:rPr>
      </w:pPr>
      <w:r>
        <w:rPr>
          <w:rFonts w:ascii="Times New Roman" w:hAnsi="Times New Roman"/>
          <w:noProof/>
          <w:sz w:val="24"/>
          <w:szCs w:val="24"/>
        </w:rPr>
        <w:t>Механизъм, който подкрепя преквалификацията и повишаването на квалификацията на работниците и дружествата в преход, за да им помогне да се справят с технологичните иновации или иновациите в търсенето, и който улеснява доброволната мобилност на работниците в рамките на дружествата и между тях.</w:t>
      </w:r>
    </w:p>
    <w:p>
      <w:pPr>
        <w:spacing w:before="240" w:after="120" w:line="240" w:lineRule="auto"/>
        <w:jc w:val="both"/>
        <w:rPr>
          <w:rFonts w:ascii="Times New Roman" w:hAnsi="Times New Roman" w:cs="Times New Roman"/>
          <w:noProof/>
          <w:sz w:val="24"/>
        </w:rPr>
      </w:pPr>
      <w:r>
        <w:rPr>
          <w:rFonts w:ascii="Times New Roman" w:hAnsi="Times New Roman"/>
          <w:noProof/>
          <w:sz w:val="24"/>
        </w:rPr>
        <w:t xml:space="preserve">Мярката се прилага чрез изменение на Статута на работниците. Той включва създаването на тристранен фонд, който да се финансира чрез социалноосигурителни вноски от работодателите и работниците и да се допълва от държавата. Тя гарантира фискална устойчивост в средносрочен и дългосрочен план, като разглежда различни варианти и сценарии. Конкретното функциониране на този фонд се договаря със социалните партньори. </w:t>
      </w:r>
    </w:p>
    <w:p>
      <w:pPr>
        <w:spacing w:before="240" w:after="120" w:line="240" w:lineRule="auto"/>
        <w:jc w:val="both"/>
        <w:rPr>
          <w:rFonts w:ascii="Times New Roman" w:hAnsi="Times New Roman" w:cs="Times New Roman"/>
          <w:noProof/>
          <w:sz w:val="24"/>
        </w:rPr>
      </w:pPr>
      <w:r>
        <w:rPr>
          <w:rFonts w:ascii="Times New Roman" w:hAnsi="Times New Roman"/>
          <w:noProof/>
          <w:sz w:val="24"/>
        </w:rPr>
        <w:t>Изпълнението на мярката приключва до 31 декември 2021 г.</w:t>
      </w:r>
    </w:p>
    <w:p>
      <w:pPr>
        <w:spacing w:before="120" w:after="120" w:line="240" w:lineRule="auto"/>
        <w:jc w:val="both"/>
        <w:rPr>
          <w:rFonts w:ascii="Times New Roman" w:hAnsi="Times New Roman" w:cs="Times New Roman"/>
          <w:noProof/>
          <w:sz w:val="24"/>
          <w:u w:val="single"/>
        </w:rPr>
      </w:pPr>
      <w:r>
        <w:rPr>
          <w:rFonts w:ascii="Times New Roman" w:hAnsi="Times New Roman"/>
          <w:noProof/>
          <w:sz w:val="24"/>
          <w:u w:val="single"/>
        </w:rPr>
        <w:t>Реформа 7 (C23.R7) – Преглед на стимулите за наемане на работа</w:t>
      </w:r>
    </w:p>
    <w:p>
      <w:pPr>
        <w:spacing w:before="120" w:after="120" w:line="240" w:lineRule="auto"/>
        <w:jc w:val="both"/>
        <w:rPr>
          <w:rFonts w:ascii="Times New Roman" w:hAnsi="Times New Roman" w:cs="Times New Roman"/>
          <w:noProof/>
          <w:sz w:val="24"/>
        </w:rPr>
      </w:pPr>
      <w:r>
        <w:rPr>
          <w:rFonts w:ascii="Times New Roman" w:hAnsi="Times New Roman"/>
          <w:noProof/>
          <w:sz w:val="24"/>
        </w:rPr>
        <w:t>Целта на реформата е да се опрости системата на стимули за наемане на работа и да се повиши нейната ефективност чрез по-добро насочване, като се вземе предвид прегледът на разходите, извършен от независимия фискален орган („AIReF“). По-специално, тя има за цел да подобри пригодността за заетост на много специфични групи със слабо участие на пазара на труда чрез насърчаване на качествени работни места и постоянни договори. Намалява се броят на стимулите и изискванията за дружествата бенефициери се стандартизират. Предвижда се постоянно наблюдение и оценка на системата от стимули за наемане на работа.</w:t>
      </w:r>
    </w:p>
    <w:p>
      <w:pPr>
        <w:spacing w:before="120" w:after="120" w:line="240" w:lineRule="auto"/>
        <w:jc w:val="both"/>
        <w:rPr>
          <w:rFonts w:ascii="Times New Roman" w:hAnsi="Times New Roman" w:cs="Times New Roman"/>
          <w:noProof/>
          <w:sz w:val="24"/>
        </w:rPr>
      </w:pPr>
      <w:r>
        <w:rPr>
          <w:rFonts w:ascii="Times New Roman" w:hAnsi="Times New Roman"/>
          <w:noProof/>
          <w:sz w:val="24"/>
        </w:rPr>
        <w:t>Реформата се осъществява чрез изменение на Закон 43/2006. Тя е тясно свързана с други мерки в този компонент, като например реформа 5 (цялостна реформа на активните политики на пазара на труда) и инвестиция 7 (възможности за активиране за бенефициерите на схемата за минимален доход).</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Изпълнението на </w:t>
      </w:r>
      <w:r>
        <w:rPr>
          <w:rFonts w:ascii="Times New Roman" w:hAnsi="Times New Roman"/>
          <w:noProof/>
          <w:sz w:val="24"/>
          <w:szCs w:val="24"/>
        </w:rPr>
        <w:t>мярката</w:t>
      </w:r>
      <w:r>
        <w:rPr>
          <w:rFonts w:ascii="Times New Roman" w:hAnsi="Times New Roman"/>
          <w:noProof/>
          <w:sz w:val="24"/>
        </w:rPr>
        <w:t xml:space="preserve"> приключва до 31 декември 2022 г.</w:t>
      </w:r>
    </w:p>
    <w:p>
      <w:pPr>
        <w:keepNext/>
        <w:spacing w:before="120" w:after="120" w:line="240" w:lineRule="auto"/>
        <w:jc w:val="both"/>
        <w:rPr>
          <w:rFonts w:ascii="Times New Roman" w:hAnsi="Times New Roman" w:cs="Times New Roman"/>
          <w:noProof/>
          <w:sz w:val="24"/>
          <w:u w:val="single"/>
        </w:rPr>
      </w:pPr>
      <w:r>
        <w:rPr>
          <w:rFonts w:ascii="Times New Roman" w:hAnsi="Times New Roman"/>
          <w:noProof/>
          <w:sz w:val="24"/>
          <w:u w:val="single"/>
        </w:rPr>
        <w:t>Реформа 8 (C23.R8) – Модернизиране на колективното договаряне</w:t>
      </w:r>
    </w:p>
    <w:p>
      <w:pPr>
        <w:keepNext/>
        <w:spacing w:before="120" w:after="120" w:line="240" w:lineRule="auto"/>
        <w:jc w:val="both"/>
        <w:rPr>
          <w:rFonts w:ascii="Times New Roman" w:hAnsi="Times New Roman" w:cs="Times New Roman"/>
          <w:noProof/>
          <w:sz w:val="24"/>
        </w:rPr>
      </w:pPr>
      <w:r>
        <w:rPr>
          <w:rFonts w:ascii="Times New Roman" w:hAnsi="Times New Roman"/>
          <w:noProof/>
          <w:sz w:val="24"/>
        </w:rPr>
        <w:t>Целта на тази реформа е да се подобри функционирането на колективното договаряне чрез изменение на съответните правни норми в Статута на работниците (дял III от Законодателен декрет 2/2015) след процес на социален диалог. Поради това предвидените регулаторни промени не са подробно описани в плана. Промените подобряват правните норми, уреждащи колективното договаряне.</w:t>
      </w:r>
    </w:p>
    <w:p>
      <w:pPr>
        <w:spacing w:before="120" w:after="120" w:line="240" w:lineRule="auto"/>
        <w:jc w:val="both"/>
        <w:rPr>
          <w:rFonts w:ascii="Times New Roman" w:hAnsi="Times New Roman" w:cs="Times New Roman"/>
          <w:noProof/>
          <w:sz w:val="24"/>
        </w:rPr>
      </w:pPr>
      <w:r>
        <w:rPr>
          <w:rFonts w:ascii="Times New Roman" w:hAnsi="Times New Roman"/>
          <w:noProof/>
          <w:sz w:val="24"/>
        </w:rPr>
        <w:t>Модернизирането на колективното договаряне включва промени в самата структура за преговори с цел засилване на представителността на преговарящите страни, обогатяване на съдържанието на диалога и повишаване на правната сигурност при неговото прилагане и въздействие. Промените не трябва да водят до непропорционални пречки за предприятията да се приспособят към цикъла и да реагират на промените в производителността.</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Изпълнението на реформата приключва до 31 декември 2021 г. </w:t>
      </w:r>
    </w:p>
    <w:p>
      <w:pPr>
        <w:spacing w:before="120" w:after="120" w:line="240" w:lineRule="auto"/>
        <w:jc w:val="both"/>
        <w:rPr>
          <w:rFonts w:ascii="Times New Roman" w:hAnsi="Times New Roman" w:cs="Times New Roman"/>
          <w:noProof/>
          <w:sz w:val="24"/>
          <w:u w:val="single"/>
        </w:rPr>
      </w:pPr>
      <w:r>
        <w:rPr>
          <w:rFonts w:ascii="Times New Roman" w:hAnsi="Times New Roman"/>
          <w:noProof/>
          <w:sz w:val="24"/>
          <w:u w:val="single"/>
        </w:rPr>
        <w:t>Реформа 9 (C23.R9) – Модернизиране на подизпълнителските дейности</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Тази реформа има за цел да подобри условията на труд и правата на лицата, работещи в дружества подизпълнители, чрез изменение на член 42 от Статута на работниците (Законодателен декрет 2/2015), за да се гарантира правилното му използване в случаите, когато тя подобрява производствената дейност и я възпира от онези, в които тя е просто средство за намаляване на разходите. </w:t>
      </w:r>
    </w:p>
    <w:p>
      <w:pPr>
        <w:spacing w:before="120" w:after="120" w:line="240" w:lineRule="auto"/>
        <w:jc w:val="both"/>
        <w:rPr>
          <w:rFonts w:ascii="Times New Roman" w:hAnsi="Times New Roman" w:cs="Times New Roman"/>
          <w:noProof/>
          <w:sz w:val="24"/>
        </w:rPr>
      </w:pPr>
      <w:r>
        <w:rPr>
          <w:rFonts w:ascii="Times New Roman" w:hAnsi="Times New Roman"/>
          <w:noProof/>
          <w:sz w:val="24"/>
        </w:rPr>
        <w:t>Тази реформа ще осигури адекватно равнище на защита на работниците при възлагането на подизпълнители и ще премине към равнопоставеност между работниците, наети от подизпълнители, и работниците от предприятието. Тя също така засилва отговорността на изпълнителите или подизпълнителите и предотвратява възлагането на услуги на външни изпълнители чрез възлагане на подизпълнители в случаите, когато това е извършено с цел понижаване на трудовите стандарти за лицата, работещи за подизпълнители.</w:t>
      </w:r>
    </w:p>
    <w:p>
      <w:pPr>
        <w:spacing w:before="120" w:after="120" w:line="240" w:lineRule="auto"/>
        <w:jc w:val="both"/>
        <w:rPr>
          <w:rFonts w:ascii="Times New Roman" w:hAnsi="Times New Roman" w:cs="Times New Roman"/>
          <w:noProof/>
          <w:sz w:val="24"/>
        </w:rPr>
      </w:pPr>
      <w:r>
        <w:rPr>
          <w:rFonts w:ascii="Times New Roman" w:hAnsi="Times New Roman"/>
          <w:noProof/>
          <w:sz w:val="24"/>
        </w:rPr>
        <w:t>Изпълнението на реформата приключва до 31 декември 2021 г.</w:t>
      </w:r>
    </w:p>
    <w:p>
      <w:pPr>
        <w:spacing w:before="120" w:after="120" w:line="240" w:lineRule="auto"/>
        <w:jc w:val="both"/>
        <w:rPr>
          <w:rFonts w:ascii="Times New Roman" w:hAnsi="Times New Roman" w:cs="Times New Roman"/>
          <w:noProof/>
          <w:sz w:val="24"/>
          <w:u w:val="single"/>
        </w:rPr>
      </w:pPr>
      <w:r>
        <w:rPr>
          <w:rFonts w:ascii="Times New Roman" w:hAnsi="Times New Roman"/>
          <w:noProof/>
          <w:sz w:val="24"/>
          <w:u w:val="single"/>
        </w:rPr>
        <w:t>Реформа 10 (C23.R10) – Опростяване и подобряване на помощта за безработица</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Тази законодателна реформа се отнася до помощите за безработица, независещи от вноски, и се извършва чрез изменение на Кралския указ-закон 8/2015. Тя е тясно свързана с реформа 5 от компонент 22, в която се очертава по-обща реформа на социалните обезщетения, независещи от вноски. </w:t>
      </w:r>
    </w:p>
    <w:p>
      <w:pPr>
        <w:spacing w:before="120" w:after="120" w:line="240" w:lineRule="auto"/>
        <w:jc w:val="both"/>
        <w:rPr>
          <w:rFonts w:ascii="Times New Roman" w:hAnsi="Times New Roman" w:cs="Times New Roman"/>
          <w:noProof/>
          <w:sz w:val="24"/>
        </w:rPr>
      </w:pPr>
      <w:r>
        <w:rPr>
          <w:rFonts w:ascii="Times New Roman" w:hAnsi="Times New Roman"/>
          <w:noProof/>
          <w:sz w:val="24"/>
        </w:rPr>
        <w:t>Реформата включва следните цели:</w:t>
      </w:r>
    </w:p>
    <w:p>
      <w:pPr>
        <w:numPr>
          <w:ilvl w:val="2"/>
          <w:numId w:val="104"/>
        </w:numPr>
        <w:spacing w:before="120" w:after="160" w:line="240" w:lineRule="auto"/>
        <w:ind w:left="709"/>
        <w:contextualSpacing/>
        <w:jc w:val="both"/>
        <w:rPr>
          <w:rFonts w:ascii="Times New Roman" w:hAnsi="Times New Roman" w:cs="Times New Roman"/>
          <w:noProof/>
          <w:sz w:val="24"/>
          <w:szCs w:val="24"/>
        </w:rPr>
      </w:pPr>
      <w:r>
        <w:rPr>
          <w:rFonts w:ascii="Times New Roman" w:hAnsi="Times New Roman"/>
          <w:noProof/>
          <w:sz w:val="24"/>
          <w:szCs w:val="24"/>
        </w:rPr>
        <w:t xml:space="preserve">да се разшири защитата при безработица, като се запълнят някои от пропуските в обхвата на настоящата система и се удължи максималната продължителност; </w:t>
      </w:r>
    </w:p>
    <w:p>
      <w:pPr>
        <w:numPr>
          <w:ilvl w:val="2"/>
          <w:numId w:val="104"/>
        </w:numPr>
        <w:spacing w:before="120" w:after="160" w:line="240" w:lineRule="auto"/>
        <w:ind w:left="709"/>
        <w:contextualSpacing/>
        <w:jc w:val="both"/>
        <w:rPr>
          <w:rFonts w:ascii="Times New Roman" w:hAnsi="Times New Roman" w:cs="Times New Roman"/>
          <w:noProof/>
          <w:sz w:val="24"/>
          <w:szCs w:val="24"/>
        </w:rPr>
      </w:pPr>
      <w:r>
        <w:rPr>
          <w:rFonts w:ascii="Times New Roman" w:hAnsi="Times New Roman"/>
          <w:noProof/>
          <w:sz w:val="24"/>
          <w:szCs w:val="24"/>
        </w:rPr>
        <w:t xml:space="preserve">опростяване на системата, понастоящем фрагментирана в няколко схеми; </w:t>
      </w:r>
    </w:p>
    <w:p>
      <w:pPr>
        <w:numPr>
          <w:ilvl w:val="2"/>
          <w:numId w:val="104"/>
        </w:numPr>
        <w:spacing w:before="120" w:after="160" w:line="240" w:lineRule="auto"/>
        <w:ind w:left="709"/>
        <w:contextualSpacing/>
        <w:jc w:val="both"/>
        <w:rPr>
          <w:rFonts w:ascii="Times New Roman" w:hAnsi="Times New Roman" w:cs="Times New Roman"/>
          <w:noProof/>
          <w:sz w:val="24"/>
          <w:szCs w:val="24"/>
        </w:rPr>
      </w:pPr>
      <w:r>
        <w:rPr>
          <w:rFonts w:ascii="Times New Roman" w:hAnsi="Times New Roman"/>
          <w:noProof/>
          <w:sz w:val="24"/>
          <w:szCs w:val="24"/>
        </w:rPr>
        <w:t xml:space="preserve">да обвържат обезщетението с персонализиран маршрут на активиране; </w:t>
      </w:r>
    </w:p>
    <w:p>
      <w:pPr>
        <w:numPr>
          <w:ilvl w:val="2"/>
          <w:numId w:val="104"/>
        </w:numPr>
        <w:spacing w:before="120" w:after="160" w:line="240" w:lineRule="auto"/>
        <w:ind w:left="709"/>
        <w:contextualSpacing/>
        <w:jc w:val="both"/>
        <w:rPr>
          <w:rFonts w:ascii="Times New Roman" w:hAnsi="Times New Roman" w:cs="Times New Roman"/>
          <w:noProof/>
          <w:sz w:val="24"/>
          <w:szCs w:val="24"/>
        </w:rPr>
      </w:pPr>
      <w:r>
        <w:rPr>
          <w:rFonts w:ascii="Times New Roman" w:hAnsi="Times New Roman"/>
          <w:noProof/>
          <w:sz w:val="24"/>
          <w:szCs w:val="24"/>
        </w:rPr>
        <w:t>да се улесни преходът към социална закрила, когато бенефициерът не се върне на работа и е в уязвимо положение.</w:t>
      </w:r>
    </w:p>
    <w:p>
      <w:pPr>
        <w:spacing w:before="240" w:after="120" w:line="240" w:lineRule="auto"/>
        <w:jc w:val="both"/>
        <w:rPr>
          <w:rFonts w:ascii="Times New Roman" w:hAnsi="Times New Roman" w:cs="Times New Roman"/>
          <w:noProof/>
          <w:sz w:val="24"/>
        </w:rPr>
      </w:pPr>
      <w:r>
        <w:rPr>
          <w:rFonts w:ascii="Times New Roman" w:hAnsi="Times New Roman"/>
          <w:noProof/>
          <w:sz w:val="24"/>
        </w:rPr>
        <w:t>Като общо правило целевата група на новата схема е същата като в настоящата система, т.е. безработни работници, които нямат право на обезщетения за безработица, зависещи от вноски, защото са били безработни твърде дълго и са изчерпали правата си, или защото тяхната история на осигуряване е твърде кратка (по-малко от 12 месеца, но повече от шест). Месечният размер на обезщетението остава 80 % от „IPREM“ (показател за публичния доход с множество ефекти).</w:t>
      </w:r>
    </w:p>
    <w:p>
      <w:pPr>
        <w:spacing w:before="120" w:after="120" w:line="240" w:lineRule="auto"/>
        <w:jc w:val="both"/>
        <w:rPr>
          <w:rFonts w:ascii="Times New Roman" w:hAnsi="Times New Roman" w:cs="Times New Roman"/>
          <w:noProof/>
          <w:sz w:val="24"/>
        </w:rPr>
      </w:pPr>
      <w:r>
        <w:rPr>
          <w:rFonts w:ascii="Times New Roman" w:hAnsi="Times New Roman"/>
          <w:noProof/>
          <w:sz w:val="24"/>
        </w:rPr>
        <w:t>Изпълнението на мярката приключва до 31 декември 2022 г.</w:t>
      </w:r>
    </w:p>
    <w:p>
      <w:pPr>
        <w:keepNext/>
        <w:spacing w:before="120" w:after="120" w:line="240" w:lineRule="auto"/>
        <w:jc w:val="both"/>
        <w:rPr>
          <w:rFonts w:ascii="Times New Roman" w:hAnsi="Times New Roman" w:cs="Times New Roman"/>
          <w:noProof/>
          <w:sz w:val="24"/>
        </w:rPr>
      </w:pPr>
      <w:r>
        <w:rPr>
          <w:rFonts w:ascii="Times New Roman" w:hAnsi="Times New Roman"/>
          <w:noProof/>
          <w:sz w:val="24"/>
          <w:u w:val="single"/>
        </w:rPr>
        <w:t xml:space="preserve">Реформа 11 (C23.R11) – Цифровизация на публичните служби по заетостта (ПСЗ) с оглед на тяхната модернизация и ефективност. </w:t>
      </w:r>
    </w:p>
    <w:p>
      <w:pPr>
        <w:keepNext/>
        <w:spacing w:before="120" w:after="120" w:line="240" w:lineRule="auto"/>
        <w:jc w:val="both"/>
        <w:rPr>
          <w:rFonts w:ascii="Times New Roman" w:hAnsi="Times New Roman" w:cs="Times New Roman"/>
          <w:noProof/>
          <w:sz w:val="24"/>
        </w:rPr>
      </w:pPr>
      <w:r>
        <w:rPr>
          <w:rFonts w:ascii="Times New Roman" w:hAnsi="Times New Roman"/>
          <w:noProof/>
          <w:sz w:val="24"/>
        </w:rPr>
        <w:t>Целта на тази реформа е да се преобразува предоставянето на публични служби по заетостта и да се подобри тяхната ефективност за гражданите и предприятията. Реформата се състои от следните елементи:</w:t>
      </w:r>
    </w:p>
    <w:p>
      <w:pPr>
        <w:numPr>
          <w:ilvl w:val="0"/>
          <w:numId w:val="105"/>
        </w:numPr>
        <w:spacing w:before="120" w:after="160" w:line="240" w:lineRule="auto"/>
        <w:contextualSpacing/>
        <w:jc w:val="both"/>
        <w:rPr>
          <w:rFonts w:ascii="Times New Roman" w:hAnsi="Times New Roman" w:cs="Times New Roman"/>
          <w:noProof/>
          <w:sz w:val="24"/>
          <w:szCs w:val="24"/>
        </w:rPr>
      </w:pPr>
      <w:r>
        <w:rPr>
          <w:rFonts w:ascii="Times New Roman" w:hAnsi="Times New Roman"/>
          <w:noProof/>
          <w:sz w:val="24"/>
          <w:szCs w:val="24"/>
        </w:rPr>
        <w:t>Подобряване на вътрешното управление: модернизиране на информационните системи в подкрепа на системата за обезщетения при безработица, както и на тези, които подкрепят активните политики на пазара на труда.</w:t>
      </w:r>
    </w:p>
    <w:p>
      <w:pPr>
        <w:numPr>
          <w:ilvl w:val="0"/>
          <w:numId w:val="105"/>
        </w:numPr>
        <w:spacing w:before="120" w:after="160" w:line="240" w:lineRule="auto"/>
        <w:contextualSpacing/>
        <w:jc w:val="both"/>
        <w:rPr>
          <w:rFonts w:ascii="Times New Roman" w:hAnsi="Times New Roman" w:cs="Times New Roman"/>
          <w:noProof/>
          <w:sz w:val="24"/>
          <w:szCs w:val="24"/>
        </w:rPr>
      </w:pPr>
      <w:r>
        <w:rPr>
          <w:rFonts w:ascii="Times New Roman" w:hAnsi="Times New Roman"/>
          <w:noProof/>
          <w:sz w:val="24"/>
          <w:szCs w:val="24"/>
        </w:rPr>
        <w:t>Цифровизация на всички обществени услуги за гражданите и предприятията и подобряване на обслужването на клиентите, включително предлагане на нови услуги (мобилно приложение и подобрена система за предварително назначаване и онлайн услуги).</w:t>
      </w:r>
    </w:p>
    <w:p>
      <w:pPr>
        <w:numPr>
          <w:ilvl w:val="0"/>
          <w:numId w:val="105"/>
        </w:numPr>
        <w:spacing w:before="120" w:after="160" w:line="240" w:lineRule="auto"/>
        <w:contextualSpacing/>
        <w:jc w:val="both"/>
        <w:rPr>
          <w:rFonts w:ascii="Times New Roman" w:hAnsi="Times New Roman" w:cs="Times New Roman"/>
          <w:noProof/>
          <w:sz w:val="24"/>
          <w:szCs w:val="24"/>
        </w:rPr>
      </w:pPr>
      <w:r>
        <w:rPr>
          <w:rFonts w:ascii="Times New Roman" w:hAnsi="Times New Roman"/>
          <w:noProof/>
          <w:sz w:val="24"/>
          <w:szCs w:val="24"/>
        </w:rPr>
        <w:t>Статистика и управление на данните: Включване на подходящо управление на данните, което насърчава вземането на решения, както и публикуването на информация с висока стойност за обществото.</w:t>
      </w:r>
    </w:p>
    <w:p>
      <w:pPr>
        <w:numPr>
          <w:ilvl w:val="0"/>
          <w:numId w:val="105"/>
        </w:numPr>
        <w:spacing w:before="120" w:after="160" w:line="240" w:lineRule="auto"/>
        <w:contextualSpacing/>
        <w:jc w:val="both"/>
        <w:rPr>
          <w:rFonts w:ascii="Times New Roman" w:hAnsi="Times New Roman" w:cs="Times New Roman"/>
          <w:noProof/>
          <w:sz w:val="24"/>
          <w:szCs w:val="24"/>
        </w:rPr>
      </w:pPr>
      <w:r>
        <w:rPr>
          <w:rFonts w:ascii="Times New Roman" w:hAnsi="Times New Roman"/>
          <w:noProof/>
          <w:sz w:val="24"/>
          <w:szCs w:val="24"/>
        </w:rPr>
        <w:t>Подобряване на системите за борба с измамите чрез системи за изкуствен интелект и големи информационни масиви.</w:t>
      </w:r>
    </w:p>
    <w:p>
      <w:pPr>
        <w:numPr>
          <w:ilvl w:val="0"/>
          <w:numId w:val="105"/>
        </w:numPr>
        <w:spacing w:before="120" w:after="160" w:line="240" w:lineRule="auto"/>
        <w:contextualSpacing/>
        <w:jc w:val="both"/>
        <w:rPr>
          <w:rFonts w:ascii="Times New Roman" w:hAnsi="Times New Roman" w:cs="Times New Roman"/>
          <w:noProof/>
          <w:sz w:val="24"/>
          <w:szCs w:val="24"/>
        </w:rPr>
      </w:pPr>
      <w:r>
        <w:rPr>
          <w:rFonts w:ascii="Times New Roman" w:hAnsi="Times New Roman"/>
          <w:noProof/>
          <w:sz w:val="24"/>
          <w:szCs w:val="24"/>
        </w:rPr>
        <w:t>Модернизиране на работните места и инфраструктурата с цел улесняване на работата от разстояние за персонала на ПСЗ.</w:t>
      </w:r>
    </w:p>
    <w:p>
      <w:pPr>
        <w:spacing w:before="240" w:after="120" w:line="240" w:lineRule="auto"/>
        <w:jc w:val="both"/>
        <w:rPr>
          <w:rFonts w:ascii="Times New Roman" w:hAnsi="Times New Roman" w:cs="Times New Roman"/>
          <w:noProof/>
          <w:sz w:val="24"/>
        </w:rPr>
      </w:pPr>
      <w:r>
        <w:rPr>
          <w:rFonts w:ascii="Times New Roman" w:hAnsi="Times New Roman"/>
          <w:noProof/>
          <w:sz w:val="24"/>
        </w:rPr>
        <w:t xml:space="preserve">Реформата на ПСЗ е включена в по-общи усилия за модернизиране и цифровизиране на публичните администрации (компонент 11 от ПП). Реформата на ПСЗ се финансира чрез договаряне и изпълнение на инвестиция 2 по компонент 11. </w:t>
      </w:r>
    </w:p>
    <w:p>
      <w:pPr>
        <w:spacing w:before="120" w:after="120" w:line="240" w:lineRule="auto"/>
        <w:jc w:val="both"/>
        <w:rPr>
          <w:rFonts w:ascii="Times New Roman" w:hAnsi="Times New Roman" w:cs="Times New Roman"/>
          <w:noProof/>
          <w:sz w:val="24"/>
        </w:rPr>
      </w:pPr>
      <w:r>
        <w:rPr>
          <w:rFonts w:ascii="Times New Roman" w:hAnsi="Times New Roman"/>
          <w:noProof/>
          <w:sz w:val="24"/>
        </w:rPr>
        <w:t>Изпълнението на реформата приключва до 31 декември 2023 г.</w:t>
      </w:r>
    </w:p>
    <w:p>
      <w:pPr>
        <w:spacing w:before="120" w:after="120" w:line="240" w:lineRule="auto"/>
        <w:jc w:val="both"/>
        <w:rPr>
          <w:rFonts w:ascii="Times New Roman" w:hAnsi="Times New Roman" w:cs="Times New Roman"/>
          <w:noProof/>
          <w:sz w:val="24"/>
          <w:u w:val="single"/>
        </w:rPr>
      </w:pPr>
      <w:r>
        <w:rPr>
          <w:rFonts w:ascii="Times New Roman" w:hAnsi="Times New Roman"/>
          <w:noProof/>
          <w:sz w:val="24"/>
          <w:u w:val="single"/>
        </w:rPr>
        <w:t>Инвестиция 1 (C23.I1) – Младежка заетост</w:t>
      </w:r>
    </w:p>
    <w:p>
      <w:pPr>
        <w:spacing w:before="120" w:after="120" w:line="240" w:lineRule="auto"/>
        <w:jc w:val="both"/>
        <w:rPr>
          <w:rFonts w:ascii="Times New Roman" w:hAnsi="Times New Roman" w:cs="Times New Roman"/>
          <w:noProof/>
          <w:sz w:val="24"/>
        </w:rPr>
      </w:pPr>
      <w:r>
        <w:rPr>
          <w:rFonts w:ascii="Times New Roman" w:hAnsi="Times New Roman"/>
          <w:noProof/>
          <w:sz w:val="24"/>
        </w:rPr>
        <w:t>Тази инвестиция обхваща набор от програми за активизиране и обучение на млади хора, търсещи работа (16—29 години), с цел подпомагане на тяхната интеграция на пазара на труда. Той се състои от следните членове:</w:t>
      </w:r>
    </w:p>
    <w:p>
      <w:pPr>
        <w:numPr>
          <w:ilvl w:val="0"/>
          <w:numId w:val="106"/>
        </w:numPr>
        <w:spacing w:before="120" w:after="160" w:line="240" w:lineRule="auto"/>
        <w:contextualSpacing/>
        <w:jc w:val="both"/>
        <w:rPr>
          <w:rFonts w:ascii="Times New Roman" w:hAnsi="Times New Roman" w:cs="Times New Roman"/>
          <w:noProof/>
          <w:sz w:val="24"/>
          <w:szCs w:val="24"/>
        </w:rPr>
      </w:pPr>
      <w:r>
        <w:rPr>
          <w:rFonts w:ascii="Times New Roman" w:hAnsi="Times New Roman"/>
          <w:noProof/>
          <w:sz w:val="24"/>
          <w:szCs w:val="24"/>
        </w:rPr>
        <w:t xml:space="preserve">Програма „Тандем“. Тя предоставя обучение в процеса на работа на младите хора на възраст между 16 и 29 години в рамките на публични училищни семинари, с акцент върху уменията, необходими за двойния преход, социалните грижи и териториалното сближаване. Публичните органи от централната администрация, която отговаря за изпълнението, получават безвъзмездните средства. </w:t>
      </w:r>
    </w:p>
    <w:p>
      <w:pPr>
        <w:numPr>
          <w:ilvl w:val="0"/>
          <w:numId w:val="106"/>
        </w:numPr>
        <w:spacing w:before="120" w:after="160" w:line="240" w:lineRule="auto"/>
        <w:contextualSpacing/>
        <w:jc w:val="both"/>
        <w:rPr>
          <w:rFonts w:ascii="Times New Roman" w:hAnsi="Times New Roman" w:cs="Times New Roman"/>
          <w:noProof/>
          <w:sz w:val="24"/>
          <w:szCs w:val="24"/>
        </w:rPr>
      </w:pPr>
      <w:r>
        <w:rPr>
          <w:rFonts w:ascii="Times New Roman" w:hAnsi="Times New Roman"/>
          <w:noProof/>
          <w:sz w:val="24"/>
          <w:szCs w:val="24"/>
        </w:rPr>
        <w:t xml:space="preserve">Програма „Първи професионален опит“ в публичните администрации. Тя предлага първоначален професионален опит в публичния сектор (както на централната, така и на териториалната администрация) на безработните млади хора, завършили формалното си образование. Те придобиват „меки“ умения, като работят на работни места, свързани с двойния преход, социалните грижи и териториалното сближаване. Безвъзмездните средства се отпускат на публични органи от централните и териториалните администрации, които отговарят за изпълнението. </w:t>
      </w:r>
    </w:p>
    <w:p>
      <w:pPr>
        <w:numPr>
          <w:ilvl w:val="0"/>
          <w:numId w:val="106"/>
        </w:numPr>
        <w:spacing w:before="120" w:after="160" w:line="240" w:lineRule="auto"/>
        <w:contextualSpacing/>
        <w:jc w:val="both"/>
        <w:rPr>
          <w:rFonts w:ascii="Times New Roman" w:hAnsi="Times New Roman" w:cs="Times New Roman"/>
          <w:noProof/>
          <w:sz w:val="24"/>
          <w:szCs w:val="24"/>
        </w:rPr>
      </w:pPr>
      <w:r>
        <w:rPr>
          <w:rFonts w:ascii="Times New Roman" w:hAnsi="Times New Roman"/>
          <w:noProof/>
          <w:sz w:val="24"/>
          <w:szCs w:val="24"/>
        </w:rPr>
        <w:t xml:space="preserve">Програма </w:t>
      </w:r>
      <w:r>
        <w:rPr>
          <w:rFonts w:ascii="Times New Roman" w:hAnsi="Times New Roman"/>
          <w:i/>
          <w:noProof/>
          <w:sz w:val="24"/>
          <w:szCs w:val="24"/>
        </w:rPr>
        <w:t>"Investigo"</w:t>
      </w:r>
      <w:r>
        <w:rPr>
          <w:rFonts w:ascii="Times New Roman" w:hAnsi="Times New Roman"/>
          <w:noProof/>
          <w:sz w:val="24"/>
          <w:szCs w:val="24"/>
        </w:rPr>
        <w:t xml:space="preserve">. Тя покрива набирането на млади изследователи от публични научноизследователски организации, публични университети, технологични центрове и други публични и частни субекти с научноизследователски проект. </w:t>
      </w:r>
    </w:p>
    <w:p>
      <w:pPr>
        <w:spacing w:before="240" w:after="120" w:line="240" w:lineRule="auto"/>
        <w:jc w:val="both"/>
        <w:rPr>
          <w:rFonts w:ascii="Times New Roman" w:hAnsi="Times New Roman" w:cs="Times New Roman"/>
          <w:noProof/>
          <w:sz w:val="24"/>
          <w:u w:val="single"/>
        </w:rPr>
      </w:pPr>
      <w:r>
        <w:rPr>
          <w:rFonts w:ascii="Times New Roman" w:hAnsi="Times New Roman"/>
          <w:noProof/>
          <w:sz w:val="24"/>
        </w:rPr>
        <w:t>Изпълнението на инвестицията приключва до 31 декември 2025 г.</w:t>
      </w:r>
    </w:p>
    <w:p>
      <w:pPr>
        <w:spacing w:before="120" w:after="120" w:line="240" w:lineRule="auto"/>
        <w:jc w:val="both"/>
        <w:rPr>
          <w:rFonts w:ascii="Times New Roman" w:hAnsi="Times New Roman" w:cs="Times New Roman"/>
          <w:noProof/>
          <w:sz w:val="24"/>
          <w:u w:val="single"/>
        </w:rPr>
      </w:pPr>
      <w:r>
        <w:rPr>
          <w:rFonts w:ascii="Times New Roman" w:hAnsi="Times New Roman"/>
          <w:noProof/>
          <w:sz w:val="24"/>
          <w:u w:val="single"/>
        </w:rPr>
        <w:t>Инвестиция 2 (C23.I2) – Женска заетост и интегриране на принципа на равенство между половете в активните политики на пазара на труда</w:t>
      </w:r>
    </w:p>
    <w:p>
      <w:pPr>
        <w:spacing w:before="120" w:after="120" w:line="240" w:lineRule="auto"/>
        <w:jc w:val="both"/>
        <w:rPr>
          <w:rFonts w:ascii="Times New Roman" w:hAnsi="Times New Roman" w:cs="Times New Roman"/>
          <w:noProof/>
          <w:sz w:val="24"/>
        </w:rPr>
      </w:pPr>
      <w:r>
        <w:rPr>
          <w:rFonts w:ascii="Times New Roman" w:hAnsi="Times New Roman"/>
          <w:noProof/>
          <w:sz w:val="24"/>
        </w:rPr>
        <w:t>Целта на тези инвестиции е да се подобри интеграцията на жените на пазара на труда, което е в съответствие с много други мерки в плана за насърчаване на баланса между половете. Той се състои от следните членове:</w:t>
      </w:r>
    </w:p>
    <w:p>
      <w:pPr>
        <w:numPr>
          <w:ilvl w:val="0"/>
          <w:numId w:val="107"/>
        </w:numPr>
        <w:spacing w:before="120" w:after="160" w:line="240" w:lineRule="auto"/>
        <w:contextualSpacing/>
        <w:jc w:val="both"/>
        <w:rPr>
          <w:rFonts w:ascii="Times New Roman" w:hAnsi="Times New Roman" w:cs="Times New Roman"/>
          <w:noProof/>
          <w:sz w:val="24"/>
          <w:szCs w:val="24"/>
        </w:rPr>
      </w:pPr>
      <w:r>
        <w:rPr>
          <w:rFonts w:ascii="Times New Roman" w:hAnsi="Times New Roman"/>
          <w:noProof/>
          <w:sz w:val="24"/>
          <w:szCs w:val="24"/>
        </w:rPr>
        <w:t xml:space="preserve">Бюджетен ред за подпомагане на жените в селските и градските райони. Той обхваща дейности за обучение в областта на цифровите, екологичните, дългосрочните грижи, предприемачеството и социалната икономика. Поканите за предложения за безвъзмездни средства се организират за публични и частни субекти, които отговарят за предоставянето на обучение. </w:t>
      </w:r>
    </w:p>
    <w:p>
      <w:pPr>
        <w:numPr>
          <w:ilvl w:val="0"/>
          <w:numId w:val="107"/>
        </w:numPr>
        <w:spacing w:before="120" w:after="160" w:line="240" w:lineRule="auto"/>
        <w:contextualSpacing/>
        <w:jc w:val="both"/>
        <w:rPr>
          <w:rFonts w:ascii="Times New Roman" w:hAnsi="Times New Roman" w:cs="Times New Roman"/>
          <w:noProof/>
          <w:sz w:val="24"/>
          <w:szCs w:val="24"/>
        </w:rPr>
      </w:pPr>
      <w:r>
        <w:rPr>
          <w:rFonts w:ascii="Times New Roman" w:hAnsi="Times New Roman"/>
          <w:noProof/>
          <w:sz w:val="24"/>
          <w:szCs w:val="24"/>
        </w:rPr>
        <w:t xml:space="preserve">Линия за подкрепа за жени – жертви на насилие или трафик. Тя обхваща интеграционните пътеки за тези жени на два етапа. През първите шест месеца участниците следват персонализирани начини за социално приобщаване, а следващите шест месеца преминават обучение в процеса на работа с ангажимента на работодателите да ги наемат след това. </w:t>
      </w:r>
    </w:p>
    <w:p>
      <w:pPr>
        <w:numPr>
          <w:ilvl w:val="0"/>
          <w:numId w:val="107"/>
        </w:numPr>
        <w:spacing w:before="120" w:after="160" w:line="240" w:lineRule="auto"/>
        <w:contextualSpacing/>
        <w:jc w:val="both"/>
        <w:rPr>
          <w:rFonts w:ascii="Times New Roman" w:hAnsi="Times New Roman" w:cs="Times New Roman"/>
          <w:noProof/>
          <w:sz w:val="24"/>
          <w:szCs w:val="24"/>
        </w:rPr>
      </w:pPr>
      <w:r>
        <w:rPr>
          <w:rFonts w:ascii="Times New Roman" w:hAnsi="Times New Roman"/>
          <w:noProof/>
          <w:sz w:val="24"/>
          <w:szCs w:val="24"/>
        </w:rPr>
        <w:t>Интегриране на принципа на равенство между половете в активните политики на пазара на труда. То се отнася до включването на интегрирането на принципа на равенство между половете във всички елементи на годишните планове за заетостта на ПСЗ (централни и регионални) в периода 2021—2023 г. За тази цел се наемат консултантски услуги.</w:t>
      </w:r>
    </w:p>
    <w:p>
      <w:pPr>
        <w:spacing w:before="240" w:after="120" w:line="240" w:lineRule="auto"/>
        <w:jc w:val="both"/>
        <w:rPr>
          <w:rFonts w:ascii="Times New Roman" w:hAnsi="Times New Roman" w:cs="Times New Roman"/>
          <w:noProof/>
          <w:sz w:val="24"/>
          <w:szCs w:val="24"/>
        </w:rPr>
      </w:pPr>
      <w:r>
        <w:rPr>
          <w:rFonts w:ascii="Times New Roman" w:hAnsi="Times New Roman"/>
          <w:noProof/>
          <w:sz w:val="24"/>
          <w:szCs w:val="24"/>
        </w:rPr>
        <w:t>Изпълнението на инвестицията приключва до 31 декември 2025 г.</w:t>
      </w:r>
    </w:p>
    <w:p>
      <w:pPr>
        <w:spacing w:before="120" w:after="120" w:line="240" w:lineRule="auto"/>
        <w:jc w:val="both"/>
        <w:rPr>
          <w:rFonts w:ascii="Times New Roman" w:hAnsi="Times New Roman" w:cs="Times New Roman"/>
          <w:noProof/>
          <w:sz w:val="24"/>
          <w:u w:val="single"/>
        </w:rPr>
      </w:pPr>
      <w:r>
        <w:rPr>
          <w:rFonts w:ascii="Times New Roman" w:hAnsi="Times New Roman"/>
          <w:noProof/>
          <w:sz w:val="24"/>
          <w:u w:val="single"/>
        </w:rPr>
        <w:t>Инвестиция 3 (C23.I3) – Нови умения за екологичния, цифровия и продуктивния преход</w:t>
      </w:r>
    </w:p>
    <w:p>
      <w:pPr>
        <w:spacing w:before="120" w:after="120" w:line="240" w:lineRule="auto"/>
        <w:jc w:val="both"/>
        <w:rPr>
          <w:rFonts w:ascii="Times New Roman" w:hAnsi="Times New Roman" w:cs="Times New Roman"/>
          <w:noProof/>
          <w:sz w:val="24"/>
        </w:rPr>
      </w:pPr>
      <w:r>
        <w:rPr>
          <w:rFonts w:ascii="Times New Roman" w:hAnsi="Times New Roman"/>
          <w:noProof/>
          <w:sz w:val="24"/>
        </w:rPr>
        <w:t>Тази инвестиция обхваща различни инициативи за обучение с цел преквалификация на работниците, изложени на риск от разселване. Той се състои от следните направления на действие:</w:t>
      </w:r>
    </w:p>
    <w:p>
      <w:pPr>
        <w:numPr>
          <w:ilvl w:val="0"/>
          <w:numId w:val="108"/>
        </w:numPr>
        <w:spacing w:before="120" w:after="160" w:line="240" w:lineRule="auto"/>
        <w:contextualSpacing/>
        <w:jc w:val="both"/>
        <w:rPr>
          <w:rFonts w:ascii="Times New Roman" w:hAnsi="Times New Roman" w:cs="Times New Roman"/>
          <w:noProof/>
        </w:rPr>
      </w:pPr>
      <w:r>
        <w:rPr>
          <w:rFonts w:ascii="Times New Roman" w:hAnsi="Times New Roman"/>
          <w:noProof/>
          <w:sz w:val="24"/>
          <w:szCs w:val="24"/>
        </w:rPr>
        <w:t>Покани за представяне на предложения за отпускане на безвъзмездни средства за придобиване на нови умения за цифрова, екологична и продуктивна трансформация. Тя е насочена към работниците в туристическия сектор, безработните и лицата, подлежащи нa ERTE</w:t>
      </w:r>
      <w:r>
        <w:rPr>
          <w:rFonts w:ascii="Times New Roman" w:hAnsi="Times New Roman"/>
          <w:noProof/>
          <w:sz w:val="24"/>
          <w:szCs w:val="24"/>
          <w:lang w:val="en-US"/>
        </w:rPr>
        <w:t>s</w:t>
      </w:r>
      <w:r>
        <w:rPr>
          <w:rFonts w:ascii="Times New Roman" w:hAnsi="Times New Roman"/>
          <w:noProof/>
          <w:sz w:val="24"/>
          <w:szCs w:val="24"/>
        </w:rPr>
        <w:t>. Дейностите по обучение са със средна продължителност от 65 часа.</w:t>
      </w:r>
    </w:p>
    <w:p>
      <w:pPr>
        <w:numPr>
          <w:ilvl w:val="0"/>
          <w:numId w:val="108"/>
        </w:numPr>
        <w:spacing w:before="120" w:after="160" w:line="240" w:lineRule="auto"/>
        <w:contextualSpacing/>
        <w:jc w:val="both"/>
        <w:rPr>
          <w:rFonts w:ascii="Times New Roman" w:hAnsi="Times New Roman" w:cs="Times New Roman"/>
          <w:noProof/>
        </w:rPr>
      </w:pPr>
      <w:r>
        <w:rPr>
          <w:rFonts w:ascii="Times New Roman" w:hAnsi="Times New Roman"/>
          <w:noProof/>
          <w:sz w:val="24"/>
          <w:szCs w:val="24"/>
        </w:rPr>
        <w:t>Ваучери за обучение за придобиване на нови умения за цифрова, екологична и продуктивна трансформация. Тя е насочена към същите видове работници като предходната линия на действие, но в този случай бенефициерът получава пряка субсидия за целите на обучението в областта на екологичните, цифровите и други стратегически сектори.</w:t>
      </w:r>
    </w:p>
    <w:p>
      <w:pPr>
        <w:numPr>
          <w:ilvl w:val="0"/>
          <w:numId w:val="108"/>
        </w:numPr>
        <w:spacing w:before="120" w:after="160" w:line="240" w:lineRule="auto"/>
        <w:contextualSpacing/>
        <w:jc w:val="both"/>
        <w:rPr>
          <w:rFonts w:ascii="Times New Roman" w:hAnsi="Times New Roman" w:cs="Times New Roman"/>
          <w:noProof/>
        </w:rPr>
      </w:pPr>
      <w:r>
        <w:rPr>
          <w:rFonts w:ascii="Times New Roman" w:hAnsi="Times New Roman"/>
          <w:noProof/>
          <w:sz w:val="24"/>
          <w:szCs w:val="24"/>
        </w:rPr>
        <w:t>Установяване на потребностите от умения. Проучване, основано на проучване, проведено в най-малко 23 производствени сектора, предоставя ефективни отговори на търсенето на обучение и преквалификация на пазара на труда, включително на уменията в цифровия преход и екологичния преход. Тя също така ще предвиди промените и ще отговори на потенциалното търсене на квалифицирана работна ръка.</w:t>
      </w:r>
    </w:p>
    <w:p>
      <w:pPr>
        <w:spacing w:before="24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Изпълнението на инвестицията приключва до 31 декември 2025 г. </w:t>
      </w:r>
    </w:p>
    <w:p>
      <w:pPr>
        <w:spacing w:before="120" w:after="120" w:line="240" w:lineRule="auto"/>
        <w:jc w:val="both"/>
        <w:rPr>
          <w:rFonts w:ascii="Times New Roman" w:hAnsi="Times New Roman" w:cs="Times New Roman"/>
          <w:noProof/>
          <w:sz w:val="24"/>
        </w:rPr>
      </w:pPr>
      <w:r>
        <w:rPr>
          <w:rFonts w:ascii="Times New Roman" w:hAnsi="Times New Roman"/>
          <w:noProof/>
          <w:sz w:val="24"/>
          <w:u w:val="single"/>
        </w:rPr>
        <w:t>Инвестиция 4 (C23.I4) – Нови териториални проекти за възстановяване на баланса и собствен капитал</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Тази инвестиция ще финансира най-малко 68 нови териториални проекта с цел справяне с демографското предизвикателство и улесняване на продуктивната трансформация, по-специално към екологична и цифрова икономика. Във всеки автономен регион на страната се изпълняват най-малко четири проекта. </w:t>
      </w:r>
    </w:p>
    <w:p>
      <w:pPr>
        <w:spacing w:before="120" w:after="120" w:line="240" w:lineRule="auto"/>
        <w:jc w:val="both"/>
        <w:rPr>
          <w:rFonts w:ascii="Times New Roman" w:hAnsi="Times New Roman" w:cs="Times New Roman"/>
          <w:noProof/>
          <w:sz w:val="24"/>
        </w:rPr>
      </w:pPr>
      <w:r>
        <w:rPr>
          <w:rFonts w:ascii="Times New Roman" w:hAnsi="Times New Roman"/>
          <w:noProof/>
          <w:sz w:val="24"/>
        </w:rPr>
        <w:t>Той се състои от два вида проекти:</w:t>
      </w:r>
    </w:p>
    <w:p>
      <w:pPr>
        <w:numPr>
          <w:ilvl w:val="0"/>
          <w:numId w:val="109"/>
        </w:numPr>
        <w:spacing w:before="120" w:after="160" w:line="240" w:lineRule="auto"/>
        <w:contextualSpacing/>
        <w:jc w:val="both"/>
        <w:rPr>
          <w:rFonts w:ascii="Times New Roman" w:hAnsi="Times New Roman" w:cs="Times New Roman"/>
          <w:noProof/>
          <w:sz w:val="24"/>
          <w:szCs w:val="24"/>
        </w:rPr>
      </w:pPr>
      <w:r>
        <w:rPr>
          <w:rFonts w:ascii="Times New Roman" w:hAnsi="Times New Roman"/>
          <w:noProof/>
          <w:sz w:val="24"/>
          <w:szCs w:val="24"/>
        </w:rPr>
        <w:t xml:space="preserve">Териториални проекти за уязвими групи. Тези проекти са насочени към трайно безработни лица, които следват персонализирани и индивидуализирани маршрути, в които се интегрират различни действия, като например: Тези проекти включват, наред с други действия: </w:t>
      </w:r>
    </w:p>
    <w:p>
      <w:pPr>
        <w:numPr>
          <w:ilvl w:val="0"/>
          <w:numId w:val="109"/>
        </w:numPr>
        <w:spacing w:before="120" w:after="160" w:line="240" w:lineRule="auto"/>
        <w:contextualSpacing/>
        <w:jc w:val="both"/>
        <w:rPr>
          <w:rFonts w:ascii="Times New Roman" w:hAnsi="Times New Roman" w:cs="Times New Roman"/>
          <w:noProof/>
        </w:rPr>
      </w:pPr>
      <w:r>
        <w:rPr>
          <w:rFonts w:ascii="Times New Roman" w:hAnsi="Times New Roman"/>
          <w:noProof/>
          <w:sz w:val="24"/>
          <w:szCs w:val="24"/>
        </w:rPr>
        <w:t xml:space="preserve">Проекти в областта на предприемачеството и микропредприятията. Тези проекти са насочени към демографското предизвикателство и улесняват продуктивната трансформация, по-специално към екологична и цифрова икономика. Инициативите, които ще бъдат финансирани, включват проекти за аграрно обучение, устойчиво местно развитие, инициативи на социалната икономика за действия в областта на културата и изкуството, екологичен преход, инициативи за местно развитие, селски туризъм и художествено наследство, наред с другото. Даден проект може да финансира действия като: социалното предприемачество и работещите на свободна практика, проучване на пазара на труда, местни агенти за насърчаване и развитие, помощ за създаването на кооперации или микропредприятия, създаване на мрежи, участие в конференции и дейности за разпространение. </w:t>
      </w:r>
    </w:p>
    <w:p>
      <w:pPr>
        <w:spacing w:before="240" w:after="120" w:line="240" w:lineRule="auto"/>
        <w:jc w:val="both"/>
        <w:rPr>
          <w:rFonts w:ascii="Times New Roman" w:hAnsi="Times New Roman" w:cs="Times New Roman"/>
          <w:noProof/>
          <w:sz w:val="24"/>
        </w:rPr>
      </w:pPr>
      <w:r>
        <w:rPr>
          <w:rFonts w:ascii="Times New Roman" w:hAnsi="Times New Roman"/>
          <w:noProof/>
          <w:sz w:val="24"/>
        </w:rPr>
        <w:t xml:space="preserve">Изпълнението на инвестицията приключва до 31 декември 2023 г. </w:t>
      </w:r>
    </w:p>
    <w:p>
      <w:pPr>
        <w:spacing w:before="120" w:after="120" w:line="240" w:lineRule="auto"/>
        <w:jc w:val="both"/>
        <w:rPr>
          <w:rFonts w:ascii="Times New Roman" w:hAnsi="Times New Roman" w:cs="Times New Roman"/>
          <w:noProof/>
          <w:sz w:val="24"/>
          <w:u w:val="single"/>
        </w:rPr>
      </w:pPr>
      <w:r>
        <w:rPr>
          <w:rFonts w:ascii="Times New Roman" w:hAnsi="Times New Roman"/>
          <w:noProof/>
          <w:sz w:val="24"/>
          <w:u w:val="single"/>
        </w:rPr>
        <w:t>Инвестиция 5 (C23.I5) – Управление и насърчаване на политиките в подкрепа на активизирането</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Тази мярка има за цел да укрепи публичните служби по заетостта и да подобри ефективността на активните политики на пазара на труда. За тази цел тя предвижда създаването на мрежа от 20 центъра за ориентация, предприемачество и иновации за заетост. Те ще бъдат разпръснати в цялата страна (един център на централно държавно равнище и друг във всяка автономна територия, включително Сеута и Мелиля) с мисия за подобряване на координацията на ПСЗ между регионите.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Освен това се предвижда набор от дейности за продължаващо обучение за служителите на публичните служби по заетостта, като им се предоставят средно 14 000 дейности по обучение годишно. Обучението се организира в модули със средна продължителност 30 часа и средно всеки служител участва в модул годишно през периода 2021—2023 г.</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Изпълнението на инвестицията приключва до 31 декември 2023 г. </w:t>
      </w:r>
    </w:p>
    <w:p>
      <w:pPr>
        <w:spacing w:before="120" w:after="120" w:line="240" w:lineRule="auto"/>
        <w:jc w:val="both"/>
        <w:rPr>
          <w:rFonts w:ascii="Times New Roman" w:hAnsi="Times New Roman" w:cs="Times New Roman"/>
          <w:noProof/>
          <w:sz w:val="24"/>
          <w:u w:val="single"/>
        </w:rPr>
      </w:pPr>
      <w:r>
        <w:rPr>
          <w:rFonts w:ascii="Times New Roman" w:hAnsi="Times New Roman"/>
          <w:noProof/>
          <w:sz w:val="24"/>
          <w:u w:val="single"/>
        </w:rPr>
        <w:t>Инвестиция 6 (C23.I6) – Цялостен план за насърчаване на социалната икономика</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Тази мярка подкрепя иновативни проекти в областта на социалната икономика с цел създаване на по-приобщаваща и устойчива икономическа структура.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Тя се изразява в разработването на най-малко 30 проекта в областта на социалната икономика за периода 2021—2023 г. в следните области:</w:t>
      </w:r>
    </w:p>
    <w:p>
      <w:pPr>
        <w:numPr>
          <w:ilvl w:val="0"/>
          <w:numId w:val="110"/>
        </w:numPr>
        <w:spacing w:before="120" w:after="160" w:line="240" w:lineRule="auto"/>
        <w:contextualSpacing/>
        <w:jc w:val="both"/>
        <w:rPr>
          <w:rFonts w:ascii="Times New Roman" w:hAnsi="Times New Roman" w:cs="Times New Roman"/>
          <w:noProof/>
          <w:sz w:val="24"/>
          <w:szCs w:val="24"/>
        </w:rPr>
      </w:pPr>
      <w:r>
        <w:rPr>
          <w:rFonts w:ascii="Times New Roman" w:hAnsi="Times New Roman"/>
          <w:noProof/>
          <w:sz w:val="24"/>
          <w:szCs w:val="24"/>
        </w:rPr>
        <w:t>Създаване и поддържане на заетост на жизнеспособни предприятия в затруднено положение или без приемственост между поколенията чрез преобразуването им във форми на стопанска дейност на социалната икономика (кооперации и трудови дружества), управлявани от техните работници.</w:t>
      </w:r>
    </w:p>
    <w:p>
      <w:pPr>
        <w:numPr>
          <w:ilvl w:val="0"/>
          <w:numId w:val="110"/>
        </w:numPr>
        <w:spacing w:before="120" w:after="160" w:line="240" w:lineRule="auto"/>
        <w:contextualSpacing/>
        <w:jc w:val="both"/>
        <w:rPr>
          <w:rFonts w:ascii="Times New Roman" w:hAnsi="Times New Roman" w:cs="Times New Roman"/>
          <w:noProof/>
          <w:sz w:val="24"/>
          <w:szCs w:val="24"/>
        </w:rPr>
      </w:pPr>
      <w:r>
        <w:rPr>
          <w:rFonts w:ascii="Times New Roman" w:hAnsi="Times New Roman"/>
          <w:noProof/>
          <w:sz w:val="24"/>
          <w:szCs w:val="24"/>
        </w:rPr>
        <w:t>Създаване и консолидиране на иновативни структури на социалната икономика с въздействие върху приемствеността между поколенията и младежкото предприемачество.</w:t>
      </w:r>
    </w:p>
    <w:p>
      <w:pPr>
        <w:numPr>
          <w:ilvl w:val="0"/>
          <w:numId w:val="110"/>
        </w:numPr>
        <w:spacing w:before="120" w:after="160" w:line="240" w:lineRule="auto"/>
        <w:contextualSpacing/>
        <w:jc w:val="both"/>
        <w:rPr>
          <w:rFonts w:ascii="Times New Roman" w:hAnsi="Times New Roman" w:cs="Times New Roman"/>
          <w:noProof/>
          <w:sz w:val="24"/>
          <w:szCs w:val="24"/>
        </w:rPr>
      </w:pPr>
      <w:r>
        <w:rPr>
          <w:rFonts w:ascii="Times New Roman" w:hAnsi="Times New Roman"/>
          <w:noProof/>
          <w:sz w:val="24"/>
          <w:szCs w:val="24"/>
        </w:rPr>
        <w:t>Цифровизация на предприятията на социалната икономика чрез създаването на цифрови платформи, насочени към подобряване на благосъстоянието на гражданите в селските райони.</w:t>
      </w:r>
    </w:p>
    <w:p>
      <w:pPr>
        <w:numPr>
          <w:ilvl w:val="0"/>
          <w:numId w:val="110"/>
        </w:numPr>
        <w:spacing w:before="120" w:after="160" w:line="240" w:lineRule="auto"/>
        <w:contextualSpacing/>
        <w:jc w:val="both"/>
        <w:rPr>
          <w:rFonts w:ascii="Times New Roman" w:hAnsi="Times New Roman" w:cs="Times New Roman"/>
          <w:noProof/>
          <w:sz w:val="24"/>
          <w:szCs w:val="24"/>
        </w:rPr>
      </w:pPr>
      <w:r>
        <w:rPr>
          <w:rFonts w:ascii="Times New Roman" w:hAnsi="Times New Roman"/>
          <w:noProof/>
          <w:sz w:val="24"/>
          <w:szCs w:val="24"/>
        </w:rPr>
        <w:t>Изграждане на мрежи от кооперации, трудови дружества и други форми на социална икономика, придружени от мерки за изграждане на капацитет и обучение за предоставяне на нови всеобхватни услуги на обществото.</w:t>
      </w:r>
    </w:p>
    <w:p>
      <w:pPr>
        <w:numPr>
          <w:ilvl w:val="0"/>
          <w:numId w:val="110"/>
        </w:numPr>
        <w:spacing w:before="120" w:after="160" w:line="240" w:lineRule="auto"/>
        <w:contextualSpacing/>
        <w:jc w:val="both"/>
        <w:rPr>
          <w:rFonts w:ascii="Times New Roman" w:hAnsi="Times New Roman" w:cs="Times New Roman"/>
          <w:noProof/>
          <w:sz w:val="24"/>
          <w:szCs w:val="24"/>
        </w:rPr>
      </w:pPr>
      <w:r>
        <w:rPr>
          <w:rFonts w:ascii="Times New Roman" w:hAnsi="Times New Roman"/>
          <w:noProof/>
          <w:sz w:val="24"/>
          <w:szCs w:val="24"/>
        </w:rPr>
        <w:t>Насърчаване на устойчиви и приобщаващи преходи на уязвими дружества и групи.</w:t>
      </w:r>
    </w:p>
    <w:p>
      <w:pPr>
        <w:spacing w:before="240" w:after="120" w:line="240" w:lineRule="auto"/>
        <w:jc w:val="both"/>
        <w:rPr>
          <w:rFonts w:ascii="Times New Roman" w:hAnsi="Times New Roman" w:cs="Times New Roman"/>
          <w:noProof/>
          <w:sz w:val="24"/>
        </w:rPr>
      </w:pPr>
      <w:r>
        <w:rPr>
          <w:rFonts w:ascii="Times New Roman" w:hAnsi="Times New Roman"/>
          <w:noProof/>
          <w:sz w:val="24"/>
        </w:rPr>
        <w:t xml:space="preserve">Изпълнението на инвестицията приключва до 31 декември 2023 г. </w:t>
      </w:r>
    </w:p>
    <w:p>
      <w:pPr>
        <w:spacing w:before="120" w:after="120" w:line="240" w:lineRule="auto"/>
        <w:jc w:val="both"/>
        <w:rPr>
          <w:rFonts w:ascii="Times New Roman" w:hAnsi="Times New Roman" w:cs="Times New Roman"/>
          <w:noProof/>
          <w:sz w:val="24"/>
          <w:u w:val="single"/>
        </w:rPr>
      </w:pPr>
      <w:r>
        <w:rPr>
          <w:rFonts w:ascii="Times New Roman" w:hAnsi="Times New Roman"/>
          <w:noProof/>
          <w:sz w:val="24"/>
          <w:u w:val="single"/>
        </w:rPr>
        <w:t>Инвестиция 7 (C23.I7) – Насърчаване на приобщаващ растеж чрез обвързване на политиките за социално приобщаване с националната схема за минимален доход („</w:t>
      </w:r>
      <w:r>
        <w:rPr>
          <w:rFonts w:ascii="Times New Roman" w:hAnsi="Times New Roman"/>
          <w:noProof/>
          <w:sz w:val="24"/>
          <w:u w:val="single"/>
          <w:lang w:val="en-US"/>
        </w:rPr>
        <w:t>IMV</w:t>
      </w:r>
      <w:r>
        <w:rPr>
          <w:rFonts w:ascii="Times New Roman" w:hAnsi="Times New Roman"/>
          <w:noProof/>
          <w:sz w:val="24"/>
          <w:u w:val="single"/>
        </w:rPr>
        <w:t xml:space="preserve">“) </w:t>
      </w:r>
    </w:p>
    <w:p>
      <w:pPr>
        <w:spacing w:before="120" w:after="120" w:line="240" w:lineRule="auto"/>
        <w:jc w:val="both"/>
        <w:rPr>
          <w:rFonts w:ascii="Times New Roman" w:hAnsi="Times New Roman" w:cs="Times New Roman"/>
          <w:noProof/>
          <w:sz w:val="24"/>
        </w:rPr>
      </w:pPr>
      <w:r>
        <w:rPr>
          <w:rFonts w:ascii="Times New Roman" w:hAnsi="Times New Roman"/>
          <w:noProof/>
          <w:sz w:val="24"/>
        </w:rPr>
        <w:t>Целта на тази инвестиция е подобряване на ефективността на пътищата за интеграция на бенефициерите по националната схема за минимален доход (</w:t>
      </w:r>
      <w:r>
        <w:rPr>
          <w:rFonts w:ascii="Times New Roman" w:hAnsi="Times New Roman"/>
          <w:noProof/>
          <w:sz w:val="24"/>
          <w:lang w:val="en-US"/>
        </w:rPr>
        <w:t>IMV</w:t>
      </w:r>
      <w:r>
        <w:rPr>
          <w:rFonts w:ascii="Times New Roman" w:hAnsi="Times New Roman"/>
          <w:noProof/>
          <w:sz w:val="24"/>
        </w:rPr>
        <w:t>) чрез изпълнението на най-малко 18 пилотни проекта. След приключването им се извършва оценка на обхвата, ефективността и успеха на схемите за минимален доход. Тази оценка включва конкретни препоръки за увеличаване на коефициента на усвояване и подобряване на ефективността на политиките за социално приобщаване. Тази мярка е тясно свързана с реформа 5 от компонент 22.</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За изпълнението на пилотните проекти Министерството на социалното приобщаване подписва споразумения за партньорство със съответните регионални и местни публични администрации, както и със субекти от третия сектор на социалната дейност и социалните партньори. Тези споразумения за партньорство имат за цел: i) подобряване на степента на използване на </w:t>
      </w:r>
      <w:r>
        <w:rPr>
          <w:rFonts w:ascii="Times New Roman" w:hAnsi="Times New Roman"/>
          <w:noProof/>
          <w:sz w:val="24"/>
          <w:lang w:val="en-US"/>
        </w:rPr>
        <w:t>IMV</w:t>
      </w:r>
      <w:r>
        <w:rPr>
          <w:rFonts w:ascii="Times New Roman" w:hAnsi="Times New Roman"/>
          <w:noProof/>
          <w:sz w:val="24"/>
        </w:rPr>
        <w:t xml:space="preserve">; ii) повишаване на ефективността на </w:t>
      </w:r>
      <w:r>
        <w:rPr>
          <w:rFonts w:ascii="Times New Roman" w:hAnsi="Times New Roman"/>
          <w:noProof/>
          <w:sz w:val="24"/>
          <w:lang w:val="en-US"/>
        </w:rPr>
        <w:t>IMV</w:t>
      </w:r>
      <w:r>
        <w:rPr>
          <w:rFonts w:ascii="Times New Roman" w:hAnsi="Times New Roman"/>
          <w:noProof/>
          <w:sz w:val="24"/>
        </w:rPr>
        <w:t xml:space="preserve"> чрез интеграционни пътеки. Всяко споразумение за партньорство се придружава от план за действие, в който се определят най-малко следните елементи:</w:t>
      </w:r>
    </w:p>
    <w:p>
      <w:pPr>
        <w:numPr>
          <w:ilvl w:val="0"/>
          <w:numId w:val="110"/>
        </w:numPr>
        <w:spacing w:before="120" w:after="160" w:line="240" w:lineRule="auto"/>
        <w:contextualSpacing/>
        <w:jc w:val="both"/>
        <w:rPr>
          <w:rFonts w:ascii="Times New Roman" w:hAnsi="Times New Roman" w:cs="Times New Roman"/>
          <w:noProof/>
          <w:sz w:val="24"/>
          <w:szCs w:val="24"/>
        </w:rPr>
      </w:pPr>
      <w:r>
        <w:rPr>
          <w:rFonts w:ascii="Times New Roman" w:hAnsi="Times New Roman"/>
          <w:noProof/>
          <w:sz w:val="24"/>
          <w:szCs w:val="24"/>
        </w:rPr>
        <w:t xml:space="preserve">Бенефициери на </w:t>
      </w:r>
      <w:r>
        <w:rPr>
          <w:rFonts w:ascii="Times New Roman" w:hAnsi="Times New Roman"/>
          <w:noProof/>
          <w:sz w:val="24"/>
          <w:szCs w:val="24"/>
          <w:lang w:val="en-US"/>
        </w:rPr>
        <w:t>IMV</w:t>
      </w:r>
      <w:r>
        <w:rPr>
          <w:rFonts w:ascii="Times New Roman" w:hAnsi="Times New Roman"/>
          <w:noProof/>
          <w:sz w:val="24"/>
          <w:szCs w:val="24"/>
        </w:rPr>
        <w:t>, участващи в пилотния проект.</w:t>
      </w:r>
    </w:p>
    <w:p>
      <w:pPr>
        <w:numPr>
          <w:ilvl w:val="0"/>
          <w:numId w:val="110"/>
        </w:numPr>
        <w:spacing w:before="120" w:after="160" w:line="240" w:lineRule="auto"/>
        <w:contextualSpacing/>
        <w:jc w:val="both"/>
        <w:rPr>
          <w:rFonts w:ascii="Times New Roman" w:hAnsi="Times New Roman" w:cs="Times New Roman"/>
          <w:noProof/>
          <w:sz w:val="24"/>
          <w:szCs w:val="24"/>
        </w:rPr>
      </w:pPr>
      <w:r>
        <w:rPr>
          <w:rFonts w:ascii="Times New Roman" w:hAnsi="Times New Roman"/>
          <w:noProof/>
          <w:sz w:val="24"/>
          <w:szCs w:val="24"/>
        </w:rPr>
        <w:t>Най-подходящите пътища (да се определят въз основа на извлечените поуки) и свързаните с това резултати/резултати от приобщаването, които трябва да бъдат постигнати чрез интервенцията.</w:t>
      </w:r>
    </w:p>
    <w:p>
      <w:pPr>
        <w:numPr>
          <w:ilvl w:val="0"/>
          <w:numId w:val="110"/>
        </w:numPr>
        <w:spacing w:before="120" w:after="160" w:line="240" w:lineRule="auto"/>
        <w:contextualSpacing/>
        <w:jc w:val="both"/>
        <w:rPr>
          <w:rFonts w:ascii="Times New Roman" w:hAnsi="Times New Roman" w:cs="Times New Roman"/>
          <w:noProof/>
          <w:sz w:val="24"/>
          <w:szCs w:val="24"/>
        </w:rPr>
      </w:pPr>
      <w:r>
        <w:rPr>
          <w:rFonts w:ascii="Times New Roman" w:hAnsi="Times New Roman"/>
          <w:noProof/>
          <w:sz w:val="24"/>
          <w:szCs w:val="24"/>
        </w:rPr>
        <w:t xml:space="preserve">Изискване по отношение на инфраструктурата за данни: необходими са не само бенефициери на </w:t>
      </w:r>
      <w:r>
        <w:rPr>
          <w:rFonts w:ascii="Times New Roman" w:hAnsi="Times New Roman"/>
          <w:noProof/>
          <w:sz w:val="24"/>
          <w:szCs w:val="24"/>
          <w:lang w:val="en-US"/>
        </w:rPr>
        <w:t>IMV</w:t>
      </w:r>
      <w:r>
        <w:rPr>
          <w:rFonts w:ascii="Times New Roman" w:hAnsi="Times New Roman"/>
          <w:noProof/>
          <w:sz w:val="24"/>
          <w:szCs w:val="24"/>
        </w:rPr>
        <w:t>, но и други бенефициери на регионални програми, които да разчитат на добри контролни групи.</w:t>
      </w:r>
    </w:p>
    <w:p>
      <w:pPr>
        <w:numPr>
          <w:ilvl w:val="0"/>
          <w:numId w:val="110"/>
        </w:numPr>
        <w:spacing w:before="120" w:after="160" w:line="240" w:lineRule="auto"/>
        <w:contextualSpacing/>
        <w:jc w:val="both"/>
        <w:rPr>
          <w:rFonts w:ascii="Times New Roman" w:hAnsi="Times New Roman" w:cs="Times New Roman"/>
          <w:noProof/>
          <w:sz w:val="24"/>
          <w:szCs w:val="24"/>
        </w:rPr>
      </w:pPr>
      <w:r>
        <w:rPr>
          <w:rFonts w:ascii="Times New Roman" w:hAnsi="Times New Roman"/>
          <w:noProof/>
          <w:sz w:val="24"/>
          <w:szCs w:val="24"/>
        </w:rPr>
        <w:t>Единични разходи за интервенцията.</w:t>
      </w:r>
    </w:p>
    <w:p>
      <w:pPr>
        <w:numPr>
          <w:ilvl w:val="0"/>
          <w:numId w:val="110"/>
        </w:numPr>
        <w:spacing w:before="120" w:after="160" w:line="240" w:lineRule="auto"/>
        <w:contextualSpacing/>
        <w:jc w:val="both"/>
        <w:rPr>
          <w:rFonts w:ascii="Times New Roman" w:hAnsi="Times New Roman" w:cs="Times New Roman"/>
          <w:noProof/>
          <w:sz w:val="24"/>
          <w:szCs w:val="24"/>
        </w:rPr>
      </w:pPr>
      <w:r>
        <w:rPr>
          <w:rFonts w:ascii="Times New Roman" w:hAnsi="Times New Roman"/>
          <w:noProof/>
          <w:sz w:val="24"/>
          <w:szCs w:val="24"/>
        </w:rPr>
        <w:t>План за мониторинг на Министерството на приобщаването за оценка на изпълнението на различните етапни цели, определени в плана.</w:t>
      </w:r>
    </w:p>
    <w:p>
      <w:pPr>
        <w:numPr>
          <w:ilvl w:val="0"/>
          <w:numId w:val="110"/>
        </w:numPr>
        <w:spacing w:before="120" w:after="160" w:line="240" w:lineRule="auto"/>
        <w:contextualSpacing/>
        <w:jc w:val="both"/>
        <w:rPr>
          <w:rFonts w:ascii="Times New Roman" w:hAnsi="Times New Roman" w:cs="Times New Roman"/>
          <w:noProof/>
          <w:sz w:val="24"/>
          <w:szCs w:val="24"/>
        </w:rPr>
      </w:pPr>
      <w:r>
        <w:rPr>
          <w:rFonts w:ascii="Times New Roman" w:hAnsi="Times New Roman"/>
          <w:noProof/>
          <w:sz w:val="24"/>
          <w:szCs w:val="24"/>
        </w:rPr>
        <w:t>Публикуване на оценка след приключване на пилотния проект с констатации и извлечени поуки.</w:t>
      </w:r>
    </w:p>
    <w:p>
      <w:pPr>
        <w:spacing w:before="240" w:after="120" w:line="240" w:lineRule="auto"/>
        <w:jc w:val="both"/>
        <w:rPr>
          <w:rFonts w:ascii="Times New Roman" w:hAnsi="Times New Roman" w:cs="Times New Roman"/>
          <w:noProof/>
          <w:sz w:val="24"/>
          <w:u w:val="single"/>
        </w:rPr>
      </w:pPr>
      <w:r>
        <w:rPr>
          <w:rFonts w:ascii="Times New Roman" w:hAnsi="Times New Roman"/>
          <w:noProof/>
          <w:sz w:val="24"/>
          <w:szCs w:val="24"/>
        </w:rPr>
        <w:t>Изпълнението на инвестицията приключва до 31 март</w:t>
      </w:r>
      <w:r>
        <w:rPr>
          <w:rFonts w:ascii="Times New Roman" w:hAnsi="Times New Roman"/>
          <w:noProof/>
          <w:sz w:val="24"/>
        </w:rPr>
        <w:t xml:space="preserve"> 2024 г.</w:t>
      </w:r>
    </w:p>
    <w:p>
      <w:pPr>
        <w:spacing w:before="120" w:after="120" w:line="240" w:lineRule="auto"/>
        <w:ind w:left="709"/>
        <w:jc w:val="both"/>
        <w:rPr>
          <w:rFonts w:ascii="Times New Roman" w:hAnsi="Times New Roman" w:cs="Times New Roman"/>
          <w:b/>
          <w:noProof/>
          <w:sz w:val="24"/>
          <w:u w:val="single"/>
        </w:rPr>
      </w:pPr>
      <w:r>
        <w:rPr>
          <w:rFonts w:ascii="Times New Roman" w:hAnsi="Times New Roman"/>
          <w:b/>
          <w:bCs/>
          <w:noProof/>
          <w:sz w:val="24"/>
          <w:u w:val="single"/>
        </w:rPr>
        <w:t xml:space="preserve">Ц.2. </w:t>
      </w:r>
      <w:r>
        <w:rPr>
          <w:rFonts w:ascii="Times New Roman" w:hAnsi="Times New Roman"/>
          <w:b/>
          <w:noProof/>
          <w:sz w:val="24"/>
          <w:u w:val="single"/>
        </w:rPr>
        <w:tab/>
      </w:r>
      <w:r>
        <w:rPr>
          <w:rFonts w:ascii="Times New Roman" w:hAnsi="Times New Roman"/>
          <w:b/>
          <w:bCs/>
          <w:noProof/>
          <w:sz w:val="24"/>
          <w:u w:val="single"/>
        </w:rPr>
        <w:t>Ключови етапи, цели, показатели и график за мониторинг и изпълнение на безвъзмездната финансова подкрепа</w:t>
      </w:r>
    </w:p>
    <w:p>
      <w:pPr>
        <w:spacing w:before="120" w:after="120" w:line="240" w:lineRule="auto"/>
        <w:jc w:val="both"/>
        <w:rPr>
          <w:rFonts w:ascii="Times New Roman" w:hAnsi="Times New Roman" w:cs="Times New Roman"/>
          <w:noProof/>
          <w:color w:val="1F497D"/>
        </w:rPr>
      </w:pPr>
      <w:r>
        <w:rPr>
          <w:rFonts w:ascii="Times New Roman" w:hAnsi="Times New Roman"/>
          <w:i/>
          <w:noProof/>
          <w:color w:val="000000"/>
          <w:sz w:val="24"/>
          <w:szCs w:val="24"/>
        </w:rPr>
        <w:t>Вж. таблицата по-долу.</w:t>
      </w:r>
      <w:r>
        <w:rPr>
          <w:rFonts w:ascii="Times New Roman" w:hAnsi="Times New Roman"/>
          <w:noProof/>
          <w:color w:val="1F497D"/>
          <w:sz w:val="24"/>
          <w:szCs w:val="24"/>
        </w:rPr>
        <w:t xml:space="preserve"> </w:t>
      </w:r>
      <w:r>
        <w:rPr>
          <w:rFonts w:ascii="Times New Roman" w:hAnsi="Times New Roman"/>
          <w:i/>
          <w:noProof/>
          <w:color w:val="000000"/>
          <w:sz w:val="24"/>
          <w:szCs w:val="24"/>
        </w:rPr>
        <w:t>Датата на базовата линия за всички показатели е 1 февруари 2020 г., освен ако не е посочено друго в описанието на действието. Сумите в таблицата не включват ДДС.</w:t>
      </w:r>
    </w:p>
    <w:p>
      <w:pPr>
        <w:spacing w:before="120" w:after="120" w:line="240" w:lineRule="auto"/>
        <w:ind w:left="709"/>
        <w:jc w:val="both"/>
        <w:rPr>
          <w:rFonts w:ascii="Times New Roman" w:hAnsi="Times New Roman" w:cs="Times New Roman"/>
          <w:noProof/>
          <w:sz w:val="24"/>
          <w:lang w:val="en-IE"/>
        </w:rPr>
        <w:sectPr>
          <w:headerReference w:type="even" r:id="rId283"/>
          <w:headerReference w:type="default" r:id="rId284"/>
          <w:footerReference w:type="even" r:id="rId285"/>
          <w:footerReference w:type="default" r:id="rId286"/>
          <w:headerReference w:type="first" r:id="rId287"/>
          <w:footerReference w:type="first" r:id="rId288"/>
          <w:pgSz w:w="11907" w:h="16839"/>
          <w:pgMar w:top="1134" w:right="1417" w:bottom="1134" w:left="1417" w:header="709" w:footer="709" w:gutter="0"/>
          <w:cols w:space="720"/>
          <w:docGrid w:linePitch="360"/>
        </w:sectPr>
      </w:pPr>
    </w:p>
    <w:tbl>
      <w:tblPr>
        <w:tblW w:w="15310"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851"/>
        <w:gridCol w:w="851"/>
        <w:gridCol w:w="850"/>
        <w:gridCol w:w="2540"/>
        <w:gridCol w:w="1350"/>
        <w:gridCol w:w="788"/>
        <w:gridCol w:w="652"/>
        <w:gridCol w:w="482"/>
        <w:gridCol w:w="328"/>
        <w:gridCol w:w="664"/>
        <w:gridCol w:w="5954"/>
      </w:tblGrid>
      <w:tr>
        <w:trPr>
          <w:trHeight w:val="309"/>
          <w:tblHeader/>
        </w:trPr>
        <w:tc>
          <w:tcPr>
            <w:tcW w:w="851" w:type="dxa"/>
            <w:tcBorders>
              <w:bottom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szCs w:val="18"/>
              </w:rPr>
              <w:t>Номер</w:t>
            </w:r>
          </w:p>
        </w:tc>
        <w:tc>
          <w:tcPr>
            <w:tcW w:w="851" w:type="dxa"/>
            <w:tcBorders>
              <w:bottom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szCs w:val="18"/>
              </w:rPr>
              <w:t>Мярка</w:t>
            </w:r>
          </w:p>
        </w:tc>
        <w:tc>
          <w:tcPr>
            <w:tcW w:w="850" w:type="dxa"/>
            <w:tcBorders>
              <w:bottom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szCs w:val="18"/>
              </w:rPr>
              <w:t>Ключов етап / Цел</w:t>
            </w:r>
          </w:p>
        </w:tc>
        <w:tc>
          <w:tcPr>
            <w:tcW w:w="2540" w:type="dxa"/>
            <w:tcBorders>
              <w:bottom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szCs w:val="18"/>
              </w:rPr>
              <w:t>Наименование</w:t>
            </w:r>
          </w:p>
        </w:tc>
        <w:tc>
          <w:tcPr>
            <w:tcW w:w="1350" w:type="dxa"/>
            <w:tcBorders>
              <w:bottom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szCs w:val="18"/>
              </w:rPr>
              <w:t>Качествени показатели за ключовите етапи</w:t>
            </w:r>
          </w:p>
        </w:tc>
        <w:tc>
          <w:tcPr>
            <w:tcW w:w="1922" w:type="dxa"/>
            <w:gridSpan w:val="3"/>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szCs w:val="18"/>
              </w:rPr>
              <w:t>Количествени показатели за целите</w:t>
            </w:r>
          </w:p>
        </w:tc>
        <w:tc>
          <w:tcPr>
            <w:tcW w:w="992" w:type="dxa"/>
            <w:gridSpan w:val="2"/>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szCs w:val="18"/>
              </w:rPr>
              <w:t>Време</w:t>
            </w:r>
          </w:p>
        </w:tc>
        <w:tc>
          <w:tcPr>
            <w:tcW w:w="5954" w:type="dxa"/>
            <w:tcBorders>
              <w:bottom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r>
              <w:rPr>
                <w:rFonts w:ascii="Times New Roman" w:hAnsi="Times New Roman"/>
                <w:b/>
                <w:bCs/>
                <w:noProof/>
                <w:sz w:val="18"/>
                <w:szCs w:val="18"/>
              </w:rPr>
              <w:t>Описание на всеки ключов етап и всяка цел</w:t>
            </w:r>
          </w:p>
        </w:tc>
      </w:tr>
      <w:tr>
        <w:trPr>
          <w:trHeight w:val="309"/>
          <w:tblHeader/>
        </w:trPr>
        <w:tc>
          <w:tcPr>
            <w:tcW w:w="851"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851"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850"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2540" w:type="dxa"/>
            <w:tcBorders>
              <w:top w:val="nil"/>
            </w:tcBorders>
            <w:shd w:val="clear" w:color="auto" w:fill="C6D9F1" w:themeFill="text2" w:themeFillTint="33"/>
            <w:noWrap/>
          </w:tcPr>
          <w:p>
            <w:pPr>
              <w:spacing w:after="0" w:line="240" w:lineRule="auto"/>
              <w:rPr>
                <w:rFonts w:ascii="Times New Roman" w:hAnsi="Times New Roman" w:cs="Times New Roman"/>
                <w:b/>
                <w:noProof/>
                <w:color w:val="000000"/>
                <w:sz w:val="18"/>
                <w:szCs w:val="18"/>
              </w:rPr>
            </w:pPr>
          </w:p>
        </w:tc>
        <w:tc>
          <w:tcPr>
            <w:tcW w:w="1350"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788" w:type="dxa"/>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szCs w:val="18"/>
              </w:rPr>
              <w:t>Мерна единица</w:t>
            </w:r>
          </w:p>
        </w:tc>
        <w:tc>
          <w:tcPr>
            <w:tcW w:w="652" w:type="dxa"/>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szCs w:val="18"/>
              </w:rPr>
              <w:t>Базова линия</w:t>
            </w:r>
          </w:p>
        </w:tc>
        <w:tc>
          <w:tcPr>
            <w:tcW w:w="482" w:type="dxa"/>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szCs w:val="18"/>
              </w:rPr>
              <w:t>Цел</w:t>
            </w:r>
          </w:p>
        </w:tc>
        <w:tc>
          <w:tcPr>
            <w:tcW w:w="328" w:type="dxa"/>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szCs w:val="18"/>
              </w:rPr>
              <w:t>T</w:t>
            </w:r>
          </w:p>
        </w:tc>
        <w:tc>
          <w:tcPr>
            <w:tcW w:w="664" w:type="dxa"/>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szCs w:val="18"/>
              </w:rPr>
              <w:t>Година</w:t>
            </w:r>
          </w:p>
        </w:tc>
        <w:tc>
          <w:tcPr>
            <w:tcW w:w="5954" w:type="dxa"/>
            <w:tcBorders>
              <w:top w:val="nil"/>
            </w:tcBorders>
            <w:shd w:val="clear" w:color="auto" w:fill="C6D9F1" w:themeFill="text2" w:themeFillTint="33"/>
            <w:noWrap/>
          </w:tcPr>
          <w:p>
            <w:pPr>
              <w:spacing w:after="0" w:line="240" w:lineRule="auto"/>
              <w:rPr>
                <w:rFonts w:ascii="Times New Roman" w:hAnsi="Times New Roman" w:cs="Times New Roman"/>
                <w:b/>
                <w:noProof/>
                <w:color w:val="000000"/>
                <w:sz w:val="18"/>
                <w:szCs w:val="18"/>
                <w:lang w:val="en-IE"/>
              </w:rPr>
            </w:pPr>
          </w:p>
        </w:tc>
      </w:tr>
      <w:tr>
        <w:trPr>
          <w:trHeight w:val="309"/>
        </w:trPr>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329</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C23.R1</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2540"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Влизане в сила на два кралски декрет-закона, уреждащи дистанционната работа в частния сектор и в публичната администрация</w:t>
            </w:r>
          </w:p>
        </w:tc>
        <w:tc>
          <w:tcPr>
            <w:tcW w:w="13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Разпоредби на кралските декрет-закони относно влизането в сила</w:t>
            </w:r>
          </w:p>
        </w:tc>
        <w:tc>
          <w:tcPr>
            <w:tcW w:w="788"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652"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482"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328"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66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2020</w:t>
            </w:r>
          </w:p>
        </w:tc>
        <w:tc>
          <w:tcPr>
            <w:tcW w:w="5954"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Двата кралски декрет-закона уреждат дистанционната работа в частния сектор и в публичната администрация. Целите на законите са: i) да осигури регулаторна рамка (РРСР 28/2020), която благоприятства въвеждането на дистанционна работа, като същевременно се запази производителността на предприятията и се предоставят защита и гъвкавост на работниците; и ii) регламентиране на дистанционната работа във всички публични администрации (RDL 29/2020) като нов начин за организиране и структуриране на работата с цел по-добро обслужване на общите интереси и гарантиране на нормалното функциониране на публичните администрации.</w:t>
            </w:r>
          </w:p>
        </w:tc>
      </w:tr>
      <w:tr>
        <w:trPr>
          <w:trHeight w:val="309"/>
        </w:trPr>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330</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C23.R2</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2540"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Влизане в сила на два подзаконови акта относно равното заплащане на жените и мъжете и относно плановете за равенство и тяхната регистрация</w:t>
            </w:r>
          </w:p>
        </w:tc>
        <w:tc>
          <w:tcPr>
            <w:tcW w:w="13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Разпоредби в подзаконовите нормативни актове относно влизането в сила</w:t>
            </w:r>
          </w:p>
        </w:tc>
        <w:tc>
          <w:tcPr>
            <w:tcW w:w="788"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652"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482"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328"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T2</w:t>
            </w:r>
          </w:p>
        </w:tc>
        <w:tc>
          <w:tcPr>
            <w:tcW w:w="66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2021</w:t>
            </w:r>
          </w:p>
        </w:tc>
        <w:tc>
          <w:tcPr>
            <w:tcW w:w="5954"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Двата подзаконови акта се прилагат за равното заплащане на жените и мъжете и за плановете за равенство и тяхната регистрация. Целите на регламента са следните: i) да се гарантира принципът на прозрачност на заплащането, за да се установи дискриминация, дължаща се на неправилни оценки на работата; и ii) разработване на планове за равенство и гарантиране на тяхната регистрация в публичен регистър.</w:t>
            </w:r>
          </w:p>
        </w:tc>
      </w:tr>
      <w:tr>
        <w:trPr>
          <w:trHeight w:val="309"/>
        </w:trPr>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331</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C23.R3</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2540"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Влизане в сила на кралски декрет-закон за защита на работниците, които извършват дейности по разпространение към трети лица с помощта на технологични средства</w:t>
            </w:r>
          </w:p>
        </w:tc>
        <w:tc>
          <w:tcPr>
            <w:tcW w:w="13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Разпоредби на кралския декрет-закон за влизането в сила</w:t>
            </w:r>
          </w:p>
        </w:tc>
        <w:tc>
          <w:tcPr>
            <w:tcW w:w="788"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652"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482"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328"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T3</w:t>
            </w:r>
          </w:p>
        </w:tc>
        <w:tc>
          <w:tcPr>
            <w:tcW w:w="66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2021 г.</w:t>
            </w:r>
          </w:p>
        </w:tc>
        <w:tc>
          <w:tcPr>
            <w:tcW w:w="5954"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Кралският декрет-закон се отнася до защитата на работниците, които извършват дейности по разпространение към трети лица с помощта на технологични средства. Целите на закона са да се гарантира на тези хора правото на справедливо и равно третиране по отношение на условията на труд, правото на достъп до социална закрила и обучение и да се даде възможност на законното представителство на работниците да бъде информирано за правилата, съдържащи се в алгоритмите и системите за изкуствен интелект, които могат да окажат въздействие върху условията на труд на платформите, включително достъпа до и поддържането на заетост и профилирането.</w:t>
            </w:r>
          </w:p>
        </w:tc>
      </w:tr>
      <w:tr>
        <w:trPr>
          <w:trHeight w:val="309"/>
        </w:trPr>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332</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C23.R4</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2540"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Изменение на Статута на работниците с цел да се подкрепи намаляването на временната заетост чрез рационализиране на броя на видовете договори</w:t>
            </w:r>
          </w:p>
        </w:tc>
        <w:tc>
          <w:tcPr>
            <w:tcW w:w="13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Разпоредби в изменението относно влизането в сила</w:t>
            </w:r>
          </w:p>
        </w:tc>
        <w:tc>
          <w:tcPr>
            <w:tcW w:w="788"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652"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482"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328"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66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2021</w:t>
            </w:r>
          </w:p>
        </w:tc>
        <w:tc>
          <w:tcPr>
            <w:tcW w:w="5954"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Зачитане на социалния диалог и като част от цялостен подход, балансиращ необходимостта от гъвкавост и сигурност на пазара на труда, влизане в сила на изменението на разпоредбите на Законодателен декрет 2/2015 от 23 октомври за одобряване на преработения текст на Статута на работниците в подкрепа на намаляването на временната заетост чрез рационализиране на броя на видовете договори.</w:t>
            </w:r>
          </w:p>
        </w:tc>
      </w:tr>
      <w:tr>
        <w:trPr>
          <w:trHeight w:val="309"/>
        </w:trPr>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333</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C23.R5</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2540"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Влизане в сила на план за действие за борба с младежката безработица </w:t>
            </w:r>
          </w:p>
        </w:tc>
        <w:tc>
          <w:tcPr>
            <w:tcW w:w="13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Разпоредби в плана за действие относно влизането в сила</w:t>
            </w:r>
          </w:p>
        </w:tc>
        <w:tc>
          <w:tcPr>
            <w:tcW w:w="788"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652"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482"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328"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T2</w:t>
            </w:r>
          </w:p>
        </w:tc>
        <w:tc>
          <w:tcPr>
            <w:tcW w:w="66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2021</w:t>
            </w:r>
          </w:p>
        </w:tc>
        <w:tc>
          <w:tcPr>
            <w:tcW w:w="5954"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Планът за действие е насочен към справяне с младежката безработица по повод на прилагането на гаранцията на ЕС за младежта плюс. Целта на гаранцията за младежта е подобряване и задълбочаване на междуинституционалната координация, укрепване на отношенията с частния сектор и местните органи, подобряване на качеството и адекватността на обучението, търсене на нови възможности за работа в сектори с потенциал за растеж, намаляване на преждевременното напускане на училище, поддържане и подобряване на системата за оценка и мониторинг и по-нататъшно укрепване на персонализираните програми за ориентиране.</w:t>
            </w:r>
          </w:p>
        </w:tc>
      </w:tr>
      <w:tr>
        <w:trPr>
          <w:trHeight w:val="309"/>
        </w:trPr>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334</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C23.R5</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2540"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Кралски указ за нова испанска стратегия за заетостта за периода 2021—2024 г.</w:t>
            </w:r>
          </w:p>
        </w:tc>
        <w:tc>
          <w:tcPr>
            <w:tcW w:w="13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Разпоредби на кралския указ за влизане в сила</w:t>
            </w:r>
          </w:p>
        </w:tc>
        <w:tc>
          <w:tcPr>
            <w:tcW w:w="788"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652"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482"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328"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66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2021</w:t>
            </w:r>
          </w:p>
        </w:tc>
        <w:tc>
          <w:tcPr>
            <w:tcW w:w="5954" w:type="dxa"/>
            <w:shd w:val="clear" w:color="auto" w:fill="C6EFCE"/>
            <w:noWrap/>
          </w:tcPr>
          <w:p>
            <w:pPr>
              <w:spacing w:after="0" w:line="240" w:lineRule="auto"/>
              <w:rPr>
                <w:rFonts w:ascii="Times New Roman" w:hAnsi="Times New Roman"/>
                <w:noProof/>
                <w:color w:val="000000"/>
                <w:sz w:val="18"/>
                <w:szCs w:val="18"/>
              </w:rPr>
            </w:pPr>
            <w:r>
              <w:rPr>
                <w:rFonts w:ascii="Times New Roman" w:hAnsi="Times New Roman"/>
                <w:noProof/>
                <w:color w:val="000000"/>
                <w:sz w:val="18"/>
                <w:szCs w:val="18"/>
              </w:rPr>
              <w:t>Зачитане на социалния диалог и като част от всеобхватен подход, балансиращ необходимостта от гъвкавост и сигурност на пазара на труда, одобрение от Министерския съвет и влизане в сила на кралски указ за нова испанска стратегия за заетост за периода 2021—2024 г. Основните цели на новата стратегия са:</w:t>
            </w:r>
            <w:r>
              <w:rPr>
                <w:rFonts w:ascii="Times New Roman" w:hAnsi="Times New Roman"/>
                <w:noProof/>
                <w:color w:val="000000"/>
                <w:sz w:val="18"/>
                <w:szCs w:val="18"/>
              </w:rPr>
              <w:br/>
              <w:t>i) Подход, насочен към хората и към бизнеса: Активните политики по заетостта се разработват с акцент върху специфичните обстоятелства на всяко лице и предприятие.</w:t>
            </w:r>
            <w:r>
              <w:rPr>
                <w:rFonts w:ascii="Times New Roman" w:hAnsi="Times New Roman"/>
                <w:noProof/>
                <w:color w:val="000000"/>
                <w:sz w:val="18"/>
                <w:szCs w:val="18"/>
              </w:rPr>
              <w:br/>
              <w:t>ii) Съгласуваност с продуктивна трансформация: Активните политики по заетостта позволяват професионален преход, придружаващ модела на производство, към зелена и цифрова икономика.</w:t>
            </w:r>
          </w:p>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iii) Ориентиране към резултатите: Активните политики по заетостта се оценяват, наблюдават и насърчават постигането на резултати.</w:t>
            </w:r>
            <w:r>
              <w:rPr>
                <w:rFonts w:ascii="Times New Roman" w:hAnsi="Times New Roman"/>
                <w:noProof/>
                <w:color w:val="000000"/>
                <w:sz w:val="18"/>
                <w:szCs w:val="18"/>
              </w:rPr>
              <w:br/>
              <w:t>iv) Подобряване на капацитета на публичните служби по заетостта: Чрез цифровизацията и модернизацията им.</w:t>
            </w:r>
            <w:r>
              <w:rPr>
                <w:rFonts w:ascii="Times New Roman" w:hAnsi="Times New Roman"/>
                <w:noProof/>
                <w:color w:val="000000"/>
                <w:sz w:val="18"/>
                <w:szCs w:val="18"/>
              </w:rPr>
              <w:br/>
              <w:t xml:space="preserve">iv) Управление и сближаване на националната система за заетост с цел подобряване на координацията на национално и регионално равнище и заинтересованите страни, участващи в активните политики по заетостта. </w:t>
            </w:r>
          </w:p>
        </w:tc>
      </w:tr>
      <w:tr>
        <w:trPr>
          <w:trHeight w:val="309"/>
        </w:trPr>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335</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C23.R5</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2540"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Влизане в сила на изменението на Закона за заетостта (Кралски законодателен декрет 3/2015)</w:t>
            </w:r>
          </w:p>
        </w:tc>
        <w:tc>
          <w:tcPr>
            <w:tcW w:w="13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Разпоредба в изменението относно влизането в сила</w:t>
            </w:r>
          </w:p>
        </w:tc>
        <w:tc>
          <w:tcPr>
            <w:tcW w:w="788"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652"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482"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328"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66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2022</w:t>
            </w:r>
          </w:p>
        </w:tc>
        <w:tc>
          <w:tcPr>
            <w:tcW w:w="5954"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Изменението на Закона за заетостта (Кралски законодателен декрет 3/2015): </w:t>
            </w:r>
            <w:r>
              <w:rPr>
                <w:rFonts w:ascii="Times New Roman" w:hAnsi="Times New Roman"/>
                <w:noProof/>
                <w:color w:val="000000"/>
                <w:sz w:val="18"/>
                <w:szCs w:val="18"/>
                <w:lang w:val="en-US"/>
              </w:rPr>
              <w:t>i</w:t>
            </w:r>
            <w:r>
              <w:rPr>
                <w:rFonts w:ascii="Times New Roman" w:hAnsi="Times New Roman"/>
                <w:noProof/>
                <w:color w:val="000000"/>
                <w:sz w:val="18"/>
                <w:szCs w:val="18"/>
              </w:rPr>
              <w:t>) укрепване на политиката и инструментите за координация на националната система по заетостта; ii) реформиране на активните политики на пазара на труда; iii) преглед на управлението на системата; iv) укрепване на местното измерение на политиката по заетостта; и v) да отговарят на изискванията за прилагане на различните мерки, предвидени в рамките на Националния план за активни политики по заетостта.</w:t>
            </w:r>
          </w:p>
        </w:tc>
      </w:tr>
      <w:tr>
        <w:trPr>
          <w:trHeight w:val="309"/>
        </w:trPr>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336</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C23.R6</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2540"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Изменение на Статута на работниците с цел създаване на схема за адаптиране към циклични и структурни сътресения, включително система, която осигурява вътрешна гъвкавост за дружествата и стабилност за работниците</w:t>
            </w:r>
          </w:p>
        </w:tc>
        <w:tc>
          <w:tcPr>
            <w:tcW w:w="13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Разпоредби в изменението относно влизането в сила</w:t>
            </w:r>
          </w:p>
        </w:tc>
        <w:tc>
          <w:tcPr>
            <w:tcW w:w="788"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652"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482"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328"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66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2021</w:t>
            </w:r>
          </w:p>
        </w:tc>
        <w:tc>
          <w:tcPr>
            <w:tcW w:w="5954"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Зачитане на социалния диалог и като част от всеобхватен подход, балансиращ необходимостта от гъвкавост и сигурност на пазара на труда и осигуряване на фискална устойчивост в средносрочен и дългосрочен план, влизане в сила на разпоредбите на Кралски законодателен указ 2/2015 от 23 октомври за одобряване на преработения текст на Статута на работниците с цел създаване на схема за адаптиране към циклични и структурни сътресения, включително система, която осигурява вътрешна гъвкавост за дружествата и стабилност на работниците, подкрепя повишаването на квалификацията и преквалификацията на служителите в предприятията и секторите в преход и улеснява доброволната мобилност на работниците (в рамките на предприятията и в секторите в преход). </w:t>
            </w:r>
          </w:p>
        </w:tc>
      </w:tr>
      <w:tr>
        <w:trPr>
          <w:trHeight w:val="309"/>
        </w:trPr>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337</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C23.R7</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2540"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Влизане в сила на реформата на Закон № 43/2006 за опростяване и повишаване на ефективността на системата за стимулиране на набирането на персонал, като се вземат предвид препоръките, отправени от AIReF</w:t>
            </w:r>
          </w:p>
        </w:tc>
        <w:tc>
          <w:tcPr>
            <w:tcW w:w="13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Разпоредба в реформата относно влизането в сила</w:t>
            </w:r>
          </w:p>
        </w:tc>
        <w:tc>
          <w:tcPr>
            <w:tcW w:w="788"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652"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482"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328"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66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2022</w:t>
            </w:r>
          </w:p>
        </w:tc>
        <w:tc>
          <w:tcPr>
            <w:tcW w:w="5954"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Реформата на Закон № 43/2006 опростява и увеличава ефективността на системата за стимулиране на набирането на персонал, като взема предвид препоръките, отправени от испанския независим орган за фискална отговорност (AIReF) в неговия доклад за прегледа на разходите за 2019 г.: „Стимули за набиране на персонал“</w:t>
            </w:r>
          </w:p>
        </w:tc>
      </w:tr>
      <w:tr>
        <w:trPr>
          <w:trHeight w:val="309"/>
        </w:trPr>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338</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C23.R8</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2540"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Изменение на Статута на работниците с цел подобряване на правните норми, уреждащи колективното договаряне </w:t>
            </w:r>
          </w:p>
        </w:tc>
        <w:tc>
          <w:tcPr>
            <w:tcW w:w="13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Разпоредби в изменението относно влизането в сила</w:t>
            </w:r>
          </w:p>
        </w:tc>
        <w:tc>
          <w:tcPr>
            <w:tcW w:w="788"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652"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482"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328"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66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2021</w:t>
            </w:r>
          </w:p>
        </w:tc>
        <w:tc>
          <w:tcPr>
            <w:tcW w:w="5954"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Зачитане на социалния диалог и като част от цялостен подход, който балансира необходимостта от гъвкавост и сигурност на пазара на труда, влизане в сила на изменението на някои разпоредби на Кралски законодателен указ 2/2015 от 23 октомври за одобряване на преработения текст на Статута на работниците, за да се подобрят правните норми, уреждащи колективното договаряне.</w:t>
            </w:r>
          </w:p>
        </w:tc>
      </w:tr>
      <w:tr>
        <w:trPr>
          <w:trHeight w:val="309"/>
        </w:trPr>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339</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C23.R9</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2540"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Изменение на Статута на работниците с цел подобряване на правата на лицата, работещи в дружества подизпълнители</w:t>
            </w:r>
          </w:p>
        </w:tc>
        <w:tc>
          <w:tcPr>
            <w:tcW w:w="13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Разпоредби в изменението относно влизането в сила</w:t>
            </w:r>
          </w:p>
        </w:tc>
        <w:tc>
          <w:tcPr>
            <w:tcW w:w="788"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652"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482"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328"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66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2021</w:t>
            </w:r>
          </w:p>
        </w:tc>
        <w:tc>
          <w:tcPr>
            <w:tcW w:w="5954"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Зачитане на социалния диалог и като част от цялостен подход, балансиращ необходимостта от гъвкавост и сигурност на пазара на труда, влизане в сила на изменението на разпоредбите на Законодателен декрет 2/2015 от 23 октомври за одобряване на преработения текст на Статута на работниците с цел подобряване на правата на лицата, работещи в дружества подизпълнители.</w:t>
            </w:r>
          </w:p>
        </w:tc>
      </w:tr>
      <w:tr>
        <w:trPr>
          <w:trHeight w:val="309"/>
        </w:trPr>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340</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C23.R10</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2540"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Влизане в сила на изменението на Кралски указ 8/2015 за реформиране на регулирането на помощите за безработица, независещи от вноски</w:t>
            </w:r>
          </w:p>
        </w:tc>
        <w:tc>
          <w:tcPr>
            <w:tcW w:w="13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Разпоредба в изменението относно влизането в сила</w:t>
            </w:r>
          </w:p>
        </w:tc>
        <w:tc>
          <w:tcPr>
            <w:tcW w:w="788"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652"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482"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328"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66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2022</w:t>
            </w:r>
          </w:p>
        </w:tc>
        <w:tc>
          <w:tcPr>
            <w:tcW w:w="5954"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Реформата на Кралски указ 8/2015 се отнася до регулирането на помощите за безработица, независещи от вноски, включително следните цели: i) разширяване на защитата при безработица; ii) опростяване на системата; iii) да обвържат обезщетението с персонализиран маршрут на активиране; iv) да се улесни преходът към социална закрила, когато бенефициерът не се завърне на работа и се намира в уязвимо положение.</w:t>
            </w:r>
          </w:p>
        </w:tc>
      </w:tr>
      <w:tr>
        <w:trPr>
          <w:trHeight w:val="309"/>
        </w:trPr>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341</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C23.R11</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2540"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Удостоверения за завършване на услугите по договорите за модернизация на държавната публична служба по заетостта</w:t>
            </w:r>
          </w:p>
        </w:tc>
        <w:tc>
          <w:tcPr>
            <w:tcW w:w="13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Удостоверения за завършване на услугите по договорите (административни актове)</w:t>
            </w:r>
          </w:p>
        </w:tc>
        <w:tc>
          <w:tcPr>
            <w:tcW w:w="788"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652"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482"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328"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66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2023</w:t>
            </w:r>
          </w:p>
        </w:tc>
        <w:tc>
          <w:tcPr>
            <w:tcW w:w="5954"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Удостоверения за завършване на услугите по договорите (административни актове) за модернизиране на държавната публична служба по заетостта чрез подобряване на системите за вътрешно управление, модернизиране на работните места и цифровизация на Службата за подкрепа на гражданите. Тя ще включва: </w:t>
            </w:r>
            <w:r>
              <w:rPr>
                <w:rFonts w:ascii="Times New Roman" w:hAnsi="Times New Roman"/>
                <w:noProof/>
                <w:color w:val="000000"/>
                <w:sz w:val="18"/>
                <w:szCs w:val="18"/>
              </w:rPr>
              <w:br/>
              <w:t xml:space="preserve">- Подобряване на вътрешното управление: Подобряване на информационните системи в подкрепа на системата за обезщетения при безработица, както и на тези, които подкрепят политиките за заетост. </w:t>
            </w:r>
            <w:r>
              <w:rPr>
                <w:rFonts w:ascii="Times New Roman" w:hAnsi="Times New Roman"/>
                <w:noProof/>
                <w:color w:val="000000"/>
                <w:sz w:val="18"/>
                <w:szCs w:val="18"/>
              </w:rPr>
              <w:br/>
              <w:t>- Цифровизирани услуги във връзка със заетостта: Цифровизация на обществените услуги, предоставяни на гражданите и дружествата, и подобряване на обслужването на клиентите.</w:t>
            </w:r>
            <w:r>
              <w:rPr>
                <w:rFonts w:ascii="Times New Roman" w:hAnsi="Times New Roman"/>
                <w:noProof/>
                <w:color w:val="000000"/>
                <w:sz w:val="18"/>
                <w:szCs w:val="18"/>
              </w:rPr>
              <w:br/>
              <w:t>- Статистика и управление на данните: Включване на подходящо управление на данните, което насърчава вземането на решения, както и публикуването на информация с висока стойност за обществото.</w:t>
            </w:r>
            <w:r>
              <w:rPr>
                <w:rFonts w:ascii="Times New Roman" w:hAnsi="Times New Roman"/>
                <w:noProof/>
                <w:color w:val="000000"/>
                <w:sz w:val="18"/>
                <w:szCs w:val="18"/>
              </w:rPr>
              <w:br/>
              <w:t>- Модернизиране на работните места и инфраструктурата.</w:t>
            </w:r>
          </w:p>
        </w:tc>
      </w:tr>
      <w:tr>
        <w:trPr>
          <w:trHeight w:val="309"/>
        </w:trPr>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342</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C23.I1</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w:t>
            </w:r>
          </w:p>
        </w:tc>
        <w:tc>
          <w:tcPr>
            <w:tcW w:w="2540"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Хора, завършили младежките програми. </w:t>
            </w:r>
          </w:p>
        </w:tc>
        <w:tc>
          <w:tcPr>
            <w:tcW w:w="13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w:t>
            </w:r>
          </w:p>
        </w:tc>
        <w:tc>
          <w:tcPr>
            <w:tcW w:w="788"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Номер</w:t>
            </w:r>
          </w:p>
        </w:tc>
        <w:tc>
          <w:tcPr>
            <w:tcW w:w="652"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0</w:t>
            </w:r>
          </w:p>
        </w:tc>
        <w:tc>
          <w:tcPr>
            <w:tcW w:w="482"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18 300</w:t>
            </w:r>
          </w:p>
        </w:tc>
        <w:tc>
          <w:tcPr>
            <w:tcW w:w="328"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66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2025</w:t>
            </w:r>
          </w:p>
        </w:tc>
        <w:tc>
          <w:tcPr>
            <w:tcW w:w="5954"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Най-малко 18 300 души са завършили младежките програми, като се има предвид, че са записани 21 900 души.</w:t>
            </w:r>
            <w:r>
              <w:rPr>
                <w:rFonts w:ascii="Times New Roman" w:hAnsi="Times New Roman"/>
                <w:noProof/>
                <w:color w:val="000000"/>
                <w:sz w:val="18"/>
                <w:szCs w:val="18"/>
              </w:rPr>
              <w:br/>
              <w:t xml:space="preserve">Тази цел се основава на три програми: </w:t>
            </w:r>
            <w:r>
              <w:rPr>
                <w:rFonts w:ascii="Times New Roman" w:hAnsi="Times New Roman"/>
                <w:noProof/>
                <w:color w:val="000000"/>
                <w:sz w:val="18"/>
                <w:szCs w:val="18"/>
              </w:rPr>
              <w:br/>
              <w:t>• Програма Tandem. Цел: постигане на професионална компетентност чрез обучение при редуване със заетост, като най-малко 25 % от програмата са насочени към умения, свързани с климата, а 25 % от програмата са съсредоточени върху умения, свързани с цифровите технологии.</w:t>
            </w:r>
            <w:r>
              <w:rPr>
                <w:rFonts w:ascii="Times New Roman" w:hAnsi="Times New Roman"/>
                <w:noProof/>
                <w:color w:val="000000"/>
                <w:sz w:val="18"/>
                <w:szCs w:val="18"/>
              </w:rPr>
              <w:br/>
              <w:t>• Програма „Пръв опит“ Цел: улесняване на първия професионален опит, свързан с квалификация, като най-малко 20 % от програмата са насочени към умения, свързани с климата, а 20 % от програмата са съсредоточени върху умения, свързани с цифровите технологии.</w:t>
            </w:r>
            <w:r>
              <w:rPr>
                <w:rFonts w:ascii="Times New Roman" w:hAnsi="Times New Roman"/>
                <w:noProof/>
                <w:color w:val="000000"/>
                <w:sz w:val="18"/>
                <w:szCs w:val="18"/>
              </w:rPr>
              <w:br/>
              <w:t xml:space="preserve">• Програма </w:t>
            </w:r>
            <w:r>
              <w:rPr>
                <w:rFonts w:ascii="Times New Roman" w:hAnsi="Times New Roman"/>
                <w:i/>
                <w:noProof/>
                <w:color w:val="000000"/>
                <w:sz w:val="18"/>
                <w:szCs w:val="18"/>
              </w:rPr>
              <w:t>„Investigo“</w:t>
            </w:r>
            <w:r>
              <w:rPr>
                <w:rFonts w:ascii="Times New Roman" w:hAnsi="Times New Roman"/>
                <w:noProof/>
                <w:color w:val="000000"/>
                <w:sz w:val="18"/>
                <w:szCs w:val="18"/>
              </w:rPr>
              <w:t xml:space="preserve">. Цел: предоставяне на работа, свързана с разработването на научноизследователски проект. </w:t>
            </w:r>
          </w:p>
        </w:tc>
      </w:tr>
      <w:tr>
        <w:trPr>
          <w:trHeight w:val="309"/>
        </w:trPr>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343</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C23.I2</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w:t>
            </w:r>
          </w:p>
        </w:tc>
        <w:tc>
          <w:tcPr>
            <w:tcW w:w="2540"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Хора, преминали през програмата </w:t>
            </w:r>
            <w:r>
              <w:rPr>
                <w:rFonts w:ascii="Times New Roman" w:hAnsi="Times New Roman"/>
                <w:i/>
                <w:noProof/>
                <w:color w:val="000000"/>
                <w:sz w:val="18"/>
                <w:szCs w:val="18"/>
              </w:rPr>
              <w:t>„Plan Empleo Mujer, селски и градски райони</w:t>
            </w:r>
            <w:r>
              <w:rPr>
                <w:rFonts w:ascii="Times New Roman" w:hAnsi="Times New Roman"/>
                <w:noProof/>
                <w:color w:val="000000"/>
                <w:sz w:val="18"/>
                <w:szCs w:val="18"/>
              </w:rPr>
              <w:t>„ и „Жертви на насилие, основано на пола, и трафик на хора“</w:t>
            </w:r>
          </w:p>
        </w:tc>
        <w:tc>
          <w:tcPr>
            <w:tcW w:w="13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w:t>
            </w:r>
          </w:p>
        </w:tc>
        <w:tc>
          <w:tcPr>
            <w:tcW w:w="788"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Номер</w:t>
            </w:r>
          </w:p>
        </w:tc>
        <w:tc>
          <w:tcPr>
            <w:tcW w:w="652"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0</w:t>
            </w:r>
          </w:p>
        </w:tc>
        <w:tc>
          <w:tcPr>
            <w:tcW w:w="482"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23 200</w:t>
            </w:r>
          </w:p>
        </w:tc>
        <w:tc>
          <w:tcPr>
            <w:tcW w:w="328"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664"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2025</w:t>
            </w:r>
          </w:p>
        </w:tc>
        <w:tc>
          <w:tcPr>
            <w:tcW w:w="5954"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Най-малко 23 200 души са завършили програмата </w:t>
            </w:r>
            <w:r>
              <w:rPr>
                <w:rFonts w:ascii="Times New Roman" w:hAnsi="Times New Roman"/>
                <w:i/>
                <w:noProof/>
                <w:color w:val="000000"/>
                <w:sz w:val="18"/>
                <w:szCs w:val="18"/>
              </w:rPr>
              <w:t>„Plan Empleo Mujer, селски и градски райони„</w:t>
            </w:r>
            <w:r>
              <w:rPr>
                <w:rFonts w:ascii="Times New Roman" w:hAnsi="Times New Roman"/>
                <w:noProof/>
                <w:color w:val="000000"/>
                <w:sz w:val="18"/>
                <w:szCs w:val="18"/>
              </w:rPr>
              <w:t xml:space="preserve"> и „Жертви на насилие, основано на пола, и трафик на хора“, като са взели участие 29 000 души. Тази програма включва личен и интегриран маршрут за ориентиране, консултиране и обучение, съобразен с профила на пригодността за заетост на участващите жени. Предоставеното обучение е свързано с работни места с добри териториални перспективи, произтичащи от нуждите на пазара на труда в селските и градските райони, на който е разработена програмата, и е насочено към придобиването на квалификация, която увеличава пригодността за заетост на участниците и възможностите им за достъп до достойни условия на труд, като същевременно се укрепва продуктивното развитие на селските райони, се води борба с неравнопоставеността между половете и се увеличава трайният характер на жените на територията. Като най-малко 35 % от програмата са насочени към умения, свързани с климата, а 35 % от програмата са съсредоточени върху умения, свързани с цифровите технологии.</w:t>
            </w:r>
          </w:p>
        </w:tc>
      </w:tr>
      <w:tr>
        <w:trPr>
          <w:trHeight w:val="309"/>
        </w:trPr>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344</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C23.I3</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w:t>
            </w:r>
          </w:p>
        </w:tc>
        <w:tc>
          <w:tcPr>
            <w:tcW w:w="2540"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Хора, завършили програми за обучение с цел придобиване на умения за цифровата, екологичната и производствената трансформация</w:t>
            </w:r>
          </w:p>
        </w:tc>
        <w:tc>
          <w:tcPr>
            <w:tcW w:w="13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w:t>
            </w:r>
          </w:p>
        </w:tc>
        <w:tc>
          <w:tcPr>
            <w:tcW w:w="788"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Номер</w:t>
            </w:r>
          </w:p>
        </w:tc>
        <w:tc>
          <w:tcPr>
            <w:tcW w:w="652"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0</w:t>
            </w:r>
          </w:p>
        </w:tc>
        <w:tc>
          <w:tcPr>
            <w:tcW w:w="482"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825 000</w:t>
            </w:r>
          </w:p>
        </w:tc>
        <w:tc>
          <w:tcPr>
            <w:tcW w:w="328"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664"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2025</w:t>
            </w:r>
          </w:p>
        </w:tc>
        <w:tc>
          <w:tcPr>
            <w:tcW w:w="5954"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Най-малко 825 000 души са завършили програми за обучение с цел придобиване на умения за цифровата, екологичната и производствената трансформация, като се има предвид, че са записани 975 000 души. Обучението се съсредоточава върху туристическия сектор, върху други стратегически сектори от национален интерес, върху работниците, които подлежат нa ERTE, и върху работниците, които се възползват от обучение по микрокредити. Като най-малко 30 % от програмата са насочени към умения, свързани с климата, а 30 % от програмата са съсредоточени върху умения, свързани с цифровите технологии. </w:t>
            </w:r>
          </w:p>
        </w:tc>
      </w:tr>
      <w:tr>
        <w:trPr>
          <w:trHeight w:val="309"/>
        </w:trPr>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345</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C23.I4</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2540"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Одобряване на регионалното разпределение на средства за териториални проекти за уязвими групи, предприемачество и микропредприятия. </w:t>
            </w:r>
          </w:p>
        </w:tc>
        <w:tc>
          <w:tcPr>
            <w:tcW w:w="13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Референтен протокол от секторната конференция по заетостта </w:t>
            </w:r>
          </w:p>
        </w:tc>
        <w:tc>
          <w:tcPr>
            <w:tcW w:w="788"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652"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482"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328"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T3</w:t>
            </w:r>
          </w:p>
        </w:tc>
        <w:tc>
          <w:tcPr>
            <w:tcW w:w="664"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2021 г.</w:t>
            </w:r>
          </w:p>
        </w:tc>
        <w:tc>
          <w:tcPr>
            <w:tcW w:w="5954"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Одобряване на секторната конференция по заетостта на регионалното разпределение на средства за териториални проекти за уязвими групи и териториални проекти за предприемачество и микропредприятия, като например разработването на проекти за насърчаване на предприемачеството, инициативи за местно развитие, инициативи за социална икономика и нови териториални проекти, улесняващи преобразуването на производството, по-специално към екологична и цифрова икономика. </w:t>
            </w:r>
          </w:p>
        </w:tc>
      </w:tr>
      <w:tr>
        <w:trPr>
          <w:trHeight w:val="309"/>
        </w:trPr>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346</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C23.I4</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w:t>
            </w:r>
          </w:p>
        </w:tc>
        <w:tc>
          <w:tcPr>
            <w:tcW w:w="2540"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Приключени са териториални проекти за уязвими групи, предприемачество и микропредприятия, включващи най-малко 39 000 работници и 64 000 предприятия.</w:t>
            </w:r>
          </w:p>
        </w:tc>
        <w:tc>
          <w:tcPr>
            <w:tcW w:w="13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w:t>
            </w:r>
          </w:p>
        </w:tc>
        <w:tc>
          <w:tcPr>
            <w:tcW w:w="788"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Номер</w:t>
            </w:r>
          </w:p>
        </w:tc>
        <w:tc>
          <w:tcPr>
            <w:tcW w:w="652"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0</w:t>
            </w:r>
          </w:p>
        </w:tc>
        <w:tc>
          <w:tcPr>
            <w:tcW w:w="482"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68</w:t>
            </w:r>
          </w:p>
        </w:tc>
        <w:tc>
          <w:tcPr>
            <w:tcW w:w="328"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664"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2023</w:t>
            </w:r>
          </w:p>
        </w:tc>
        <w:tc>
          <w:tcPr>
            <w:tcW w:w="5954"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Завършени са най-малко 68 териториални проекта за уязвими групи и териториални проекти за предприемачество и микропредприятия, включващи около 39 000 работници и 64 000 предприятия, насочени към уязвимите групи. </w:t>
            </w:r>
            <w:r>
              <w:rPr>
                <w:rFonts w:ascii="Times New Roman" w:hAnsi="Times New Roman"/>
                <w:noProof/>
                <w:color w:val="000000"/>
                <w:sz w:val="18"/>
                <w:szCs w:val="18"/>
              </w:rPr>
              <w:br/>
              <w:t>Териториалните проекти за уязвимите групи се разработват чрез персонализирани и индивидуализирани маршрути, в които се интегрират различни действия, като например:  Програми за ориентиране и придружаване, програми за ориентиране, грижи от екипи за търсене на работа, стипендии за обучение и помирение, помощ за наемане и мониторинг на действия.</w:t>
            </w:r>
            <w:r>
              <w:rPr>
                <w:rFonts w:ascii="Times New Roman" w:hAnsi="Times New Roman"/>
                <w:noProof/>
                <w:color w:val="000000"/>
                <w:sz w:val="18"/>
                <w:szCs w:val="18"/>
              </w:rPr>
              <w:br/>
              <w:t>Проектите за предприемачество и микропредприятията са насочени към демографското предизвикателство и улесняват продуктивната трансформация, по-специално към екологична и цифрова икономика, чрез проекти за земеделско обучение, устойчиво местно развитие, инициативи на социалната икономика за културни и художествени действия, екологичен преход, инициативи за местно развитие, селски туризъм и художествено наследство, наред с другото. Тези проекти включват, наред с други действия:  социално предприемачество и лица на свободна практика, проучване на пазара на труда, местни агенти за насърчаване и развитие, помощ за създаването на кооперации или микропредприятия, създаване на мрежи, участие в конференции, дейности за разпространение. Тези проекти включват, наред с други действия: социалното предприемачество и работещите на свободна практика, проучване на пазара на труда, местни агенти за насърчаване и развитие, помощ за създаването на кооперации или микропредприятия, създаване на мрежи, участие в конференции и дейности за разпространение.</w:t>
            </w:r>
          </w:p>
        </w:tc>
      </w:tr>
      <w:tr>
        <w:trPr>
          <w:trHeight w:val="309"/>
        </w:trPr>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347</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C23.I5</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w:t>
            </w:r>
          </w:p>
        </w:tc>
        <w:tc>
          <w:tcPr>
            <w:tcW w:w="2540"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Обществените центрове за ориентиране, предприемачество, подкрепа и иновации за нови работни места са напълно функциониращи.</w:t>
            </w:r>
          </w:p>
        </w:tc>
        <w:tc>
          <w:tcPr>
            <w:tcW w:w="13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w:t>
            </w:r>
          </w:p>
        </w:tc>
        <w:tc>
          <w:tcPr>
            <w:tcW w:w="788"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Номер</w:t>
            </w:r>
          </w:p>
        </w:tc>
        <w:tc>
          <w:tcPr>
            <w:tcW w:w="652"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0</w:t>
            </w:r>
          </w:p>
        </w:tc>
        <w:tc>
          <w:tcPr>
            <w:tcW w:w="482"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w:t>
            </w:r>
          </w:p>
        </w:tc>
        <w:tc>
          <w:tcPr>
            <w:tcW w:w="328"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66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2023</w:t>
            </w:r>
          </w:p>
        </w:tc>
        <w:tc>
          <w:tcPr>
            <w:tcW w:w="5954"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Най-малко 20 обществени центъра за ориентиране, предприемачество, подкрепа и иновации за нови работни места са напълно функциониращи.</w:t>
            </w:r>
          </w:p>
        </w:tc>
      </w:tr>
      <w:tr>
        <w:trPr>
          <w:trHeight w:val="309"/>
        </w:trPr>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348</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C23.I5</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w:t>
            </w:r>
          </w:p>
        </w:tc>
        <w:tc>
          <w:tcPr>
            <w:tcW w:w="2540"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Дейности по обучение на персонала на ПСЗ</w:t>
            </w:r>
          </w:p>
        </w:tc>
        <w:tc>
          <w:tcPr>
            <w:tcW w:w="13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 </w:t>
            </w:r>
          </w:p>
        </w:tc>
        <w:tc>
          <w:tcPr>
            <w:tcW w:w="788"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Номер</w:t>
            </w:r>
          </w:p>
        </w:tc>
        <w:tc>
          <w:tcPr>
            <w:tcW w:w="652"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0</w:t>
            </w:r>
          </w:p>
        </w:tc>
        <w:tc>
          <w:tcPr>
            <w:tcW w:w="482"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42 000</w:t>
            </w:r>
          </w:p>
        </w:tc>
        <w:tc>
          <w:tcPr>
            <w:tcW w:w="328"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66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2023</w:t>
            </w:r>
          </w:p>
        </w:tc>
        <w:tc>
          <w:tcPr>
            <w:tcW w:w="5954"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Бяха завършени най-малко 42 000 действия за обучение на персонала на ПСЗ с цел подобряване на техните умения и предоставяне на по-ефективна подкрепа на търсещите работа лица.</w:t>
            </w:r>
          </w:p>
        </w:tc>
      </w:tr>
      <w:tr>
        <w:trPr>
          <w:trHeight w:val="309"/>
        </w:trPr>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349</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C23.I6</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w:t>
            </w:r>
          </w:p>
        </w:tc>
        <w:tc>
          <w:tcPr>
            <w:tcW w:w="2540"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Приключени проекти в областта на социалната икономика</w:t>
            </w:r>
          </w:p>
        </w:tc>
        <w:tc>
          <w:tcPr>
            <w:tcW w:w="13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w:t>
            </w:r>
          </w:p>
        </w:tc>
        <w:tc>
          <w:tcPr>
            <w:tcW w:w="788"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Номер</w:t>
            </w:r>
          </w:p>
        </w:tc>
        <w:tc>
          <w:tcPr>
            <w:tcW w:w="652"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0</w:t>
            </w:r>
          </w:p>
        </w:tc>
        <w:tc>
          <w:tcPr>
            <w:tcW w:w="482"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30</w:t>
            </w:r>
          </w:p>
        </w:tc>
        <w:tc>
          <w:tcPr>
            <w:tcW w:w="328"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66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2023</w:t>
            </w:r>
          </w:p>
        </w:tc>
        <w:tc>
          <w:tcPr>
            <w:tcW w:w="5954"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Завършени са най-малко 30 проекта в областта на социалната икономика в подкрепа на: създаването и поддържането на заетост на жизнеспособни предприятия в затруднено положение или без приемственост между поколенията чрез преобразуването им във форми на стопанска дейност на социалната икономика (кооперации и трудови дружества), управлявани от техните работници мъже и жени; б) създаване и консолидиране на иновативни структури на социалната икономика с въздействие върху приемствеността между поколенията и младежкото предприемачество; цифровизацията на предприятията от социалната икономика чрез създаването на цифрови платформи, насочени към подобряване на благосъстоянието на гражданите в селските райони; г) изграждане на мрежи от кооперации, трудови дружества и други форми на социална икономика, придружени от мерки за изграждане на капацитет и обучение с цел предоставяне на нови всеобхватни услуги на обществото; и д) насърчаване на устойчиви и приобщаващи преходи на уязвими дружества и групи.</w:t>
            </w:r>
          </w:p>
        </w:tc>
      </w:tr>
      <w:tr>
        <w:trPr>
          <w:trHeight w:val="309"/>
        </w:trPr>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350</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C23.I7</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2540"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Подобряване на степента на усвояване на минималния доход („IMV“) и повишаване на неговата ефективност чрез политики за приобщаване</w:t>
            </w:r>
          </w:p>
        </w:tc>
        <w:tc>
          <w:tcPr>
            <w:tcW w:w="13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Публикуване на споразумението за партньорство (</w:t>
            </w:r>
            <w:r>
              <w:rPr>
                <w:rFonts w:ascii="Times New Roman" w:hAnsi="Times New Roman"/>
                <w:i/>
                <w:noProof/>
                <w:color w:val="000000"/>
                <w:sz w:val="18"/>
                <w:szCs w:val="18"/>
              </w:rPr>
              <w:t>"Convenio"</w:t>
            </w:r>
            <w:r>
              <w:rPr>
                <w:rFonts w:ascii="Times New Roman" w:hAnsi="Times New Roman"/>
                <w:noProof/>
                <w:color w:val="000000"/>
                <w:sz w:val="18"/>
                <w:szCs w:val="18"/>
              </w:rPr>
              <w:t>)</w:t>
            </w:r>
          </w:p>
        </w:tc>
        <w:tc>
          <w:tcPr>
            <w:tcW w:w="788"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652"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482"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328"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T1</w:t>
            </w:r>
          </w:p>
        </w:tc>
        <w:tc>
          <w:tcPr>
            <w:tcW w:w="66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2022</w:t>
            </w:r>
          </w:p>
        </w:tc>
        <w:tc>
          <w:tcPr>
            <w:tcW w:w="5954"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Подкрепа за социално-икономическото приобщаване на бенефициерите на </w:t>
            </w:r>
            <w:r>
              <w:rPr>
                <w:rFonts w:ascii="Times New Roman" w:hAnsi="Times New Roman"/>
                <w:noProof/>
                <w:color w:val="000000"/>
                <w:sz w:val="18"/>
                <w:szCs w:val="18"/>
                <w:lang w:val="en-US"/>
              </w:rPr>
              <w:t>IMV</w:t>
            </w:r>
            <w:r>
              <w:rPr>
                <w:rFonts w:ascii="Times New Roman" w:hAnsi="Times New Roman"/>
                <w:noProof/>
                <w:color w:val="000000"/>
                <w:sz w:val="18"/>
                <w:szCs w:val="18"/>
              </w:rPr>
              <w:t xml:space="preserve"> чрез пътища: осем споразумения за партньорство, подписани с поднационални публични администрации, социални партньори и организации за социални действия от третия сектор за осъществяване на пътищата. Тези споразумения за партньорство имат за цел: i) подобряване на степента на използване на </w:t>
            </w:r>
            <w:r>
              <w:rPr>
                <w:rFonts w:ascii="Times New Roman" w:hAnsi="Times New Roman"/>
                <w:noProof/>
                <w:color w:val="000000"/>
                <w:sz w:val="18"/>
                <w:szCs w:val="18"/>
                <w:lang w:val="en-US"/>
              </w:rPr>
              <w:t>IMV</w:t>
            </w:r>
            <w:r>
              <w:rPr>
                <w:rFonts w:ascii="Times New Roman" w:hAnsi="Times New Roman"/>
                <w:noProof/>
                <w:color w:val="000000"/>
                <w:sz w:val="18"/>
                <w:szCs w:val="18"/>
              </w:rPr>
              <w:t xml:space="preserve">; ii) повишаване на ефективността на </w:t>
            </w:r>
            <w:r>
              <w:rPr>
                <w:rFonts w:ascii="Times New Roman" w:hAnsi="Times New Roman"/>
                <w:noProof/>
                <w:color w:val="000000"/>
                <w:sz w:val="18"/>
                <w:szCs w:val="18"/>
                <w:lang w:val="en-US"/>
              </w:rPr>
              <w:t>IMV</w:t>
            </w:r>
            <w:r>
              <w:rPr>
                <w:rFonts w:ascii="Times New Roman" w:hAnsi="Times New Roman"/>
                <w:noProof/>
                <w:color w:val="000000"/>
                <w:sz w:val="18"/>
                <w:szCs w:val="18"/>
              </w:rPr>
              <w:t xml:space="preserve"> чрез политики за приобщаване.</w:t>
            </w:r>
          </w:p>
        </w:tc>
      </w:tr>
      <w:tr>
        <w:trPr>
          <w:trHeight w:val="309"/>
        </w:trPr>
        <w:tc>
          <w:tcPr>
            <w:tcW w:w="851"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351</w:t>
            </w:r>
          </w:p>
        </w:tc>
        <w:tc>
          <w:tcPr>
            <w:tcW w:w="851"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C23.I7</w:t>
            </w:r>
          </w:p>
        </w:tc>
        <w:tc>
          <w:tcPr>
            <w:tcW w:w="850"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M</w:t>
            </w:r>
          </w:p>
        </w:tc>
        <w:tc>
          <w:tcPr>
            <w:tcW w:w="2540"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szCs w:val="18"/>
              </w:rPr>
              <w:t>Оценка на обхвата, ефективността и успеха на схемите за минимален доход</w:t>
            </w:r>
          </w:p>
        </w:tc>
        <w:tc>
          <w:tcPr>
            <w:tcW w:w="1350"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Публикуване на оценката</w:t>
            </w:r>
          </w:p>
        </w:tc>
        <w:tc>
          <w:tcPr>
            <w:tcW w:w="788"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 xml:space="preserve"> </w:t>
            </w:r>
          </w:p>
        </w:tc>
        <w:tc>
          <w:tcPr>
            <w:tcW w:w="652"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 xml:space="preserve"> </w:t>
            </w:r>
          </w:p>
        </w:tc>
        <w:tc>
          <w:tcPr>
            <w:tcW w:w="482"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 </w:t>
            </w:r>
          </w:p>
        </w:tc>
        <w:tc>
          <w:tcPr>
            <w:tcW w:w="328"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T1</w:t>
            </w:r>
          </w:p>
        </w:tc>
        <w:tc>
          <w:tcPr>
            <w:tcW w:w="664"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2024</w:t>
            </w:r>
          </w:p>
        </w:tc>
        <w:tc>
          <w:tcPr>
            <w:tcW w:w="5954"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szCs w:val="18"/>
              </w:rPr>
              <w:t>След приключването на най-малко 18 пилотни проекта – публикуване на оценка на обхвата, ефективността и успеха на схемите за минимален доход, включително конкретни препоръки за увеличаване на коефициента на усвояване и подобряване на ефективността на политиките за социално приобщаване.</w:t>
            </w:r>
          </w:p>
        </w:tc>
      </w:tr>
    </w:tbl>
    <w:p>
      <w:pPr>
        <w:spacing w:before="120" w:after="120" w:line="240" w:lineRule="auto"/>
        <w:ind w:left="709"/>
        <w:jc w:val="both"/>
        <w:rPr>
          <w:rFonts w:ascii="Times New Roman" w:hAnsi="Times New Roman" w:cs="Times New Roman"/>
          <w:noProof/>
          <w:sz w:val="24"/>
          <w:szCs w:val="24"/>
        </w:rPr>
        <w:sectPr>
          <w:headerReference w:type="even" r:id="rId289"/>
          <w:headerReference w:type="default" r:id="rId290"/>
          <w:footerReference w:type="even" r:id="rId291"/>
          <w:footerReference w:type="default" r:id="rId292"/>
          <w:headerReference w:type="first" r:id="rId293"/>
          <w:footerReference w:type="first" r:id="rId294"/>
          <w:pgSz w:w="16839" w:h="11907" w:orient="landscape"/>
          <w:pgMar w:top="1417" w:right="1134" w:bottom="1417" w:left="1134" w:header="709" w:footer="709" w:gutter="0"/>
          <w:cols w:space="720"/>
          <w:docGrid w:linePitch="360"/>
        </w:sectPr>
      </w:pPr>
    </w:p>
    <w:p>
      <w:pPr>
        <w:pStyle w:val="Heading1"/>
        <w:rPr>
          <w:noProof/>
        </w:rPr>
      </w:pPr>
      <w:r>
        <w:rPr>
          <w:noProof/>
        </w:rPr>
        <w:t>Ч. КОМПОНЕНТ 24: Културни индустрии</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Културната индустрия играе важна роля в испанската икономика, като представлява 3,2 % от БВП на страната, както и 3,6 % от общата заетост на страната преди пандемията от COVID-19. Освен това то има незаменима стойност за обществото, както се вижда от високото равнище на културно участие на испанското население преди пандемията. Въпреки това промишлеността страда от редица структурни характеристики, които са ѝ попречили да реализира пълния си потенциал и са я направили особено уязвима по време на криза.  </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В този контекст компонент 24 от испанския план за възстановяване и устойчивост включва реформи и инвестиции, насочени към реформиране на работната рамка на хората на изкуството и към укрепване и модернизиране на културната бизнес структура. </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Компонентът е насочен към специфичните за всяка държава препоръки за насърчаване на инвестициите за поддържане на икономиката и подпомагане на възстановяването след пандемията от COVID-19 (специфична препоръка 1 2020 г. за всяка държава) и за подкрепа на заетостта, укрепване на защитата при безработица и подобряване на достъпа до цифрово обучение (специфична за всяка държава препоръка 2 2020 г.). </w:t>
      </w:r>
    </w:p>
    <w:p>
      <w:pPr>
        <w:spacing w:before="120" w:after="120" w:line="240" w:lineRule="auto"/>
        <w:jc w:val="both"/>
        <w:rPr>
          <w:rFonts w:ascii="Times New Roman" w:hAnsi="Times New Roman" w:cs="Times New Roman"/>
          <w:noProof/>
          <w:sz w:val="24"/>
        </w:rPr>
      </w:pPr>
      <w:r>
        <w:rPr>
          <w:rFonts w:ascii="Times New Roman" w:hAnsi="Times New Roman"/>
          <w:noProof/>
          <w:color w:val="000000" w:themeColor="text1"/>
          <w:sz w:val="24"/>
          <w:szCs w:val="24"/>
        </w:rPr>
        <w:t>Очаква се, че нито една мярка в този компонент не вреди в значителна степен на екологичните цели по смисъла на член 17 от Регламент (ЕС) 2020/852, като се вземат предвид описанието на мерките и стъпките за смекчаване на последиците, определени в плана за възстановяване и устойчивост в съответствие с Техническите насоки за спазването на „принципа за ненанасяне на съществена вреда“ (2021/C58/01).</w:t>
      </w:r>
    </w:p>
    <w:p>
      <w:pPr>
        <w:spacing w:before="120" w:after="120" w:line="240" w:lineRule="auto"/>
        <w:jc w:val="both"/>
        <w:rPr>
          <w:rFonts w:ascii="Times New Roman" w:hAnsi="Times New Roman" w:cs="Times New Roman"/>
          <w:b/>
          <w:i/>
          <w:noProof/>
          <w:color w:val="4F81BD" w:themeColor="accent1"/>
          <w:sz w:val="24"/>
        </w:rPr>
      </w:pPr>
      <w:r>
        <w:rPr>
          <w:rFonts w:ascii="Times New Roman" w:hAnsi="Times New Roman"/>
          <w:b/>
          <w:bCs/>
          <w:noProof/>
          <w:sz w:val="24"/>
          <w:u w:val="single"/>
        </w:rPr>
        <w:t xml:space="preserve">Ч.1. </w:t>
      </w:r>
      <w:r>
        <w:rPr>
          <w:rFonts w:ascii="Times New Roman" w:hAnsi="Times New Roman"/>
          <w:b/>
          <w:noProof/>
          <w:sz w:val="24"/>
          <w:u w:val="single"/>
        </w:rPr>
        <w:tab/>
      </w:r>
      <w:r>
        <w:rPr>
          <w:rFonts w:ascii="Times New Roman" w:hAnsi="Times New Roman"/>
          <w:b/>
          <w:bCs/>
          <w:noProof/>
          <w:sz w:val="24"/>
          <w:u w:val="single"/>
        </w:rPr>
        <w:t>Описание на реформите и инвестициите за безвъзмездна финансова подкрепа</w:t>
      </w:r>
    </w:p>
    <w:p>
      <w:pPr>
        <w:spacing w:before="120" w:after="120" w:line="240" w:lineRule="auto"/>
        <w:jc w:val="both"/>
        <w:rPr>
          <w:rFonts w:ascii="Times New Roman" w:hAnsi="Times New Roman" w:cs="Times New Roman"/>
          <w:noProof/>
          <w:sz w:val="24"/>
          <w:u w:val="single"/>
        </w:rPr>
      </w:pPr>
      <w:r>
        <w:rPr>
          <w:rFonts w:ascii="Times New Roman" w:hAnsi="Times New Roman"/>
          <w:noProof/>
          <w:sz w:val="24"/>
          <w:u w:val="single"/>
        </w:rPr>
        <w:t>Реформа 1 (C24.R1) – Развитие на статута на художника и насърчаване на инвестициите, културното спонсорство и участието</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Целта на тази реформа е да се отговори на предизвикателството, произтичащо от факта, че съществуващите трудови и данъчни разпоредби не отчитат особеностите на културния сектор (като например нередовните доходи и модели на работа), както и необходимостта от привличане на частно финансиране извън публичната подкрепа. </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Реформата ще разработи подходяща правна, фискална и трудова рамка за сектора на културата, за да се подобри социалната закрила на различните участници в сектора, както и да се увеличи привлекателността на частните инвестиции. </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С тази реформа се одобряват регулаторни промени за прилагането на статута на художника, включително регулаторни промени в следните аспекти:  </w:t>
      </w:r>
    </w:p>
    <w:p>
      <w:pPr>
        <w:numPr>
          <w:ilvl w:val="0"/>
          <w:numId w:val="111"/>
        </w:numPr>
        <w:spacing w:before="120" w:after="120" w:line="240" w:lineRule="auto"/>
        <w:ind w:left="426" w:hanging="426"/>
        <w:jc w:val="both"/>
        <w:rPr>
          <w:rFonts w:ascii="Times New Roman" w:hAnsi="Times New Roman" w:cs="Times New Roman"/>
          <w:noProof/>
          <w:sz w:val="24"/>
        </w:rPr>
      </w:pPr>
      <w:r>
        <w:rPr>
          <w:rFonts w:ascii="Times New Roman" w:hAnsi="Times New Roman"/>
          <w:noProof/>
          <w:sz w:val="24"/>
        </w:rPr>
        <w:t>адекватността на ДДС и данъка върху доходите на физическите лица;</w:t>
      </w:r>
    </w:p>
    <w:p>
      <w:pPr>
        <w:numPr>
          <w:ilvl w:val="0"/>
          <w:numId w:val="111"/>
        </w:numPr>
        <w:spacing w:before="120" w:after="120" w:line="240" w:lineRule="auto"/>
        <w:ind w:left="426" w:hanging="426"/>
        <w:jc w:val="both"/>
        <w:rPr>
          <w:rFonts w:ascii="Times New Roman" w:hAnsi="Times New Roman" w:cs="Times New Roman"/>
          <w:noProof/>
          <w:sz w:val="24"/>
        </w:rPr>
      </w:pPr>
      <w:r>
        <w:rPr>
          <w:rFonts w:ascii="Times New Roman" w:hAnsi="Times New Roman"/>
          <w:noProof/>
          <w:sz w:val="24"/>
        </w:rPr>
        <w:t xml:space="preserve">представителност на профсъюзите; </w:t>
      </w:r>
    </w:p>
    <w:p>
      <w:pPr>
        <w:numPr>
          <w:ilvl w:val="0"/>
          <w:numId w:val="111"/>
        </w:numPr>
        <w:spacing w:before="120" w:after="120" w:line="240" w:lineRule="auto"/>
        <w:ind w:left="426" w:hanging="426"/>
        <w:jc w:val="both"/>
        <w:rPr>
          <w:rFonts w:ascii="Times New Roman" w:hAnsi="Times New Roman" w:cs="Times New Roman"/>
          <w:noProof/>
          <w:sz w:val="24"/>
        </w:rPr>
      </w:pPr>
      <w:r>
        <w:rPr>
          <w:rFonts w:ascii="Times New Roman" w:hAnsi="Times New Roman"/>
          <w:noProof/>
          <w:sz w:val="24"/>
        </w:rPr>
        <w:t xml:space="preserve">здравни и специални трудови правоотношения на артистите в публичната кариера; </w:t>
      </w:r>
    </w:p>
    <w:p>
      <w:pPr>
        <w:numPr>
          <w:ilvl w:val="0"/>
          <w:numId w:val="111"/>
        </w:numPr>
        <w:spacing w:before="120" w:after="120" w:line="240" w:lineRule="auto"/>
        <w:ind w:left="426" w:hanging="426"/>
        <w:jc w:val="both"/>
        <w:rPr>
          <w:rFonts w:ascii="Times New Roman" w:hAnsi="Times New Roman" w:cs="Times New Roman"/>
          <w:noProof/>
          <w:sz w:val="24"/>
        </w:rPr>
      </w:pPr>
      <w:r>
        <w:rPr>
          <w:rFonts w:ascii="Times New Roman" w:hAnsi="Times New Roman"/>
          <w:noProof/>
          <w:sz w:val="24"/>
        </w:rPr>
        <w:t xml:space="preserve">регулиране на спонсорството; </w:t>
      </w:r>
    </w:p>
    <w:p>
      <w:pPr>
        <w:numPr>
          <w:ilvl w:val="0"/>
          <w:numId w:val="111"/>
        </w:numPr>
        <w:spacing w:before="120" w:after="120" w:line="240" w:lineRule="auto"/>
        <w:ind w:left="426" w:hanging="426"/>
        <w:jc w:val="both"/>
        <w:rPr>
          <w:rFonts w:ascii="Times New Roman" w:hAnsi="Times New Roman" w:cs="Times New Roman"/>
          <w:noProof/>
          <w:sz w:val="24"/>
        </w:rPr>
      </w:pPr>
      <w:r>
        <w:rPr>
          <w:rFonts w:ascii="Times New Roman" w:hAnsi="Times New Roman"/>
          <w:noProof/>
          <w:sz w:val="24"/>
        </w:rPr>
        <w:t xml:space="preserve">режимът на данъчни стимули. </w:t>
      </w:r>
    </w:p>
    <w:p>
      <w:pPr>
        <w:spacing w:before="60" w:after="60" w:line="240" w:lineRule="auto"/>
        <w:jc w:val="both"/>
        <w:rPr>
          <w:rFonts w:ascii="Times New Roman" w:hAnsi="Times New Roman" w:cs="Times New Roman"/>
          <w:noProof/>
          <w:sz w:val="24"/>
        </w:rPr>
      </w:pPr>
      <w:r>
        <w:rPr>
          <w:rFonts w:ascii="Times New Roman" w:hAnsi="Times New Roman"/>
          <w:noProof/>
          <w:sz w:val="24"/>
        </w:rPr>
        <w:t>Тези промени ще бъдат осъществени чрез създаването на Междуведомствен комитет относно статута на художника и изготвянето на законодателни предложения през 2021 г., като правният инструмент влезе в сила до 31 декември 2022 г. През периода 2021—2023 г. се прилагат и мерки за насърчаване на частните инвестиции в сектора на културата.</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Изпълнението на мярката приключва до 31 декември 2022 г. </w:t>
      </w:r>
    </w:p>
    <w:p>
      <w:pPr>
        <w:keepNext/>
        <w:spacing w:before="120" w:after="120" w:line="240" w:lineRule="auto"/>
        <w:jc w:val="both"/>
        <w:rPr>
          <w:rFonts w:ascii="Times New Roman" w:hAnsi="Times New Roman" w:cs="Times New Roman"/>
          <w:noProof/>
          <w:sz w:val="24"/>
          <w:u w:val="single"/>
        </w:rPr>
      </w:pPr>
      <w:r>
        <w:rPr>
          <w:rFonts w:ascii="Times New Roman" w:hAnsi="Times New Roman"/>
          <w:noProof/>
          <w:sz w:val="24"/>
          <w:u w:val="single"/>
        </w:rPr>
        <w:t>Реформа 2 (C24.R2) – План за укрепване на авторското право и сродните му права</w:t>
      </w:r>
    </w:p>
    <w:p>
      <w:pPr>
        <w:keepNext/>
        <w:spacing w:before="120" w:after="120" w:line="240" w:lineRule="auto"/>
        <w:jc w:val="both"/>
        <w:rPr>
          <w:rFonts w:ascii="Times New Roman" w:hAnsi="Times New Roman" w:cs="Times New Roman"/>
          <w:noProof/>
          <w:sz w:val="24"/>
        </w:rPr>
      </w:pPr>
      <w:r>
        <w:rPr>
          <w:rFonts w:ascii="Times New Roman" w:hAnsi="Times New Roman"/>
          <w:noProof/>
          <w:sz w:val="24"/>
        </w:rPr>
        <w:t>Целта на тази реформа е да се укрепят авторските права и другите права върху интелектуалната собственост чрез следните действия:</w:t>
      </w:r>
    </w:p>
    <w:p>
      <w:pPr>
        <w:numPr>
          <w:ilvl w:val="0"/>
          <w:numId w:val="112"/>
        </w:numPr>
        <w:spacing w:before="120" w:after="120" w:line="240" w:lineRule="auto"/>
        <w:ind w:left="426" w:hanging="426"/>
        <w:jc w:val="both"/>
        <w:rPr>
          <w:rFonts w:ascii="Times New Roman" w:hAnsi="Times New Roman" w:cs="Times New Roman"/>
          <w:noProof/>
          <w:sz w:val="24"/>
        </w:rPr>
      </w:pPr>
      <w:r>
        <w:rPr>
          <w:rFonts w:ascii="Times New Roman" w:hAnsi="Times New Roman"/>
          <w:noProof/>
          <w:sz w:val="24"/>
        </w:rPr>
        <w:t>Приемане на закон относно правата върху интелектуалната собственост в рамките на европейския цифров единен пазар, с който се транспонират директиви 2019/789 SatCab и 2019/790 относно авторското право в цифровия единен пазар;</w:t>
      </w:r>
    </w:p>
    <w:p>
      <w:pPr>
        <w:numPr>
          <w:ilvl w:val="0"/>
          <w:numId w:val="112"/>
        </w:numPr>
        <w:spacing w:before="120" w:after="120" w:line="240" w:lineRule="auto"/>
        <w:ind w:left="426" w:hanging="426"/>
        <w:jc w:val="both"/>
        <w:rPr>
          <w:rFonts w:ascii="Times New Roman" w:hAnsi="Times New Roman" w:cs="Times New Roman"/>
          <w:noProof/>
          <w:sz w:val="24"/>
        </w:rPr>
      </w:pPr>
      <w:r>
        <w:rPr>
          <w:rFonts w:ascii="Times New Roman" w:hAnsi="Times New Roman"/>
          <w:noProof/>
          <w:sz w:val="24"/>
        </w:rPr>
        <w:t>Приемане на кралски указ за одобряване на новия регламент за регистъра на интелектуалната собственост с цел адаптиране на този орган към новата цифрова реалност;</w:t>
      </w:r>
    </w:p>
    <w:p>
      <w:pPr>
        <w:numPr>
          <w:ilvl w:val="0"/>
          <w:numId w:val="112"/>
        </w:numPr>
        <w:spacing w:before="120" w:after="120" w:line="240" w:lineRule="auto"/>
        <w:ind w:left="426" w:hanging="426"/>
        <w:jc w:val="both"/>
        <w:rPr>
          <w:rFonts w:ascii="Times New Roman" w:hAnsi="Times New Roman" w:cs="Times New Roman"/>
          <w:noProof/>
          <w:sz w:val="24"/>
        </w:rPr>
      </w:pPr>
      <w:r>
        <w:rPr>
          <w:rFonts w:ascii="Times New Roman" w:hAnsi="Times New Roman"/>
          <w:noProof/>
          <w:sz w:val="24"/>
        </w:rPr>
        <w:t>Приемане на кралски указ за изменение на Кралски указ 1889/2011 от 30 декември 2006 г., уреждащ функционирането на раздел II от Комисията за интелектуална собственост, за да се улесни борбата срещу новите форми на нарушения на интелектуалната собственост в интернет; и</w:t>
      </w:r>
    </w:p>
    <w:p>
      <w:pPr>
        <w:numPr>
          <w:ilvl w:val="0"/>
          <w:numId w:val="112"/>
        </w:numPr>
        <w:spacing w:before="120" w:after="120" w:line="240" w:lineRule="auto"/>
        <w:ind w:left="426" w:hanging="426"/>
        <w:jc w:val="both"/>
        <w:rPr>
          <w:rFonts w:ascii="Times New Roman" w:hAnsi="Times New Roman" w:cs="Times New Roman"/>
          <w:noProof/>
          <w:sz w:val="24"/>
        </w:rPr>
      </w:pPr>
      <w:r>
        <w:rPr>
          <w:rFonts w:ascii="Times New Roman" w:hAnsi="Times New Roman"/>
          <w:noProof/>
          <w:sz w:val="24"/>
        </w:rPr>
        <w:t>Одобряване на подходящия нормативен акт и на устава на Испанската служба за авторското право.</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Изпълнението на мярката приключва до 31 декември 2023 г. </w:t>
      </w:r>
    </w:p>
    <w:p>
      <w:pPr>
        <w:spacing w:before="120" w:after="120" w:line="240" w:lineRule="auto"/>
        <w:jc w:val="both"/>
        <w:rPr>
          <w:rFonts w:ascii="Times New Roman" w:hAnsi="Times New Roman" w:cs="Times New Roman"/>
          <w:noProof/>
          <w:sz w:val="24"/>
          <w:u w:val="single"/>
        </w:rPr>
      </w:pPr>
      <w:r>
        <w:rPr>
          <w:rFonts w:ascii="Times New Roman" w:hAnsi="Times New Roman"/>
          <w:noProof/>
          <w:sz w:val="24"/>
          <w:u w:val="single"/>
        </w:rPr>
        <w:t xml:space="preserve">Инвестиция 1 (C24.I1) – Засилване на конкурентоспособността на културните индустрии </w:t>
      </w:r>
    </w:p>
    <w:p>
      <w:pPr>
        <w:spacing w:before="120" w:after="120" w:line="240" w:lineRule="auto"/>
        <w:jc w:val="both"/>
        <w:rPr>
          <w:rFonts w:ascii="Times New Roman" w:hAnsi="Times New Roman" w:cs="Times New Roman"/>
          <w:noProof/>
          <w:sz w:val="24"/>
        </w:rPr>
      </w:pPr>
      <w:r>
        <w:rPr>
          <w:rFonts w:ascii="Times New Roman" w:hAnsi="Times New Roman"/>
          <w:noProof/>
          <w:sz w:val="24"/>
        </w:rPr>
        <w:t>Целта на тази инвестиция е да се преодолеят предизвикателствата по отношение на конкурентоспособността на сектора на културата, като се подобри устойчивостта на бизнес структурата на културните и творческите индустрии и се допринесе за техния цифров преход.</w:t>
      </w:r>
    </w:p>
    <w:p>
      <w:pPr>
        <w:spacing w:before="120" w:after="120" w:line="240" w:lineRule="auto"/>
        <w:jc w:val="both"/>
        <w:rPr>
          <w:rFonts w:ascii="Times New Roman" w:hAnsi="Times New Roman" w:cs="Times New Roman"/>
          <w:noProof/>
          <w:sz w:val="24"/>
        </w:rPr>
      </w:pPr>
      <w:r>
        <w:rPr>
          <w:rFonts w:ascii="Times New Roman" w:hAnsi="Times New Roman"/>
          <w:noProof/>
          <w:sz w:val="24"/>
        </w:rPr>
        <w:t>За тази цел действията по тази инвестиция са групирани в следните три категории проекти:</w:t>
      </w:r>
    </w:p>
    <w:p>
      <w:pPr>
        <w:numPr>
          <w:ilvl w:val="0"/>
          <w:numId w:val="113"/>
        </w:numPr>
        <w:spacing w:before="120" w:after="120" w:line="240" w:lineRule="auto"/>
        <w:ind w:left="426" w:hanging="426"/>
        <w:jc w:val="both"/>
        <w:rPr>
          <w:rFonts w:ascii="Times New Roman" w:hAnsi="Times New Roman" w:cs="Times New Roman"/>
          <w:noProof/>
          <w:sz w:val="24"/>
        </w:rPr>
      </w:pPr>
      <w:r>
        <w:rPr>
          <w:rFonts w:ascii="Times New Roman" w:hAnsi="Times New Roman"/>
          <w:noProof/>
          <w:sz w:val="24"/>
        </w:rPr>
        <w:t>Конкурентоспособност и професионализация на културните и творческите индустрии (КТИ) посредством: i) укрепване на предприемаческите и финансовите умения на специалистите в областта на културата чрез програма за стипендии; ii) специализирано обучение по управление за специалисти в областта на сценичните и музикалните изкуства; и iii) подкрепа за културни ускорители за разработването на културни проекти с висок потенциал за растеж;</w:t>
      </w:r>
    </w:p>
    <w:p>
      <w:pPr>
        <w:numPr>
          <w:ilvl w:val="0"/>
          <w:numId w:val="113"/>
        </w:numPr>
        <w:spacing w:before="120" w:after="120" w:line="240" w:lineRule="auto"/>
        <w:ind w:left="426" w:hanging="426"/>
        <w:jc w:val="both"/>
        <w:rPr>
          <w:rFonts w:ascii="Times New Roman" w:hAnsi="Times New Roman" w:cs="Times New Roman"/>
          <w:noProof/>
          <w:sz w:val="24"/>
        </w:rPr>
      </w:pPr>
      <w:r>
        <w:rPr>
          <w:rFonts w:ascii="Times New Roman" w:hAnsi="Times New Roman"/>
          <w:noProof/>
          <w:sz w:val="24"/>
        </w:rPr>
        <w:t xml:space="preserve">Цифровизация на системите за управление на интелектуалната собственост чрез: </w:t>
      </w:r>
      <w:r>
        <w:rPr>
          <w:rFonts w:ascii="Times New Roman" w:hAnsi="Times New Roman"/>
          <w:noProof/>
          <w:sz w:val="24"/>
          <w:lang w:val="en-US"/>
        </w:rPr>
        <w:t>i</w:t>
      </w:r>
      <w:r>
        <w:rPr>
          <w:rFonts w:ascii="Times New Roman" w:hAnsi="Times New Roman"/>
          <w:noProof/>
          <w:sz w:val="24"/>
        </w:rPr>
        <w:t>) подкрепа за проекти за цифровизация на операторите в областта на управлението на правата върху интелектуалната собственост; и ii) подкрепа за цифровата трансформация на административните структури, които управляват правата върху интелектуалната собственост;</w:t>
      </w:r>
    </w:p>
    <w:p>
      <w:pPr>
        <w:numPr>
          <w:ilvl w:val="0"/>
          <w:numId w:val="113"/>
        </w:numPr>
        <w:spacing w:before="120" w:after="120" w:line="240" w:lineRule="auto"/>
        <w:ind w:left="426" w:hanging="426"/>
        <w:jc w:val="both"/>
        <w:rPr>
          <w:rFonts w:ascii="Times New Roman" w:hAnsi="Times New Roman" w:cs="Times New Roman"/>
          <w:noProof/>
          <w:sz w:val="24"/>
        </w:rPr>
      </w:pPr>
      <w:r>
        <w:rPr>
          <w:rFonts w:ascii="Times New Roman" w:hAnsi="Times New Roman"/>
          <w:noProof/>
          <w:sz w:val="24"/>
        </w:rPr>
        <w:t>Интернационализация на сектора на КТИ посредством: i) насърчаване и цифровизация на сектора на книгоиздаването, ii) подкрепа за модернизиране и подобряване на управлението на сценичните изкуства и музиката; и iii) мерки за подпомагане на предприятията и специалистите от КТИ да увеличат присъствието си на националните и международните пазари.</w:t>
      </w:r>
    </w:p>
    <w:p>
      <w:pPr>
        <w:pStyle w:val="Text1"/>
        <w:ind w:left="0"/>
        <w:rPr>
          <w:iCs/>
          <w:noProof/>
          <w:highlight w:val="green"/>
        </w:rPr>
      </w:pPr>
      <w:r>
        <w:rPr>
          <w:noProof/>
        </w:rPr>
        <w:t xml:space="preserve">За да се гарантира, че мярката е в съответствие с техническите насоки „Ненанасяне на значителни вреди“ (2021/C58/01), критериите за допустимост, съдържащи се в техническото задание за предстоящи покани за представяне на проекти, изключват следния списък от дейности: </w:t>
      </w:r>
      <w:r>
        <w:rPr>
          <w:noProof/>
          <w:lang w:val="en-US"/>
        </w:rPr>
        <w:t>i</w:t>
      </w:r>
      <w:r>
        <w:rPr>
          <w:noProof/>
        </w:rPr>
        <w:t>) дейности , свързани с изкопаеми горива, включително използване надолу по веригата</w:t>
      </w:r>
      <w:r>
        <w:rPr>
          <w:rStyle w:val="FootnoteReference"/>
          <w:noProof/>
          <w:lang w:val="en-IE"/>
        </w:rPr>
        <w:footnoteReference w:id="91"/>
      </w:r>
      <w:r>
        <w:rPr>
          <w:noProof/>
        </w:rPr>
        <w:t>; ii) дейности по схемата на ЕС за търговия с емисии (СТЕ), с които се постигат прогнозираните емисии на парникови газове, които не са по-ниски от съответните референтни стойности</w:t>
      </w:r>
      <w:r>
        <w:rPr>
          <w:rStyle w:val="FootnoteReference"/>
          <w:noProof/>
          <w:lang w:val="en-IE"/>
        </w:rPr>
        <w:footnoteReference w:id="92"/>
      </w:r>
      <w:r>
        <w:rPr>
          <w:noProof/>
        </w:rPr>
        <w:t>; iii) дейности, свързани с депата за отпадъци, инсталациите за изгаряне на отпадъци</w:t>
      </w:r>
      <w:r>
        <w:rPr>
          <w:rStyle w:val="FootnoteReference"/>
          <w:noProof/>
          <w:lang w:val="en-IE"/>
        </w:rPr>
        <w:footnoteReference w:id="93"/>
      </w:r>
      <w:r>
        <w:rPr>
          <w:noProof/>
        </w:rPr>
        <w:t xml:space="preserve"> и заводите за механично-биологично третиране</w:t>
      </w:r>
      <w:r>
        <w:rPr>
          <w:rStyle w:val="FootnoteReference"/>
          <w:noProof/>
          <w:lang w:val="en-IE"/>
        </w:rPr>
        <w:footnoteReference w:id="94"/>
      </w:r>
      <w:r>
        <w:rPr>
          <w:noProof/>
        </w:rPr>
        <w:t>; и iv) дейности, при които дългосрочното обезвреждане на отпадъци може да причини вреда на околната среда. В допълнение към това в заданието се изисква да могат да бъдат избирани само дейности, които отговарят на съответното законодателство на ЕС и национално законодателство в областта на околната среда.</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Изпълнението на инвестицията приключва до 31 декември 2023 г. </w:t>
      </w:r>
    </w:p>
    <w:p>
      <w:pPr>
        <w:spacing w:before="120" w:after="120" w:line="240" w:lineRule="auto"/>
        <w:jc w:val="both"/>
        <w:rPr>
          <w:rFonts w:ascii="Times New Roman" w:hAnsi="Times New Roman" w:cs="Times New Roman"/>
          <w:noProof/>
          <w:sz w:val="24"/>
          <w:u w:val="single"/>
        </w:rPr>
      </w:pPr>
      <w:r>
        <w:rPr>
          <w:rFonts w:ascii="Times New Roman" w:hAnsi="Times New Roman"/>
          <w:noProof/>
          <w:sz w:val="24"/>
          <w:u w:val="single"/>
        </w:rPr>
        <w:t xml:space="preserve">Инвестиция 2 (C24.I2) – Насърчаване на културата на цялата територия </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Тази инвестиция има за цел да подобри териториалното и социалното сближаване чрез улесняване на достъпа до култура, както и да подкрепи устойчивостта и консолидирането на културния сектор на цялата територия. Специфичните действия по тази инвестиция са групирани в следните четири категории проекти: </w:t>
      </w:r>
    </w:p>
    <w:p>
      <w:pPr>
        <w:numPr>
          <w:ilvl w:val="0"/>
          <w:numId w:val="114"/>
        </w:numPr>
        <w:spacing w:before="120" w:after="120" w:line="240" w:lineRule="auto"/>
        <w:ind w:left="426" w:hanging="426"/>
        <w:jc w:val="both"/>
        <w:rPr>
          <w:rFonts w:ascii="Times New Roman" w:hAnsi="Times New Roman" w:cs="Times New Roman"/>
          <w:noProof/>
          <w:sz w:val="24"/>
        </w:rPr>
      </w:pPr>
      <w:r>
        <w:rPr>
          <w:rFonts w:ascii="Times New Roman" w:hAnsi="Times New Roman"/>
          <w:noProof/>
          <w:sz w:val="24"/>
        </w:rPr>
        <w:t>Подкрепа за модернизацията и устойчивото управление на инфраструктурата на сценичните и музикалните изкуства, както и за насърчаване на каналите за междутериториално разпространение чрез: i) прехвърляне на ресурси към автономните области в подкрепа на модернизацията и устойчивото управление на сценичните и музикалните инфраструктури и ii) улесняване на координацията на културните представления в автономните области;</w:t>
      </w:r>
    </w:p>
    <w:p>
      <w:pPr>
        <w:numPr>
          <w:ilvl w:val="0"/>
          <w:numId w:val="114"/>
        </w:numPr>
        <w:spacing w:before="120" w:after="120" w:line="240" w:lineRule="auto"/>
        <w:ind w:left="426" w:hanging="426"/>
        <w:jc w:val="both"/>
        <w:rPr>
          <w:rFonts w:ascii="Times New Roman" w:hAnsi="Times New Roman" w:cs="Times New Roman"/>
          <w:noProof/>
          <w:sz w:val="24"/>
        </w:rPr>
      </w:pPr>
      <w:r>
        <w:rPr>
          <w:rFonts w:ascii="Times New Roman" w:hAnsi="Times New Roman"/>
          <w:noProof/>
          <w:sz w:val="24"/>
        </w:rPr>
        <w:t xml:space="preserve">Действия за опазване, възстановяване и подобряване на испанското културно наследство чрез действия, отнасящи се до: i) идентифицирането на наследство, за което е обявено, че е от културен интерес, и ii) оползотворяването на наследството, за което отговаря Министерството на културата и спорта, по-специално чрез цялостно възстановяване на сградата </w:t>
      </w:r>
      <w:r>
        <w:rPr>
          <w:rFonts w:ascii="Times New Roman" w:hAnsi="Times New Roman"/>
          <w:i/>
          <w:noProof/>
          <w:sz w:val="24"/>
        </w:rPr>
        <w:t>Tabacalera</w:t>
      </w:r>
      <w:r>
        <w:rPr>
          <w:rFonts w:ascii="Times New Roman" w:hAnsi="Times New Roman"/>
          <w:noProof/>
          <w:sz w:val="24"/>
        </w:rPr>
        <w:t xml:space="preserve"> в Мадрид;</w:t>
      </w:r>
    </w:p>
    <w:p>
      <w:pPr>
        <w:numPr>
          <w:ilvl w:val="0"/>
          <w:numId w:val="114"/>
        </w:numPr>
        <w:spacing w:before="120" w:after="120" w:line="240" w:lineRule="auto"/>
        <w:ind w:left="426" w:hanging="426"/>
        <w:jc w:val="both"/>
        <w:rPr>
          <w:rFonts w:ascii="Times New Roman" w:hAnsi="Times New Roman" w:cs="Times New Roman"/>
          <w:noProof/>
          <w:sz w:val="24"/>
        </w:rPr>
      </w:pPr>
      <w:r>
        <w:rPr>
          <w:rFonts w:ascii="Times New Roman" w:hAnsi="Times New Roman"/>
          <w:noProof/>
          <w:sz w:val="24"/>
        </w:rPr>
        <w:t>Осигуряване на библиотеки чрез: i) закупуване на лицензи за дигитални книги и ii) закупуване на книги на хартиен носител; и</w:t>
      </w:r>
    </w:p>
    <w:p>
      <w:pPr>
        <w:numPr>
          <w:ilvl w:val="0"/>
          <w:numId w:val="114"/>
        </w:numPr>
        <w:spacing w:before="120" w:after="120" w:line="240" w:lineRule="auto"/>
        <w:ind w:left="426" w:hanging="426"/>
        <w:jc w:val="both"/>
        <w:rPr>
          <w:rFonts w:ascii="Times New Roman" w:hAnsi="Times New Roman" w:cs="Times New Roman"/>
          <w:noProof/>
          <w:sz w:val="24"/>
        </w:rPr>
      </w:pPr>
      <w:r>
        <w:rPr>
          <w:rFonts w:ascii="Times New Roman" w:hAnsi="Times New Roman"/>
          <w:noProof/>
          <w:sz w:val="24"/>
        </w:rPr>
        <w:t>Помощ за разширяване и разнообразяване на културните оферти в извънградските райони чрез: i) насърчаване на културните иновации и предприемачеството в извънградските райони; ii) гарантиране на равен достъп до култура; и iii) насърчаване, чрез културата, на отговорното и устойчиво използване на природните ресурси.</w:t>
      </w:r>
    </w:p>
    <w:p>
      <w:pPr>
        <w:pStyle w:val="Text1"/>
        <w:ind w:left="0"/>
        <w:rPr>
          <w:iCs/>
          <w:noProof/>
          <w:highlight w:val="green"/>
        </w:rPr>
      </w:pPr>
      <w:r>
        <w:rPr>
          <w:noProof/>
        </w:rPr>
        <w:t xml:space="preserve">За да се гарантира, че мярката е в съответствие с техническите насоки „Ненанасяне на значителни вреди“ (2021/C58/01), критериите за допустимост, съдържащи се в техническото задание за предстоящи покани за представяне на проекти, изключват следния списък от дейности: </w:t>
      </w:r>
      <w:r>
        <w:rPr>
          <w:noProof/>
          <w:lang w:val="en-US"/>
        </w:rPr>
        <w:t>i</w:t>
      </w:r>
      <w:r>
        <w:rPr>
          <w:noProof/>
        </w:rPr>
        <w:t>) дейности , свързани с изкопаеми горива, включително използване надолу по веригата</w:t>
      </w:r>
      <w:r>
        <w:rPr>
          <w:rStyle w:val="FootnoteReference"/>
          <w:noProof/>
          <w:lang w:val="en-IE"/>
        </w:rPr>
        <w:footnoteReference w:id="95"/>
      </w:r>
      <w:r>
        <w:rPr>
          <w:noProof/>
        </w:rPr>
        <w:t>; ii) дейности по схемата на ЕС за търговия с емисии (СТЕ), с които се постигат прогнозираните емисии на парникови газове, които не са по-ниски от съответните референтни стойности</w:t>
      </w:r>
      <w:r>
        <w:rPr>
          <w:rStyle w:val="FootnoteReference"/>
          <w:noProof/>
          <w:lang w:val="en-IE"/>
        </w:rPr>
        <w:footnoteReference w:id="96"/>
      </w:r>
      <w:r>
        <w:rPr>
          <w:noProof/>
        </w:rPr>
        <w:t>; iii) дейности, свързани с депата за отпадъци, инсталациите за изгаряне на отпадъци</w:t>
      </w:r>
      <w:r>
        <w:rPr>
          <w:rStyle w:val="FootnoteReference"/>
          <w:noProof/>
          <w:lang w:val="en-IE"/>
        </w:rPr>
        <w:footnoteReference w:id="97"/>
      </w:r>
      <w:r>
        <w:rPr>
          <w:noProof/>
        </w:rPr>
        <w:t xml:space="preserve"> и заводите за механично-биологично третиране</w:t>
      </w:r>
      <w:r>
        <w:rPr>
          <w:rStyle w:val="FootnoteReference"/>
          <w:noProof/>
          <w:lang w:val="en-IE"/>
        </w:rPr>
        <w:footnoteReference w:id="98"/>
      </w:r>
      <w:r>
        <w:rPr>
          <w:noProof/>
        </w:rPr>
        <w:t>; и iv) дейности, при които дългосрочното обезвреждане на отпадъци може да причини вреда на околната среда. В допълнение към това в заданието се изисква да могат да бъдат избирани само дейности, които отговарят на съответното законодателство на ЕС и национално законодателство в областта на околната среда.</w:t>
      </w:r>
    </w:p>
    <w:p>
      <w:pPr>
        <w:spacing w:before="120" w:after="120" w:line="240" w:lineRule="auto"/>
        <w:jc w:val="both"/>
        <w:rPr>
          <w:rFonts w:ascii="Times New Roman" w:hAnsi="Times New Roman"/>
          <w:noProof/>
          <w:sz w:val="24"/>
        </w:rPr>
      </w:pPr>
      <w:r>
        <w:rPr>
          <w:rFonts w:ascii="Times New Roman" w:hAnsi="Times New Roman"/>
          <w:noProof/>
          <w:sz w:val="24"/>
        </w:rPr>
        <w:t xml:space="preserve">Изпълнението на инвестицията приключва до 31 декември 2023 г. </w:t>
      </w:r>
    </w:p>
    <w:p>
      <w:pPr>
        <w:rPr>
          <w:rFonts w:ascii="Times New Roman" w:hAnsi="Times New Roman"/>
          <w:noProof/>
          <w:sz w:val="24"/>
        </w:rPr>
      </w:pPr>
      <w:r>
        <w:rPr>
          <w:rFonts w:ascii="Times New Roman" w:hAnsi="Times New Roman"/>
          <w:noProof/>
          <w:sz w:val="24"/>
        </w:rPr>
        <w:br w:type="page"/>
      </w:r>
    </w:p>
    <w:p>
      <w:pPr>
        <w:spacing w:before="120" w:after="120" w:line="240" w:lineRule="auto"/>
        <w:jc w:val="both"/>
        <w:rPr>
          <w:rFonts w:ascii="Times New Roman" w:hAnsi="Times New Roman" w:cs="Times New Roman"/>
          <w:noProof/>
          <w:sz w:val="24"/>
          <w:u w:val="single"/>
        </w:rPr>
      </w:pPr>
      <w:r>
        <w:rPr>
          <w:rFonts w:ascii="Times New Roman" w:hAnsi="Times New Roman"/>
          <w:noProof/>
          <w:sz w:val="24"/>
          <w:u w:val="single"/>
        </w:rPr>
        <w:t xml:space="preserve">Инвестиция 3 (C24.I3) – Цифровизация и насърчаване на основни услуги в областта на културата </w:t>
      </w:r>
    </w:p>
    <w:p>
      <w:pPr>
        <w:spacing w:before="120" w:after="120" w:line="240" w:lineRule="auto"/>
        <w:jc w:val="both"/>
        <w:rPr>
          <w:rFonts w:ascii="Times New Roman" w:hAnsi="Times New Roman" w:cs="Times New Roman"/>
          <w:noProof/>
          <w:sz w:val="24"/>
        </w:rPr>
      </w:pPr>
      <w:r>
        <w:rPr>
          <w:rFonts w:ascii="Times New Roman" w:hAnsi="Times New Roman"/>
          <w:noProof/>
          <w:sz w:val="24"/>
        </w:rPr>
        <w:t>Целта на тази мярка е да се цифровизират, както и да се насърчат големи културни институции. Конкретните инвестиции по тази мярка имат за цел да подпомогнат:</w:t>
      </w:r>
    </w:p>
    <w:p>
      <w:pPr>
        <w:numPr>
          <w:ilvl w:val="0"/>
          <w:numId w:val="115"/>
        </w:numPr>
        <w:spacing w:before="120" w:after="120" w:line="240" w:lineRule="auto"/>
        <w:ind w:left="426" w:hanging="426"/>
        <w:jc w:val="both"/>
        <w:rPr>
          <w:rFonts w:ascii="Times New Roman" w:hAnsi="Times New Roman" w:cs="Times New Roman"/>
          <w:noProof/>
          <w:sz w:val="24"/>
        </w:rPr>
      </w:pPr>
      <w:r>
        <w:rPr>
          <w:rFonts w:ascii="Times New Roman" w:hAnsi="Times New Roman"/>
          <w:noProof/>
          <w:sz w:val="24"/>
        </w:rPr>
        <w:t xml:space="preserve">Националният музей Prado, като: i) подобряване на неговата достъпност и интегриране в градската среда, ii) интегриране на всички датчици в единна наблюдавана система, iii) изграждане на приобщаващ опит за осигуряване на достъп до музея за повече посетители, iv) разработване на оперативно съвместима цифрова платформа между музеите, v) подобряване на цифровите инструменти за администрацията и vi) създаване на мултимедийно съдържание;  </w:t>
      </w:r>
    </w:p>
    <w:p>
      <w:pPr>
        <w:numPr>
          <w:ilvl w:val="0"/>
          <w:numId w:val="115"/>
        </w:numPr>
        <w:spacing w:before="120" w:after="120" w:line="240" w:lineRule="auto"/>
        <w:ind w:left="426" w:hanging="426"/>
        <w:jc w:val="both"/>
        <w:rPr>
          <w:rFonts w:ascii="Times New Roman" w:hAnsi="Times New Roman" w:cs="Times New Roman"/>
          <w:noProof/>
          <w:sz w:val="24"/>
        </w:rPr>
      </w:pPr>
      <w:r>
        <w:rPr>
          <w:rFonts w:ascii="Times New Roman" w:hAnsi="Times New Roman"/>
          <w:noProof/>
          <w:sz w:val="24"/>
        </w:rPr>
        <w:t xml:space="preserve">Националният музей Centro de Arte Reina </w:t>
      </w:r>
      <w:r>
        <w:rPr>
          <w:rFonts w:ascii="Times New Roman" w:hAnsi="Times New Roman"/>
          <w:noProof/>
          <w:sz w:val="24"/>
          <w:lang w:val="en-US"/>
        </w:rPr>
        <w:t>Sofia</w:t>
      </w:r>
      <w:r>
        <w:rPr>
          <w:rFonts w:ascii="Times New Roman" w:hAnsi="Times New Roman"/>
          <w:noProof/>
          <w:sz w:val="24"/>
        </w:rPr>
        <w:t>, като предлага стипендии и изследователски центрове за млади творци и мислители с акцент върху разработването на действия за цифровизация на културното наследство;</w:t>
      </w:r>
    </w:p>
    <w:p>
      <w:pPr>
        <w:numPr>
          <w:ilvl w:val="0"/>
          <w:numId w:val="115"/>
        </w:numPr>
        <w:spacing w:before="120" w:after="120" w:line="240" w:lineRule="auto"/>
        <w:ind w:left="426" w:hanging="426"/>
        <w:jc w:val="both"/>
        <w:rPr>
          <w:rFonts w:ascii="Times New Roman" w:hAnsi="Times New Roman" w:cs="Times New Roman"/>
          <w:noProof/>
          <w:sz w:val="24"/>
        </w:rPr>
      </w:pPr>
      <w:r>
        <w:rPr>
          <w:rFonts w:ascii="Times New Roman" w:hAnsi="Times New Roman"/>
          <w:noProof/>
          <w:sz w:val="24"/>
        </w:rPr>
        <w:t>Испанската национална библиотека чрез насърчаване на използването и повторното използване на нейните цифрови данни и колекции в подкрепа на преподаването, научните изследвания, културните индустрии и технологичното развитие;</w:t>
      </w:r>
    </w:p>
    <w:p>
      <w:pPr>
        <w:numPr>
          <w:ilvl w:val="0"/>
          <w:numId w:val="115"/>
        </w:numPr>
        <w:spacing w:before="120" w:after="120" w:line="240" w:lineRule="auto"/>
        <w:ind w:left="426" w:hanging="426"/>
        <w:jc w:val="both"/>
        <w:rPr>
          <w:rFonts w:ascii="Times New Roman" w:hAnsi="Times New Roman" w:cs="Times New Roman"/>
          <w:noProof/>
          <w:sz w:val="24"/>
        </w:rPr>
      </w:pPr>
      <w:r>
        <w:rPr>
          <w:rFonts w:ascii="Times New Roman" w:hAnsi="Times New Roman"/>
          <w:noProof/>
          <w:sz w:val="24"/>
        </w:rPr>
        <w:t>План за цифровизацията и достъпа до библиографското наследство на други библиотечни активи на държавните администрации или частни субекти с оглед на предоставянето им на гражданите чрез цифрови хранилища;</w:t>
      </w:r>
    </w:p>
    <w:p>
      <w:pPr>
        <w:numPr>
          <w:ilvl w:val="0"/>
          <w:numId w:val="115"/>
        </w:numPr>
        <w:spacing w:before="120" w:after="120" w:line="240" w:lineRule="auto"/>
        <w:ind w:left="426" w:hanging="426"/>
        <w:jc w:val="both"/>
        <w:rPr>
          <w:rFonts w:ascii="Times New Roman" w:hAnsi="Times New Roman" w:cs="Times New Roman"/>
          <w:noProof/>
          <w:sz w:val="24"/>
        </w:rPr>
      </w:pPr>
      <w:r>
        <w:rPr>
          <w:rFonts w:ascii="Times New Roman" w:hAnsi="Times New Roman"/>
          <w:noProof/>
          <w:sz w:val="24"/>
        </w:rPr>
        <w:t>Цифровизацията, увеличаването на капацитета и оперативната съвместимост на всички видове архивни системи, инвентари и записи на историческо наследство, включително аудио-визуално наследство; и</w:t>
      </w:r>
    </w:p>
    <w:p>
      <w:pPr>
        <w:numPr>
          <w:ilvl w:val="0"/>
          <w:numId w:val="115"/>
        </w:numPr>
        <w:spacing w:before="120" w:after="120" w:line="240" w:lineRule="auto"/>
        <w:ind w:left="426" w:hanging="426"/>
        <w:jc w:val="both"/>
        <w:rPr>
          <w:rFonts w:ascii="Times New Roman" w:hAnsi="Times New Roman" w:cs="Times New Roman"/>
          <w:noProof/>
          <w:sz w:val="24"/>
        </w:rPr>
      </w:pPr>
      <w:r>
        <w:rPr>
          <w:rFonts w:ascii="Times New Roman" w:hAnsi="Times New Roman"/>
          <w:noProof/>
          <w:sz w:val="24"/>
        </w:rPr>
        <w:t>Мерки за модернизиране на инструментите за публично управление и прилагане на интегрирана система за цифровизация и каталогизиране на ресурсите, активите, структурите и инфраструктурата на INAEM (</w:t>
      </w:r>
      <w:r>
        <w:rPr>
          <w:rFonts w:ascii="Times New Roman" w:hAnsi="Times New Roman"/>
          <w:i/>
          <w:noProof/>
          <w:sz w:val="24"/>
        </w:rPr>
        <w:t>Instituto Nacional de las Artes Escénicas y de la Música</w:t>
      </w:r>
      <w:r>
        <w:rPr>
          <w:rFonts w:ascii="Times New Roman" w:hAnsi="Times New Roman"/>
          <w:noProof/>
          <w:sz w:val="24"/>
        </w:rPr>
        <w:t xml:space="preserve">), включително мерки като въвеждането на различни модерни инструменти за планиране, управление и оценка на въздействието на схемите за публична подкрепа за секторите на изпълнението и музикалния сектор, както и въвеждането на интегрирана цифрова система (INAEM DIGITAL) за цифровизация и каталогизиране на документацията, за архивни услуги и за изграждането на инфраструктури и инфраструктури на </w:t>
      </w:r>
      <w:r>
        <w:rPr>
          <w:rFonts w:ascii="Times New Roman" w:hAnsi="Times New Roman"/>
          <w:noProof/>
          <w:sz w:val="24"/>
          <w:lang w:val="en-US"/>
        </w:rPr>
        <w:t>INAEM</w:t>
      </w:r>
      <w:r>
        <w:rPr>
          <w:rFonts w:ascii="Times New Roman" w:hAnsi="Times New Roman"/>
          <w:noProof/>
          <w:sz w:val="24"/>
        </w:rPr>
        <w:t>.</w:t>
      </w:r>
    </w:p>
    <w:p>
      <w:pPr>
        <w:pStyle w:val="Text1"/>
        <w:ind w:left="0"/>
        <w:rPr>
          <w:iCs/>
          <w:noProof/>
          <w:highlight w:val="green"/>
        </w:rPr>
      </w:pPr>
      <w:r>
        <w:rPr>
          <w:noProof/>
        </w:rPr>
        <w:t xml:space="preserve">За да се гарантира, че мярката е в съответствие с техническите насоки „Ненанасяне на значителни вреди“ (2021/C58/01), критериите за допустимост, съдържащи се в техническото задание за предстоящи покани за представяне на проекти, изключват следния списък от дейности: </w:t>
      </w:r>
      <w:r>
        <w:rPr>
          <w:noProof/>
          <w:lang w:val="en-US"/>
        </w:rPr>
        <w:t>i</w:t>
      </w:r>
      <w:r>
        <w:rPr>
          <w:noProof/>
        </w:rPr>
        <w:t>) дейности , свързани с изкопаеми горива, включително използване надолу по веригата</w:t>
      </w:r>
      <w:r>
        <w:rPr>
          <w:rStyle w:val="FootnoteReference"/>
          <w:noProof/>
          <w:lang w:val="en-IE"/>
        </w:rPr>
        <w:footnoteReference w:id="99"/>
      </w:r>
      <w:r>
        <w:rPr>
          <w:noProof/>
        </w:rPr>
        <w:t>; ii) дейности по схемата на ЕС за търговия с емисии (СТЕ), с които се постигат прогнозираните емисии на парникови газове, които не са по-ниски от съответните референтни стойности</w:t>
      </w:r>
      <w:r>
        <w:rPr>
          <w:rStyle w:val="FootnoteReference"/>
          <w:noProof/>
          <w:lang w:val="en-IE"/>
        </w:rPr>
        <w:footnoteReference w:id="100"/>
      </w:r>
      <w:r>
        <w:rPr>
          <w:noProof/>
        </w:rPr>
        <w:t>; iii) дейности, свързани с депата за отпадъци, инсталациите за изгаряне на отпадъци</w:t>
      </w:r>
      <w:r>
        <w:rPr>
          <w:rStyle w:val="FootnoteReference"/>
          <w:noProof/>
          <w:lang w:val="en-IE"/>
        </w:rPr>
        <w:footnoteReference w:id="101"/>
      </w:r>
      <w:r>
        <w:rPr>
          <w:noProof/>
        </w:rPr>
        <w:t xml:space="preserve"> и заводите за механично-биологично третиране</w:t>
      </w:r>
      <w:r>
        <w:rPr>
          <w:rStyle w:val="FootnoteReference"/>
          <w:noProof/>
          <w:lang w:val="en-IE"/>
        </w:rPr>
        <w:footnoteReference w:id="102"/>
      </w:r>
      <w:r>
        <w:rPr>
          <w:noProof/>
        </w:rPr>
        <w:t>; и iv) дейности, при които дългосрочното обезвреждане на отпадъци може да причини вреда на околната среда. В допълнение към това в заданието се изисква да могат да бъдат избирани само дейности, които отговарят на съответното законодателство на ЕС и национално законодателство в областта на околната среда.</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Изпълнението на инвестицията приключва до 31 декември 2023 г. </w:t>
      </w:r>
    </w:p>
    <w:p>
      <w:pPr>
        <w:spacing w:before="120" w:after="120" w:line="240" w:lineRule="auto"/>
        <w:jc w:val="both"/>
        <w:rPr>
          <w:rFonts w:ascii="Times New Roman" w:hAnsi="Times New Roman" w:cs="Times New Roman"/>
          <w:b/>
          <w:noProof/>
          <w:sz w:val="24"/>
          <w:u w:val="single"/>
        </w:rPr>
      </w:pPr>
      <w:r>
        <w:rPr>
          <w:rFonts w:ascii="Times New Roman" w:hAnsi="Times New Roman"/>
          <w:b/>
          <w:bCs/>
          <w:noProof/>
          <w:sz w:val="24"/>
          <w:u w:val="single"/>
        </w:rPr>
        <w:t xml:space="preserve">Ч.2. </w:t>
      </w:r>
      <w:r>
        <w:rPr>
          <w:rFonts w:ascii="Times New Roman" w:hAnsi="Times New Roman"/>
          <w:b/>
          <w:noProof/>
          <w:sz w:val="24"/>
          <w:u w:val="single"/>
        </w:rPr>
        <w:tab/>
      </w:r>
      <w:r>
        <w:rPr>
          <w:rFonts w:ascii="Times New Roman" w:hAnsi="Times New Roman"/>
          <w:b/>
          <w:bCs/>
          <w:noProof/>
          <w:sz w:val="24"/>
          <w:u w:val="single"/>
        </w:rPr>
        <w:t>Ключови етапи, цели, показатели и график за мониторинг и изпълнение на безвъзмездната финансова подкрепа</w:t>
      </w:r>
    </w:p>
    <w:p>
      <w:pPr>
        <w:spacing w:before="120" w:after="120" w:line="240" w:lineRule="auto"/>
        <w:jc w:val="both"/>
        <w:rPr>
          <w:rFonts w:ascii="Times New Roman" w:hAnsi="Times New Roman" w:cs="Times New Roman"/>
          <w:noProof/>
          <w:color w:val="1F497D"/>
        </w:rPr>
      </w:pPr>
      <w:r>
        <w:rPr>
          <w:rFonts w:ascii="Times New Roman" w:hAnsi="Times New Roman"/>
          <w:i/>
          <w:iCs/>
          <w:noProof/>
          <w:color w:val="000000"/>
          <w:sz w:val="24"/>
        </w:rPr>
        <w:t>Вж. таблицата по-долу.</w:t>
      </w:r>
      <w:r>
        <w:rPr>
          <w:rFonts w:ascii="Times New Roman" w:hAnsi="Times New Roman"/>
          <w:noProof/>
          <w:color w:val="1F497D"/>
          <w:sz w:val="24"/>
        </w:rPr>
        <w:t xml:space="preserve"> </w:t>
      </w:r>
      <w:r>
        <w:rPr>
          <w:rFonts w:ascii="Times New Roman" w:hAnsi="Times New Roman"/>
          <w:i/>
          <w:iCs/>
          <w:noProof/>
          <w:color w:val="000000"/>
          <w:sz w:val="24"/>
        </w:rPr>
        <w:t>Датата на базовата линия за всички показатели е 1 февруари 2020 г., освен ако не е посочено друго в описанието на действието. Сумите в таблицата не включват ДДС.</w:t>
      </w:r>
    </w:p>
    <w:p>
      <w:pPr>
        <w:spacing w:before="120" w:after="120" w:line="240" w:lineRule="auto"/>
        <w:jc w:val="both"/>
        <w:rPr>
          <w:rFonts w:ascii="Times New Roman" w:hAnsi="Times New Roman" w:cs="Times New Roman"/>
          <w:noProof/>
          <w:sz w:val="24"/>
          <w:lang w:val="en-IE"/>
        </w:rPr>
        <w:sectPr>
          <w:headerReference w:type="even" r:id="rId295"/>
          <w:headerReference w:type="default" r:id="rId296"/>
          <w:footerReference w:type="even" r:id="rId297"/>
          <w:footerReference w:type="default" r:id="rId298"/>
          <w:headerReference w:type="first" r:id="rId299"/>
          <w:footerReference w:type="first" r:id="rId300"/>
          <w:pgSz w:w="11907" w:h="16839"/>
          <w:pgMar w:top="1134" w:right="1417" w:bottom="1134" w:left="1417" w:header="709" w:footer="709" w:gutter="0"/>
          <w:cols w:space="720"/>
          <w:docGrid w:linePitch="360"/>
        </w:sectPr>
      </w:pPr>
    </w:p>
    <w:tbl>
      <w:tblPr>
        <w:tblW w:w="15310"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09"/>
        <w:gridCol w:w="851"/>
        <w:gridCol w:w="850"/>
        <w:gridCol w:w="1701"/>
        <w:gridCol w:w="1134"/>
        <w:gridCol w:w="851"/>
        <w:gridCol w:w="616"/>
        <w:gridCol w:w="660"/>
        <w:gridCol w:w="330"/>
        <w:gridCol w:w="662"/>
        <w:gridCol w:w="6946"/>
      </w:tblGrid>
      <w:tr>
        <w:trPr>
          <w:trHeight w:val="309"/>
          <w:tblHeader/>
        </w:trPr>
        <w:tc>
          <w:tcPr>
            <w:tcW w:w="709"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szCs w:val="18"/>
              </w:rPr>
              <w:t>Номер</w:t>
            </w:r>
          </w:p>
        </w:tc>
        <w:tc>
          <w:tcPr>
            <w:tcW w:w="851"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szCs w:val="18"/>
              </w:rPr>
              <w:t>Мярка</w:t>
            </w:r>
          </w:p>
        </w:tc>
        <w:tc>
          <w:tcPr>
            <w:tcW w:w="850"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szCs w:val="18"/>
              </w:rPr>
              <w:t>Ключов етап / Цел</w:t>
            </w:r>
          </w:p>
        </w:tc>
        <w:tc>
          <w:tcPr>
            <w:tcW w:w="1701"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szCs w:val="18"/>
              </w:rPr>
              <w:t>Наименование</w:t>
            </w:r>
          </w:p>
        </w:tc>
        <w:tc>
          <w:tcPr>
            <w:tcW w:w="1134"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szCs w:val="18"/>
              </w:rPr>
              <w:t>Качествени показатели за ключовите етапи</w:t>
            </w:r>
          </w:p>
        </w:tc>
        <w:tc>
          <w:tcPr>
            <w:tcW w:w="2127" w:type="dxa"/>
            <w:gridSpan w:val="3"/>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szCs w:val="18"/>
              </w:rPr>
              <w:t>Количествени показатели за целите</w:t>
            </w:r>
          </w:p>
        </w:tc>
        <w:tc>
          <w:tcPr>
            <w:tcW w:w="992" w:type="dxa"/>
            <w:gridSpan w:val="2"/>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szCs w:val="18"/>
              </w:rPr>
              <w:t>Време</w:t>
            </w:r>
          </w:p>
        </w:tc>
        <w:tc>
          <w:tcPr>
            <w:tcW w:w="6946" w:type="dxa"/>
            <w:tcBorders>
              <w:bottom w:val="nil"/>
            </w:tcBorders>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bCs/>
                <w:noProof/>
                <w:sz w:val="18"/>
                <w:szCs w:val="18"/>
              </w:rPr>
              <w:t>Описание на всеки ключов етап и всяка цел</w:t>
            </w:r>
          </w:p>
        </w:tc>
      </w:tr>
      <w:tr>
        <w:trPr>
          <w:trHeight w:val="309"/>
          <w:tblHeader/>
        </w:trPr>
        <w:tc>
          <w:tcPr>
            <w:tcW w:w="709"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851"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850"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1701" w:type="dxa"/>
            <w:tcBorders>
              <w:top w:val="nil"/>
            </w:tcBorders>
            <w:shd w:val="clear" w:color="auto" w:fill="C6D9F1" w:themeFill="text2" w:themeFillTint="33"/>
            <w:noWrap/>
          </w:tcPr>
          <w:p>
            <w:pPr>
              <w:spacing w:after="0" w:line="240" w:lineRule="auto"/>
              <w:rPr>
                <w:rFonts w:ascii="Times New Roman" w:hAnsi="Times New Roman" w:cs="Times New Roman"/>
                <w:b/>
                <w:noProof/>
                <w:color w:val="000000"/>
                <w:sz w:val="18"/>
                <w:szCs w:val="18"/>
              </w:rPr>
            </w:pPr>
          </w:p>
        </w:tc>
        <w:tc>
          <w:tcPr>
            <w:tcW w:w="1134"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851" w:type="dxa"/>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szCs w:val="18"/>
              </w:rPr>
              <w:t>Мерна единица</w:t>
            </w:r>
          </w:p>
        </w:tc>
        <w:tc>
          <w:tcPr>
            <w:tcW w:w="616" w:type="dxa"/>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szCs w:val="18"/>
              </w:rPr>
              <w:t>Базова линия</w:t>
            </w:r>
          </w:p>
        </w:tc>
        <w:tc>
          <w:tcPr>
            <w:tcW w:w="660" w:type="dxa"/>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szCs w:val="18"/>
              </w:rPr>
              <w:t>Цел</w:t>
            </w:r>
          </w:p>
        </w:tc>
        <w:tc>
          <w:tcPr>
            <w:tcW w:w="330" w:type="dxa"/>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szCs w:val="18"/>
              </w:rPr>
              <w:t>T</w:t>
            </w:r>
          </w:p>
        </w:tc>
        <w:tc>
          <w:tcPr>
            <w:tcW w:w="662" w:type="dxa"/>
            <w:shd w:val="clear" w:color="auto" w:fill="C6D9F1" w:themeFill="text2" w:themeFillTint="33"/>
            <w:noWrap/>
            <w:vAlign w:val="center"/>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szCs w:val="18"/>
              </w:rPr>
              <w:t>Година</w:t>
            </w:r>
          </w:p>
        </w:tc>
        <w:tc>
          <w:tcPr>
            <w:tcW w:w="6946" w:type="dxa"/>
            <w:tcBorders>
              <w:top w:val="nil"/>
            </w:tcBorders>
            <w:shd w:val="clear" w:color="auto" w:fill="C6D9F1" w:themeFill="text2" w:themeFillTint="33"/>
            <w:noWrap/>
          </w:tcPr>
          <w:p>
            <w:pPr>
              <w:spacing w:after="0" w:line="240" w:lineRule="auto"/>
              <w:rPr>
                <w:rFonts w:ascii="Times New Roman" w:hAnsi="Times New Roman" w:cs="Times New Roman"/>
                <w:b/>
                <w:noProof/>
                <w:color w:val="000000"/>
                <w:sz w:val="18"/>
                <w:szCs w:val="18"/>
                <w:lang w:val="en-IE"/>
              </w:rPr>
            </w:pP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352</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C24.R1</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1701"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Влизане в сила на статута, спонсорството и режима на данъчни стимули на художника.</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Разпоредби на регламента относно влизането в сила</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616"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66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33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662"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2022</w:t>
            </w:r>
          </w:p>
        </w:tc>
        <w:tc>
          <w:tcPr>
            <w:tcW w:w="6946"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Влизане в сила на нормативни промени за прилагане на статута на художника и регулиране на следните аспекти с цел подобряване на условията на труд на хората на изкуството: адекватност на ДДС; данък върху доходите на физическите лица, представителност на профсъюзите, здраве и специални трудови правоотношения на артистите в публичната кариера; по-добро регулиране на спонсорството и режима на данъчни стимули.</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353</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C24.R2</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1701"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Влизане в сила на законодателни и регулаторни мерки за укрепване на авторското право и сродните му права</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Разпоредби в правните актове относно влизането в сила</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616"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66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33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662"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2023</w:t>
            </w:r>
          </w:p>
        </w:tc>
        <w:tc>
          <w:tcPr>
            <w:tcW w:w="6946"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1) Приемане на законодателството относно правата върху интелектуалната собственост в рамките на европейския цифров единен пазар с пълно транспониране на Директива 2019/789 относно спътниковото излъчване и кабелното препредаване и Директива 2019/790; 2) Кралски указ за одобряване на Наредбата за регистъра на интелектуалната собственост; 3) Кралски указ за изменение на Кралски указ 1889/2011 от 30 декември 2006 г., уреждащ функционирането на Комисията по интелектуална собственост; и 4) Одобряване на подходящия нормативен акт и на устава на Испанската служба за авторското право</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354</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C24.I1</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w:t>
            </w:r>
          </w:p>
        </w:tc>
        <w:tc>
          <w:tcPr>
            <w:tcW w:w="1701"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szCs w:val="18"/>
              </w:rPr>
              <w:t xml:space="preserve">Засилване на конкурентоспособността на културните индустрии </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Номер</w:t>
            </w:r>
          </w:p>
        </w:tc>
        <w:tc>
          <w:tcPr>
            <w:tcW w:w="616"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0</w:t>
            </w:r>
          </w:p>
        </w:tc>
        <w:tc>
          <w:tcPr>
            <w:tcW w:w="66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1 216</w:t>
            </w:r>
          </w:p>
        </w:tc>
        <w:tc>
          <w:tcPr>
            <w:tcW w:w="33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662"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2023</w:t>
            </w:r>
          </w:p>
        </w:tc>
        <w:tc>
          <w:tcPr>
            <w:tcW w:w="6946"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Брой на субектите и проектите, които получават финансиране от схемата за подпомагане, за:</w:t>
            </w:r>
            <w:r>
              <w:rPr>
                <w:rFonts w:ascii="Times New Roman" w:hAnsi="Times New Roman"/>
                <w:noProof/>
                <w:color w:val="000000"/>
                <w:sz w:val="18"/>
                <w:szCs w:val="18"/>
              </w:rPr>
              <w:br/>
              <w:t>- предприемачески и финансови умения на професионалистите от културните и творческите индустрии (най-малко 900 субекта);</w:t>
            </w:r>
            <w:r>
              <w:rPr>
                <w:rFonts w:ascii="Times New Roman" w:hAnsi="Times New Roman"/>
                <w:noProof/>
                <w:color w:val="000000"/>
                <w:sz w:val="18"/>
                <w:szCs w:val="18"/>
              </w:rPr>
              <w:br/>
              <w:t>- извършване на планиране на цифровизацията и създаване на инструменти за обсъждане на цифровата трансформация (най-малко 16 проекта);</w:t>
            </w:r>
            <w:r>
              <w:rPr>
                <w:rFonts w:ascii="Times New Roman" w:hAnsi="Times New Roman"/>
                <w:noProof/>
                <w:color w:val="000000"/>
                <w:sz w:val="18"/>
                <w:szCs w:val="18"/>
              </w:rPr>
              <w:br/>
              <w:t>- интернационализация на културните и творческите индустрии (най-малко 300 субекта).</w:t>
            </w:r>
            <w:r>
              <w:rPr>
                <w:rFonts w:ascii="Times New Roman" w:hAnsi="Times New Roman"/>
                <w:noProof/>
                <w:color w:val="000000"/>
                <w:sz w:val="18"/>
                <w:szCs w:val="18"/>
              </w:rPr>
              <w:br/>
              <w:t>Проектите са в съответствие с Техническите насоки „Ненанасяне на значителни вреди“ (2021/C58/01) чрез използване на списък за изключване и изискване за спазване на съответното законодателство на ЕС и национално законодателство в областта на околната среда с цел:</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355</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C24.I2</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w:t>
            </w:r>
          </w:p>
        </w:tc>
        <w:tc>
          <w:tcPr>
            <w:tcW w:w="1701"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Модернизация и устойчиво управление на инфраструктурата за сценични и музикални изкуства</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Номер</w:t>
            </w:r>
          </w:p>
        </w:tc>
        <w:tc>
          <w:tcPr>
            <w:tcW w:w="616"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0</w:t>
            </w:r>
          </w:p>
        </w:tc>
        <w:tc>
          <w:tcPr>
            <w:tcW w:w="66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200</w:t>
            </w:r>
          </w:p>
        </w:tc>
        <w:tc>
          <w:tcPr>
            <w:tcW w:w="33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662"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2023</w:t>
            </w:r>
          </w:p>
        </w:tc>
        <w:tc>
          <w:tcPr>
            <w:tcW w:w="6946"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Модернизиране и устойчиво управление на инфраструктурата на сценичните изкуства в напреднала възраст и на музикалното изкуство: най-малко 200 действия, изпълнени в най-малко 17 региона в съответствие с техническите насоки „Ненанасяне на значителни вреди“ (2021/C58/01) чрез използването на списък за изключване и изискването за съответствие със съответното законодателство на ЕС и национално законодателство в областта на околната среда.</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356</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C24.I2</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w:t>
            </w:r>
          </w:p>
        </w:tc>
        <w:tc>
          <w:tcPr>
            <w:tcW w:w="1701"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Опазване, възстановяване и подобряване на испанското културно наследство</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Номер</w:t>
            </w:r>
          </w:p>
        </w:tc>
        <w:tc>
          <w:tcPr>
            <w:tcW w:w="616"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0</w:t>
            </w:r>
          </w:p>
        </w:tc>
        <w:tc>
          <w:tcPr>
            <w:tcW w:w="66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w:t>
            </w:r>
          </w:p>
        </w:tc>
        <w:tc>
          <w:tcPr>
            <w:tcW w:w="33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662"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2023</w:t>
            </w:r>
          </w:p>
        </w:tc>
        <w:tc>
          <w:tcPr>
            <w:tcW w:w="6946"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Културни обекти, подкрепени с мерки за опазване, възстановяване и подобряване на испанското културно наследство: най-малко 20 обекта в най-малко 15 региона в съответствие с техническите насоки „Ненанасяне на значителни вреди“ (2021/C58/01) чрез използването на списък за изключване и изискването за съответствие със съответното законодателство на ЕС и национално законодателство в областта на околната среда. </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357</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C24.I2</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w:t>
            </w:r>
          </w:p>
        </w:tc>
        <w:tc>
          <w:tcPr>
            <w:tcW w:w="1701"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Лицензи за електронни книги за библиотеки</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Номер</w:t>
            </w:r>
          </w:p>
        </w:tc>
        <w:tc>
          <w:tcPr>
            <w:tcW w:w="616"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0</w:t>
            </w:r>
          </w:p>
        </w:tc>
        <w:tc>
          <w:tcPr>
            <w:tcW w:w="66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300 000</w:t>
            </w:r>
          </w:p>
        </w:tc>
        <w:tc>
          <w:tcPr>
            <w:tcW w:w="33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662"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2023</w:t>
            </w:r>
          </w:p>
        </w:tc>
        <w:tc>
          <w:tcPr>
            <w:tcW w:w="6946"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Лицензи за електронни книги, закупени и предоставени на обществени библиотеки (най-малко 300 000) </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358</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C24.I2</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w:t>
            </w:r>
          </w:p>
        </w:tc>
        <w:tc>
          <w:tcPr>
            <w:tcW w:w="1701"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Покупки на книги за библиотеки</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Номер</w:t>
            </w:r>
          </w:p>
        </w:tc>
        <w:tc>
          <w:tcPr>
            <w:tcW w:w="616"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0</w:t>
            </w:r>
          </w:p>
        </w:tc>
        <w:tc>
          <w:tcPr>
            <w:tcW w:w="66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450 000</w:t>
            </w:r>
          </w:p>
        </w:tc>
        <w:tc>
          <w:tcPr>
            <w:tcW w:w="33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662"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2023</w:t>
            </w:r>
          </w:p>
        </w:tc>
        <w:tc>
          <w:tcPr>
            <w:tcW w:w="6946"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Книги на хартиен носител, закупени и прехвърлени на обществени библиотеки (най-малко 450 000) </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359</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C24.I2</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w:t>
            </w:r>
          </w:p>
        </w:tc>
        <w:tc>
          <w:tcPr>
            <w:tcW w:w="1701"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Насърчаване на културните и творческите инициативи </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Номер</w:t>
            </w:r>
          </w:p>
        </w:tc>
        <w:tc>
          <w:tcPr>
            <w:tcW w:w="616"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0</w:t>
            </w:r>
          </w:p>
        </w:tc>
        <w:tc>
          <w:tcPr>
            <w:tcW w:w="66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400</w:t>
            </w:r>
          </w:p>
        </w:tc>
        <w:tc>
          <w:tcPr>
            <w:tcW w:w="33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662"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2023</w:t>
            </w:r>
          </w:p>
        </w:tc>
        <w:tc>
          <w:tcPr>
            <w:tcW w:w="6946"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Насърчаване на културната дейност на организациите със стопанска и нестопанска цел в извънградските райони (най-малко 400 инициативи).</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360</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C24.I3</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w:t>
            </w:r>
          </w:p>
        </w:tc>
        <w:tc>
          <w:tcPr>
            <w:tcW w:w="1701"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Цифровизация и насърчаване на основни услуги в областта на културата </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в милиони евро</w:t>
            </w:r>
          </w:p>
        </w:tc>
        <w:tc>
          <w:tcPr>
            <w:tcW w:w="616"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0</w:t>
            </w:r>
          </w:p>
        </w:tc>
        <w:tc>
          <w:tcPr>
            <w:tcW w:w="66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40</w:t>
            </w:r>
          </w:p>
        </w:tc>
        <w:tc>
          <w:tcPr>
            <w:tcW w:w="33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T2</w:t>
            </w:r>
          </w:p>
        </w:tc>
        <w:tc>
          <w:tcPr>
            <w:tcW w:w="662"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2022</w:t>
            </w:r>
          </w:p>
        </w:tc>
        <w:tc>
          <w:tcPr>
            <w:tcW w:w="6946" w:type="dxa"/>
            <w:shd w:val="clear" w:color="auto" w:fill="C6EFCE"/>
            <w:noWrap/>
          </w:tcPr>
          <w:p>
            <w:pPr>
              <w:spacing w:after="0" w:line="240" w:lineRule="auto"/>
              <w:rPr>
                <w:rFonts w:ascii="Times New Roman" w:hAnsi="Times New Roman"/>
                <w:noProof/>
                <w:color w:val="000000"/>
                <w:sz w:val="18"/>
                <w:szCs w:val="18"/>
              </w:rPr>
            </w:pPr>
            <w:r>
              <w:rPr>
                <w:rFonts w:ascii="Times New Roman" w:hAnsi="Times New Roman"/>
                <w:noProof/>
                <w:color w:val="000000"/>
                <w:sz w:val="18"/>
                <w:szCs w:val="18"/>
              </w:rPr>
              <w:t xml:space="preserve">Общ бюджет, за който са поети задължения в размер на най-малко 40 000 000 EUR, за да се допринесе за: </w:t>
            </w:r>
            <w:r>
              <w:rPr>
                <w:rFonts w:ascii="Times New Roman" w:hAnsi="Times New Roman"/>
                <w:noProof/>
                <w:color w:val="000000"/>
                <w:sz w:val="18"/>
                <w:szCs w:val="18"/>
              </w:rPr>
              <w:br/>
              <w:t>- Насърчаване и цифровизация на Националния музей „Прадо„ и музея „Рина София“;</w:t>
            </w:r>
            <w:r>
              <w:rPr>
                <w:rFonts w:ascii="Times New Roman" w:hAnsi="Times New Roman"/>
                <w:noProof/>
                <w:color w:val="000000"/>
                <w:sz w:val="18"/>
                <w:szCs w:val="18"/>
              </w:rPr>
              <w:br/>
              <w:t>- Действия за увеличаване на годишните потребители на цифровата колекция на Испанската национална библиотека</w:t>
            </w:r>
            <w:r>
              <w:rPr>
                <w:rFonts w:ascii="Times New Roman" w:hAnsi="Times New Roman"/>
                <w:noProof/>
                <w:color w:val="000000"/>
                <w:sz w:val="18"/>
                <w:szCs w:val="18"/>
              </w:rPr>
              <w:br/>
              <w:t>- Цифровизация на другото библиографски наследство [цифровизирани сбирки на културно наследство];</w:t>
            </w:r>
          </w:p>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Цифров достъп до библиографските наследство и оперативна съвместимост на всички видове публични архивни системи и разширяване на капацитета за съхранение на данни на испанския опис на историческото наследство и архивни системи; </w:t>
            </w:r>
            <w:r>
              <w:rPr>
                <w:rFonts w:ascii="Times New Roman" w:hAnsi="Times New Roman"/>
                <w:noProof/>
                <w:color w:val="000000"/>
                <w:sz w:val="18"/>
                <w:szCs w:val="18"/>
              </w:rPr>
              <w:br/>
              <w:t>- Доизграждане на интегрирана система за цифровизация и каталогизиране на ресурсите, активите, структурите и инфраструктурата на INAEM</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361</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C24.I3</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w:t>
            </w:r>
          </w:p>
        </w:tc>
        <w:tc>
          <w:tcPr>
            <w:tcW w:w="1701"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Завършване на цифровизацията и насърчаване на основни услуги в областта на културата </w:t>
            </w:r>
          </w:p>
        </w:tc>
        <w:tc>
          <w:tcPr>
            <w:tcW w:w="1134"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Номер</w:t>
            </w:r>
          </w:p>
        </w:tc>
        <w:tc>
          <w:tcPr>
            <w:tcW w:w="616"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0</w:t>
            </w:r>
          </w:p>
        </w:tc>
        <w:tc>
          <w:tcPr>
            <w:tcW w:w="66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200</w:t>
            </w:r>
          </w:p>
        </w:tc>
        <w:tc>
          <w:tcPr>
            <w:tcW w:w="33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662"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2023</w:t>
            </w:r>
          </w:p>
        </w:tc>
        <w:tc>
          <w:tcPr>
            <w:tcW w:w="6946"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Завършване на най-малко 200 проекта в съответствие с техническите насоки „Ненанасяне на значителни вреди“ (2021/C58/01) чрез използване на списък за изключване и изискване за съответствие със съответното законодателство на ЕС и национално законодателство в областта на околната среда с цел: </w:t>
            </w:r>
            <w:r>
              <w:rPr>
                <w:rFonts w:ascii="Times New Roman" w:hAnsi="Times New Roman"/>
                <w:noProof/>
                <w:color w:val="000000"/>
                <w:sz w:val="18"/>
                <w:szCs w:val="18"/>
              </w:rPr>
              <w:br/>
              <w:t>- Насърчаване и цифровизация на Националния музей „Прадо„ и музея „Рина София“;</w:t>
            </w:r>
            <w:r>
              <w:rPr>
                <w:rFonts w:ascii="Times New Roman" w:hAnsi="Times New Roman"/>
                <w:noProof/>
                <w:color w:val="000000"/>
                <w:sz w:val="18"/>
                <w:szCs w:val="18"/>
              </w:rPr>
              <w:br/>
              <w:t>- Действия за увеличаване на годишните потребители на цифровата колекция на Испанската национална библиотека</w:t>
            </w:r>
            <w:r>
              <w:rPr>
                <w:rFonts w:ascii="Times New Roman" w:hAnsi="Times New Roman"/>
                <w:noProof/>
                <w:color w:val="000000"/>
                <w:sz w:val="18"/>
                <w:szCs w:val="18"/>
              </w:rPr>
              <w:br/>
              <w:t xml:space="preserve">- Цифров достъп до библиографските наследство и оперативна съвместимост на всички видове публични архивни системи и разширяване на капацитета за съхранение на данни на испанския опис на историческото наследство и архивни системи; </w:t>
            </w:r>
            <w:r>
              <w:rPr>
                <w:rFonts w:ascii="Times New Roman" w:hAnsi="Times New Roman"/>
                <w:noProof/>
                <w:color w:val="000000"/>
                <w:sz w:val="18"/>
                <w:szCs w:val="18"/>
              </w:rPr>
              <w:br/>
              <w:t>- Доизграждане на интегрирана система за цифровизация и каталогизиране на ресурсите, активите, структурите и инфраструктурата на INAEMН.</w:t>
            </w:r>
          </w:p>
        </w:tc>
      </w:tr>
      <w:tr>
        <w:trPr>
          <w:trHeight w:val="309"/>
        </w:trPr>
        <w:tc>
          <w:tcPr>
            <w:tcW w:w="709"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362</w:t>
            </w:r>
          </w:p>
        </w:tc>
        <w:tc>
          <w:tcPr>
            <w:tcW w:w="851"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C24.I3</w:t>
            </w:r>
          </w:p>
        </w:tc>
        <w:tc>
          <w:tcPr>
            <w:tcW w:w="850"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T</w:t>
            </w:r>
          </w:p>
        </w:tc>
        <w:tc>
          <w:tcPr>
            <w:tcW w:w="1701"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szCs w:val="18"/>
              </w:rPr>
              <w:t xml:space="preserve">Завършване на цифровизацията на библиграфското наследство </w:t>
            </w:r>
          </w:p>
        </w:tc>
        <w:tc>
          <w:tcPr>
            <w:tcW w:w="1134"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 </w:t>
            </w:r>
          </w:p>
        </w:tc>
        <w:tc>
          <w:tcPr>
            <w:tcW w:w="851"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 xml:space="preserve">Брой </w:t>
            </w:r>
            <w:r>
              <w:rPr>
                <w:rFonts w:ascii="Times New Roman" w:hAnsi="Times New Roman"/>
                <w:noProof/>
                <w:color w:val="000000"/>
                <w:sz w:val="18"/>
                <w:szCs w:val="18"/>
              </w:rPr>
              <w:br/>
              <w:t>(в млн.)</w:t>
            </w:r>
          </w:p>
        </w:tc>
        <w:tc>
          <w:tcPr>
            <w:tcW w:w="616" w:type="dxa"/>
            <w:shd w:val="clear" w:color="auto" w:fill="C6EFCE"/>
            <w:noWrap/>
          </w:tcPr>
          <w:p>
            <w:pPr>
              <w:spacing w:after="0" w:line="240" w:lineRule="auto"/>
              <w:jc w:val="right"/>
              <w:rPr>
                <w:rFonts w:ascii="Times New Roman" w:hAnsi="Times New Roman" w:cs="Times New Roman"/>
                <w:noProof/>
                <w:color w:val="000000"/>
                <w:sz w:val="18"/>
                <w:szCs w:val="18"/>
              </w:rPr>
            </w:pPr>
            <w:r>
              <w:rPr>
                <w:rFonts w:ascii="Times New Roman" w:hAnsi="Times New Roman"/>
                <w:noProof/>
                <w:color w:val="000000"/>
                <w:sz w:val="18"/>
                <w:szCs w:val="18"/>
              </w:rPr>
              <w:t>10</w:t>
            </w:r>
          </w:p>
        </w:tc>
        <w:tc>
          <w:tcPr>
            <w:tcW w:w="660"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12</w:t>
            </w:r>
          </w:p>
        </w:tc>
        <w:tc>
          <w:tcPr>
            <w:tcW w:w="330"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T4</w:t>
            </w:r>
          </w:p>
        </w:tc>
        <w:tc>
          <w:tcPr>
            <w:tcW w:w="662" w:type="dxa"/>
            <w:shd w:val="clear" w:color="auto" w:fill="C6EFCE"/>
            <w:noWrap/>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2023</w:t>
            </w:r>
          </w:p>
        </w:tc>
        <w:tc>
          <w:tcPr>
            <w:tcW w:w="6946" w:type="dxa"/>
            <w:shd w:val="clear" w:color="auto" w:fill="C6EFCE"/>
            <w:noWrap/>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szCs w:val="18"/>
              </w:rPr>
              <w:t>Цифровизация на библиографското наследство (обществени и частни колекции) (общо 12 милиона потребители на културното наследство/цифровизирани колекции)</w:t>
            </w:r>
          </w:p>
        </w:tc>
      </w:tr>
    </w:tbl>
    <w:p>
      <w:pPr>
        <w:keepNext/>
        <w:spacing w:before="120" w:after="360" w:line="240" w:lineRule="auto"/>
        <w:jc w:val="center"/>
        <w:rPr>
          <w:rFonts w:ascii="Times New Roman" w:hAnsi="Times New Roman" w:cs="Times New Roman"/>
          <w:b/>
          <w:smallCaps/>
          <w:noProof/>
          <w:sz w:val="28"/>
        </w:rPr>
        <w:sectPr>
          <w:headerReference w:type="even" r:id="rId301"/>
          <w:headerReference w:type="default" r:id="rId302"/>
          <w:footerReference w:type="even" r:id="rId303"/>
          <w:footerReference w:type="default" r:id="rId304"/>
          <w:headerReference w:type="first" r:id="rId305"/>
          <w:footerReference w:type="first" r:id="rId306"/>
          <w:pgSz w:w="16839" w:h="11907" w:orient="landscape"/>
          <w:pgMar w:top="1417" w:right="1134" w:bottom="1417" w:left="1134" w:header="709" w:footer="709" w:gutter="0"/>
          <w:cols w:space="720"/>
          <w:docGrid w:linePitch="360"/>
        </w:sectPr>
      </w:pPr>
    </w:p>
    <w:p>
      <w:pPr>
        <w:pStyle w:val="Heading1"/>
        <w:rPr>
          <w:noProof/>
        </w:rPr>
      </w:pPr>
      <w:r>
        <w:rPr>
          <w:noProof/>
        </w:rPr>
        <w:t>Ш. КОМПОНЕНТ 25: Испански аудио-визуален център</w:t>
      </w:r>
    </w:p>
    <w:p>
      <w:pPr>
        <w:tabs>
          <w:tab w:val="left" w:pos="1134"/>
        </w:tabs>
        <w:spacing w:before="120" w:after="120" w:line="240" w:lineRule="auto"/>
        <w:jc w:val="both"/>
        <w:rPr>
          <w:rFonts w:ascii="Times New Roman" w:hAnsi="Times New Roman" w:cs="Times New Roman"/>
          <w:bCs/>
          <w:iCs/>
          <w:noProof/>
          <w:sz w:val="24"/>
        </w:rPr>
      </w:pPr>
      <w:r>
        <w:rPr>
          <w:rFonts w:ascii="Times New Roman" w:hAnsi="Times New Roman"/>
          <w:bCs/>
          <w:iCs/>
          <w:noProof/>
          <w:sz w:val="24"/>
        </w:rPr>
        <w:t xml:space="preserve">Този компонент на испанския план за възстановяване и устойчивост обединява редица инвестиции и реформи, насочени към съживяване и укрепване на аудио-визуалния сектор. Тя има за цел подобряване на инвестиционната среда, консолидиране на Испания като международна платформа за аудио-визуални инвестиции и превръщане на Испания в референция при износа на аудио-визуални продукти, включително видеоигри и цифрово творчество. Този компонент включва и действия за насърчаване на интернационализацията на предприятията, засилване на иновациите в сектора и прилагане на по-добро регулиране. </w:t>
      </w:r>
    </w:p>
    <w:p>
      <w:pPr>
        <w:tabs>
          <w:tab w:val="left" w:pos="1134"/>
        </w:tabs>
        <w:spacing w:before="120" w:after="120" w:line="240" w:lineRule="auto"/>
        <w:jc w:val="both"/>
        <w:rPr>
          <w:rFonts w:ascii="Times New Roman" w:hAnsi="Times New Roman" w:cs="Times New Roman"/>
          <w:bCs/>
          <w:iCs/>
          <w:noProof/>
          <w:sz w:val="24"/>
        </w:rPr>
      </w:pPr>
      <w:r>
        <w:rPr>
          <w:rFonts w:ascii="Times New Roman" w:hAnsi="Times New Roman"/>
          <w:bCs/>
          <w:iCs/>
          <w:noProof/>
          <w:sz w:val="24"/>
        </w:rPr>
        <w:t xml:space="preserve">В съответствие с плана „Испания – Цифров 2025„и с наскоро одобрения „План Испания – аудио-визуален център на Европа“ се очаква компонентът да подкрепи създаването на работни места, особено сред младите хора, туристическата индустрия и да включва действия за намаляване на неравнопоставеността между половете. </w:t>
      </w:r>
    </w:p>
    <w:p>
      <w:pPr>
        <w:tabs>
          <w:tab w:val="left" w:pos="1134"/>
        </w:tabs>
        <w:spacing w:before="120" w:after="120" w:line="240" w:lineRule="auto"/>
        <w:jc w:val="both"/>
        <w:rPr>
          <w:rFonts w:ascii="Times New Roman" w:hAnsi="Times New Roman" w:cs="Times New Roman"/>
          <w:bCs/>
          <w:iCs/>
          <w:noProof/>
          <w:sz w:val="24"/>
          <w:szCs w:val="24"/>
        </w:rPr>
      </w:pPr>
      <w:r>
        <w:rPr>
          <w:rFonts w:ascii="Times New Roman" w:hAnsi="Times New Roman"/>
          <w:noProof/>
          <w:sz w:val="24"/>
          <w:szCs w:val="24"/>
        </w:rPr>
        <w:t>Компонентът е насочен към специфичните за всяка държава препоръки за насърчаване на инвестициите в иновации (специфична за всяка държава препоръка 3 2019 г.) и насочване на инвестициите към екологичния и цифровия преход (специфична за всяка държава препоръка 3 2020 г.).</w:t>
      </w:r>
    </w:p>
    <w:p>
      <w:pPr>
        <w:tabs>
          <w:tab w:val="left" w:pos="1134"/>
        </w:tabs>
        <w:spacing w:before="120" w:after="120" w:line="240" w:lineRule="auto"/>
        <w:jc w:val="both"/>
        <w:rPr>
          <w:rFonts w:ascii="Times New Roman" w:hAnsi="Times New Roman" w:cs="Times New Roman"/>
          <w:bCs/>
          <w:iCs/>
          <w:noProof/>
          <w:sz w:val="24"/>
          <w:szCs w:val="24"/>
        </w:rPr>
      </w:pPr>
      <w:r>
        <w:rPr>
          <w:rFonts w:ascii="Times New Roman" w:hAnsi="Times New Roman"/>
          <w:noProof/>
          <w:color w:val="000000" w:themeColor="text1"/>
          <w:sz w:val="24"/>
          <w:szCs w:val="24"/>
        </w:rPr>
        <w:t>Очаква се, че нито една мярка в този компонент не вреди в значителна степен на екологичните цели по смисъла на член 17 от Регламент (ЕС) 2020/852, като се вземат предвид описанието на мерките и стъпките за смекчаване на последиците, определени в плана за възстановяване и устойчивост в съответствие с Техническите насоки за спазването на „принципа за ненанасяне на съществена вреда“ (2021/C58/01).</w:t>
      </w:r>
      <w:r>
        <w:rPr>
          <w:rFonts w:ascii="Times New Roman" w:hAnsi="Times New Roman"/>
          <w:bCs/>
          <w:iCs/>
          <w:noProof/>
          <w:sz w:val="24"/>
          <w:szCs w:val="24"/>
        </w:rPr>
        <w:t xml:space="preserve"> </w:t>
      </w:r>
    </w:p>
    <w:p>
      <w:pPr>
        <w:spacing w:before="120" w:after="120" w:line="240" w:lineRule="auto"/>
        <w:jc w:val="both"/>
        <w:rPr>
          <w:rFonts w:ascii="Times New Roman" w:hAnsi="Times New Roman" w:cs="Times New Roman"/>
          <w:b/>
          <w:i/>
          <w:noProof/>
          <w:color w:val="4F81BD" w:themeColor="accent1"/>
          <w:sz w:val="24"/>
        </w:rPr>
      </w:pPr>
      <w:r>
        <w:rPr>
          <w:rFonts w:ascii="Times New Roman" w:hAnsi="Times New Roman"/>
          <w:b/>
          <w:bCs/>
          <w:noProof/>
          <w:sz w:val="24"/>
          <w:u w:val="single"/>
        </w:rPr>
        <w:t xml:space="preserve">Ш.1. </w:t>
      </w:r>
      <w:r>
        <w:rPr>
          <w:rFonts w:ascii="Times New Roman" w:hAnsi="Times New Roman"/>
          <w:b/>
          <w:noProof/>
          <w:sz w:val="24"/>
          <w:u w:val="single"/>
        </w:rPr>
        <w:tab/>
      </w:r>
      <w:r>
        <w:rPr>
          <w:rFonts w:ascii="Times New Roman" w:hAnsi="Times New Roman"/>
          <w:b/>
          <w:bCs/>
          <w:noProof/>
          <w:sz w:val="24"/>
          <w:u w:val="single"/>
        </w:rPr>
        <w:t>Описание на реформите и инвестициите за безвъзмездна финансова подкрепа</w:t>
      </w:r>
    </w:p>
    <w:p>
      <w:pPr>
        <w:spacing w:before="120" w:after="120" w:line="240" w:lineRule="auto"/>
        <w:jc w:val="both"/>
        <w:rPr>
          <w:rFonts w:ascii="Times New Roman" w:hAnsi="Times New Roman" w:cs="Times New Roman"/>
          <w:bCs/>
          <w:noProof/>
          <w:sz w:val="24"/>
          <w:u w:val="single"/>
        </w:rPr>
      </w:pPr>
      <w:r>
        <w:rPr>
          <w:rFonts w:ascii="Times New Roman" w:hAnsi="Times New Roman"/>
          <w:bCs/>
          <w:noProof/>
          <w:sz w:val="24"/>
          <w:u w:val="single"/>
        </w:rPr>
        <w:t xml:space="preserve">Реформа 1 (C25.R1): Реформа на аудио-визуалната регулаторна рамка </w:t>
      </w:r>
    </w:p>
    <w:p>
      <w:pPr>
        <w:spacing w:before="120" w:after="120" w:line="240" w:lineRule="auto"/>
        <w:jc w:val="both"/>
        <w:rPr>
          <w:rFonts w:ascii="Times New Roman" w:hAnsi="Times New Roman" w:cs="Times New Roman"/>
          <w:bCs/>
          <w:noProof/>
          <w:sz w:val="24"/>
        </w:rPr>
      </w:pPr>
      <w:r>
        <w:rPr>
          <w:rFonts w:ascii="Times New Roman" w:hAnsi="Times New Roman"/>
          <w:bCs/>
          <w:noProof/>
          <w:sz w:val="24"/>
        </w:rPr>
        <w:t>Реформата на аудио-визуалната регулаторна рамка включва приемането на два закона и одобряването на секторен план:</w:t>
      </w:r>
    </w:p>
    <w:p>
      <w:pPr>
        <w:numPr>
          <w:ilvl w:val="0"/>
          <w:numId w:val="117"/>
        </w:numPr>
        <w:spacing w:before="120" w:after="120" w:line="240" w:lineRule="auto"/>
        <w:jc w:val="both"/>
        <w:rPr>
          <w:rFonts w:ascii="Times New Roman" w:hAnsi="Times New Roman" w:cs="Times New Roman"/>
          <w:bCs/>
          <w:noProof/>
          <w:sz w:val="24"/>
        </w:rPr>
      </w:pPr>
      <w:r>
        <w:rPr>
          <w:rFonts w:ascii="Times New Roman" w:hAnsi="Times New Roman"/>
          <w:bCs/>
          <w:noProof/>
          <w:sz w:val="24"/>
        </w:rPr>
        <w:t xml:space="preserve">Влизане в сила на Общия закон за аудио-визуалната комуникация, който има различни цели. Първо, адаптиране и модернизиране на правната рамка за аудио-визуалните медийни услуги и услугите за видеообмен на платформи в Испания. Второ, да се създадат механизми за гарантиране на правата на потребителите, като например защитата на непълнолетните лица и на обществеността от определени видове съдържание. Трето, насърчаване на европейската аудио-визуална дейност чрез удвояване на подкрепата за независимото аудио-визуално производство. Четвърто, да се подобри интеграцията на хората с увреждания. Законът влиза в сила до края на първото тримесечие на 2022 г. </w:t>
      </w:r>
    </w:p>
    <w:p>
      <w:pPr>
        <w:numPr>
          <w:ilvl w:val="0"/>
          <w:numId w:val="117"/>
        </w:numPr>
        <w:spacing w:before="120" w:after="120" w:line="240" w:lineRule="auto"/>
        <w:jc w:val="both"/>
        <w:rPr>
          <w:rFonts w:ascii="Times New Roman" w:hAnsi="Times New Roman" w:cs="Times New Roman"/>
          <w:bCs/>
          <w:noProof/>
          <w:sz w:val="24"/>
        </w:rPr>
      </w:pPr>
      <w:r>
        <w:rPr>
          <w:rFonts w:ascii="Times New Roman" w:hAnsi="Times New Roman"/>
          <w:bCs/>
          <w:noProof/>
          <w:sz w:val="24"/>
        </w:rPr>
        <w:t xml:space="preserve">Реформа на Закон 55/2007 относно киното, която има за цел i) актуализиране на разпоредбите на закона в съответствие с новата реалност в сектора; II) привеждане на регулаторната рамка в съответствие с европейската правна рамка, включително правилата за държавна помощ; и iii) актуализиране и изменение на механизма за предоставяне на финансова подкрепа за аудио-визуалния сектор. Това влиза в сила до 31 декември 2023 г. </w:t>
      </w:r>
    </w:p>
    <w:p>
      <w:pPr>
        <w:numPr>
          <w:ilvl w:val="0"/>
          <w:numId w:val="117"/>
        </w:numPr>
        <w:spacing w:before="120" w:after="120" w:line="240" w:lineRule="auto"/>
        <w:jc w:val="both"/>
        <w:rPr>
          <w:rFonts w:ascii="Times New Roman" w:hAnsi="Times New Roman" w:cs="Times New Roman"/>
          <w:bCs/>
          <w:noProof/>
          <w:sz w:val="24"/>
        </w:rPr>
      </w:pPr>
      <w:r>
        <w:rPr>
          <w:rFonts w:ascii="Times New Roman" w:hAnsi="Times New Roman"/>
          <w:bCs/>
          <w:noProof/>
          <w:sz w:val="24"/>
        </w:rPr>
        <w:t>Приемане и изпълнение на плана „Испански аудио-визуален център за Европа“, който има за цел превръщането на Испания в световна инвестиционна платформа, привличането на чуждестранни инвестиции и износа на аудио-визуални продукти. Този план беше приет от Съвета на министрите през март 2021 г. Тя включва инвестиции за подобряване на цялата верига за създаване на стойност на аудио-визуалната индустрия въз основа на сравнителните предимства на Испания в сектора, включително добре установена аудиовизуална индустрия, добре обучен човешки капитал и световно признат творчески капацитет. Планът включва всички аудио-визуални формати (като кино, сериали, реклама, видеоигри и анимация). „Аудио-визуалният център на Испания за Европа“ има за цел да установи полезни взаимодействия с други сектори като културата и туризма. Включените мерки се основават на четири приоритета: i) да превърне Испания в притегателна сила за аудио-визуалното производство, ii) да намали административните и регулаторните разходи, свързани със сектора, iii) да подобри конкурентоспособността на предприятията в сектора чрез инвестиране в тяхната цифровизация и iv) да генерира таланти и да намали неравенството между половете.</w:t>
      </w:r>
    </w:p>
    <w:p>
      <w:pPr>
        <w:spacing w:before="120" w:after="120" w:line="240" w:lineRule="auto"/>
        <w:jc w:val="both"/>
        <w:rPr>
          <w:rFonts w:ascii="Times New Roman" w:hAnsi="Times New Roman" w:cs="Times New Roman"/>
          <w:bCs/>
          <w:noProof/>
          <w:sz w:val="24"/>
        </w:rPr>
      </w:pPr>
      <w:r>
        <w:rPr>
          <w:rFonts w:ascii="Times New Roman" w:hAnsi="Times New Roman"/>
          <w:bCs/>
          <w:noProof/>
          <w:sz w:val="24"/>
        </w:rPr>
        <w:t xml:space="preserve">Изпълнението на мярката приключва до 31 декември 2023 г. </w:t>
      </w:r>
    </w:p>
    <w:p>
      <w:pPr>
        <w:spacing w:before="120" w:after="120" w:line="240" w:lineRule="auto"/>
        <w:jc w:val="both"/>
        <w:rPr>
          <w:rFonts w:ascii="Times New Roman" w:hAnsi="Times New Roman" w:cs="Times New Roman"/>
          <w:bCs/>
          <w:noProof/>
          <w:sz w:val="24"/>
          <w:u w:val="single"/>
        </w:rPr>
      </w:pPr>
      <w:r>
        <w:rPr>
          <w:rFonts w:ascii="Times New Roman" w:hAnsi="Times New Roman"/>
          <w:bCs/>
          <w:noProof/>
          <w:sz w:val="24"/>
          <w:u w:val="single"/>
        </w:rPr>
        <w:t xml:space="preserve">Инвестиция 1 (C25.I1): Програма за насърчаване, модернизиране и цифровизация на аудио-визуалния сектор </w:t>
      </w:r>
    </w:p>
    <w:p>
      <w:pPr>
        <w:spacing w:before="120" w:after="120" w:line="240" w:lineRule="auto"/>
        <w:jc w:val="both"/>
        <w:rPr>
          <w:rFonts w:ascii="Times New Roman" w:hAnsi="Times New Roman" w:cs="Times New Roman"/>
          <w:bCs/>
          <w:noProof/>
          <w:sz w:val="24"/>
        </w:rPr>
      </w:pPr>
      <w:r>
        <w:rPr>
          <w:rFonts w:ascii="Times New Roman" w:hAnsi="Times New Roman"/>
          <w:bCs/>
          <w:noProof/>
          <w:sz w:val="24"/>
        </w:rPr>
        <w:t xml:space="preserve">Целта на тази инвестиция е да се подобрят конкурентоспособността и устойчивостта на стопанската и творческата структура на аудио-визуалния сектор, както и да се насърчи неговата интернационализация и да се привлекат чуждестранни инвестиции. За тази цел има три отделни програми в рамките на инвестицията. </w:t>
      </w:r>
    </w:p>
    <w:p>
      <w:pPr>
        <w:numPr>
          <w:ilvl w:val="0"/>
          <w:numId w:val="116"/>
        </w:numPr>
        <w:spacing w:before="120" w:after="120" w:line="240" w:lineRule="auto"/>
        <w:jc w:val="both"/>
        <w:rPr>
          <w:rFonts w:ascii="Times New Roman" w:hAnsi="Times New Roman" w:cs="Times New Roman"/>
          <w:bCs/>
          <w:noProof/>
          <w:sz w:val="24"/>
        </w:rPr>
      </w:pPr>
      <w:r>
        <w:rPr>
          <w:rFonts w:ascii="Times New Roman" w:hAnsi="Times New Roman"/>
          <w:bCs/>
          <w:noProof/>
          <w:sz w:val="24"/>
        </w:rPr>
        <w:t xml:space="preserve">Програма за насърчаване, модернизиране и цифровизиране на аудио-визуалния сектор, за подобряване на конкурентоспособността и устойчивостта на бизнес и творческата структура на аудио-визуалния сектор. Програмата също така подпомага прилагането и интегрирането на цифрови технологии в производството и популяризирането на аудио-визуално съдържание, както и цифровизацията на инструмента на творците за възнаграждение. </w:t>
      </w:r>
    </w:p>
    <w:p>
      <w:pPr>
        <w:numPr>
          <w:ilvl w:val="0"/>
          <w:numId w:val="116"/>
        </w:numPr>
        <w:spacing w:before="120" w:after="120" w:line="240" w:lineRule="auto"/>
        <w:jc w:val="both"/>
        <w:rPr>
          <w:rFonts w:ascii="Times New Roman" w:hAnsi="Times New Roman" w:cs="Times New Roman"/>
          <w:bCs/>
          <w:noProof/>
          <w:sz w:val="24"/>
        </w:rPr>
      </w:pPr>
      <w:r>
        <w:rPr>
          <w:rFonts w:ascii="Times New Roman" w:hAnsi="Times New Roman"/>
          <w:bCs/>
          <w:noProof/>
          <w:sz w:val="24"/>
        </w:rPr>
        <w:t xml:space="preserve">Програма за насърчаване на интернализацията на аудио-визуалния сектор чрез участие в аудио-визуални бизнес конференции, платформи и лаборатории и панаири за разработване на проекти. Целта е да се въведат различни механизми за използване на пълния потенциал на испанската аудиовизуална индустрия и за насърчаване на местните таланти в глобална среда. </w:t>
      </w:r>
    </w:p>
    <w:p>
      <w:pPr>
        <w:numPr>
          <w:ilvl w:val="0"/>
          <w:numId w:val="116"/>
        </w:numPr>
        <w:spacing w:before="120" w:after="120" w:line="240" w:lineRule="auto"/>
        <w:jc w:val="both"/>
        <w:rPr>
          <w:rFonts w:ascii="Times New Roman" w:hAnsi="Times New Roman" w:cs="Times New Roman"/>
          <w:bCs/>
          <w:noProof/>
          <w:sz w:val="24"/>
        </w:rPr>
      </w:pPr>
      <w:r>
        <w:rPr>
          <w:rFonts w:ascii="Times New Roman" w:hAnsi="Times New Roman"/>
          <w:bCs/>
          <w:noProof/>
          <w:sz w:val="24"/>
        </w:rPr>
        <w:t xml:space="preserve">Програма за привличане на преки чуждестранни инвестиции в аудио-визуалния сектор чрез създаване на привлекателна инвестиционна среда, намаляване на административната тежест и улесняване на различни административни процедури (включващи връзки с публичната администрация на общо, регионално и местно равнище).  </w:t>
      </w:r>
    </w:p>
    <w:p>
      <w:pPr>
        <w:spacing w:before="120" w:after="120" w:line="240" w:lineRule="auto"/>
        <w:jc w:val="both"/>
        <w:rPr>
          <w:rFonts w:ascii="Times New Roman" w:hAnsi="Times New Roman" w:cs="Times New Roman"/>
          <w:bCs/>
          <w:noProof/>
          <w:sz w:val="24"/>
        </w:rPr>
      </w:pPr>
      <w:r>
        <w:rPr>
          <w:rFonts w:ascii="Times New Roman" w:hAnsi="Times New Roman"/>
          <w:bCs/>
          <w:noProof/>
          <w:sz w:val="24"/>
        </w:rPr>
        <w:t xml:space="preserve">Тази инвестиция се осъществява чрез споразумения с публични и частни субекти, покани за подаване на заявления в подкрепа на включването на цифрови технологии в аудио-визуални продукти и услуги, призиви за помощ за иновации при създаването и развитието на аудио-визуално и цифрово съдържание в различните му формати, цифровизация и анализ на данни в аудио-визуалния сектор, нови инструменти за международно популяризиране и цифров маркетинг на аудио-визуално съдържание, като например онлайн инструменти B2B и B2C. </w:t>
      </w:r>
    </w:p>
    <w:p>
      <w:pPr>
        <w:spacing w:before="120" w:after="120" w:line="240" w:lineRule="auto"/>
        <w:jc w:val="both"/>
        <w:rPr>
          <w:rFonts w:ascii="Times New Roman" w:hAnsi="Times New Roman" w:cs="Times New Roman"/>
          <w:bCs/>
          <w:noProof/>
          <w:sz w:val="24"/>
        </w:rPr>
      </w:pPr>
      <w:r>
        <w:rPr>
          <w:rFonts w:ascii="Times New Roman" w:hAnsi="Times New Roman"/>
          <w:bCs/>
          <w:noProof/>
          <w:sz w:val="24"/>
        </w:rPr>
        <w:t xml:space="preserve">Тази инвестиция е насочена към предприятия, специалисти и участници по цялата аудио-визуална верига за създаване на стойност и поставя специален акцент върху МСП, произвеждащи аудио-визуално съдържание, МСП, специализирани в управлението на възнагражденията на творците, и консултантските фирми в областта на технологиите, които могат да разработят платформи, отворени за всички заинтересовани страни. </w:t>
      </w:r>
    </w:p>
    <w:p>
      <w:pPr>
        <w:spacing w:before="120" w:after="120" w:line="240" w:lineRule="auto"/>
        <w:jc w:val="both"/>
        <w:rPr>
          <w:rFonts w:ascii="Times New Roman" w:hAnsi="Times New Roman" w:cs="Times New Roman"/>
          <w:bCs/>
          <w:noProof/>
          <w:sz w:val="24"/>
        </w:rPr>
      </w:pPr>
      <w:r>
        <w:rPr>
          <w:rFonts w:ascii="Times New Roman" w:hAnsi="Times New Roman"/>
          <w:bCs/>
          <w:noProof/>
          <w:sz w:val="24"/>
        </w:rPr>
        <w:t>Изпълнението на мярката приключва до 31 декември 2023 г.</w:t>
      </w:r>
    </w:p>
    <w:p>
      <w:pPr>
        <w:spacing w:before="120" w:after="120" w:line="240" w:lineRule="auto"/>
        <w:jc w:val="both"/>
        <w:rPr>
          <w:rFonts w:ascii="Times New Roman" w:hAnsi="Times New Roman" w:cs="Times New Roman"/>
          <w:b/>
          <w:bCs/>
          <w:noProof/>
          <w:sz w:val="24"/>
          <w:u w:val="single"/>
        </w:rPr>
      </w:pPr>
      <w:r>
        <w:rPr>
          <w:rFonts w:ascii="Times New Roman" w:hAnsi="Times New Roman"/>
          <w:b/>
          <w:bCs/>
          <w:noProof/>
          <w:sz w:val="24"/>
          <w:u w:val="single"/>
        </w:rPr>
        <w:t xml:space="preserve">Ш.2. </w:t>
      </w:r>
      <w:r>
        <w:rPr>
          <w:rFonts w:ascii="Times New Roman" w:hAnsi="Times New Roman"/>
          <w:b/>
          <w:noProof/>
          <w:sz w:val="24"/>
          <w:u w:val="single"/>
        </w:rPr>
        <w:tab/>
      </w:r>
      <w:r>
        <w:rPr>
          <w:rFonts w:ascii="Times New Roman" w:hAnsi="Times New Roman"/>
          <w:b/>
          <w:bCs/>
          <w:noProof/>
          <w:sz w:val="24"/>
          <w:u w:val="single"/>
        </w:rPr>
        <w:t>Ключови етапи, цели, показатели и график за мониторинг и изпълнение на безвъзмездната финансова подкрепа</w:t>
      </w:r>
    </w:p>
    <w:p>
      <w:pPr>
        <w:spacing w:before="120" w:after="120" w:line="240" w:lineRule="auto"/>
        <w:rPr>
          <w:rFonts w:ascii="Times New Roman" w:hAnsi="Times New Roman" w:cs="Times New Roman"/>
          <w:b/>
          <w:noProof/>
          <w:sz w:val="24"/>
          <w:szCs w:val="24"/>
          <w:u w:val="single"/>
        </w:rPr>
      </w:pPr>
      <w:r>
        <w:rPr>
          <w:rFonts w:ascii="Times New Roman" w:hAnsi="Times New Roman"/>
          <w:i/>
          <w:noProof/>
          <w:color w:val="000000"/>
          <w:sz w:val="24"/>
          <w:szCs w:val="24"/>
        </w:rPr>
        <w:t>Вж. таблицата по-долу.</w:t>
      </w:r>
      <w:r>
        <w:rPr>
          <w:rFonts w:ascii="Times New Roman" w:hAnsi="Times New Roman"/>
          <w:noProof/>
          <w:color w:val="1F497D"/>
          <w:sz w:val="24"/>
          <w:szCs w:val="24"/>
        </w:rPr>
        <w:t xml:space="preserve"> </w:t>
      </w:r>
      <w:r>
        <w:rPr>
          <w:rFonts w:ascii="Times New Roman" w:hAnsi="Times New Roman"/>
          <w:i/>
          <w:noProof/>
          <w:color w:val="000000"/>
          <w:sz w:val="24"/>
          <w:szCs w:val="24"/>
        </w:rPr>
        <w:t>Датата на базовата линия за всички показатели е началото на действието, освен ако не е посочено друго в описанието на действието. Сумите в таблицата не включват ДДС.</w:t>
      </w:r>
    </w:p>
    <w:p>
      <w:pPr>
        <w:rPr>
          <w:rFonts w:ascii="Times New Roman" w:hAnsi="Times New Roman" w:cs="Times New Roman"/>
          <w:b/>
          <w:noProof/>
          <w:sz w:val="24"/>
          <w:u w:val="single"/>
          <w:lang w:val="en-IE"/>
        </w:rPr>
        <w:sectPr>
          <w:headerReference w:type="even" r:id="rId307"/>
          <w:headerReference w:type="default" r:id="rId308"/>
          <w:footerReference w:type="even" r:id="rId309"/>
          <w:footerReference w:type="default" r:id="rId310"/>
          <w:headerReference w:type="first" r:id="rId311"/>
          <w:footerReference w:type="first" r:id="rId312"/>
          <w:pgSz w:w="11907" w:h="16839"/>
          <w:pgMar w:top="1134" w:right="1417" w:bottom="1134" w:left="1417" w:header="709" w:footer="709" w:gutter="0"/>
          <w:cols w:space="720"/>
          <w:docGrid w:linePitch="360"/>
        </w:sectPr>
      </w:pPr>
    </w:p>
    <w:p>
      <w:pPr>
        <w:spacing w:before="120" w:after="120" w:line="240" w:lineRule="auto"/>
        <w:jc w:val="both"/>
        <w:rPr>
          <w:rFonts w:ascii="Times New Roman" w:hAnsi="Times New Roman" w:cs="Times New Roman"/>
          <w:b/>
          <w:noProof/>
          <w:sz w:val="24"/>
          <w:u w:val="single"/>
          <w:lang w:val="en-IE"/>
        </w:rPr>
      </w:pPr>
    </w:p>
    <w:tbl>
      <w:tblPr>
        <w:tblW w:w="15310"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09"/>
        <w:gridCol w:w="851"/>
        <w:gridCol w:w="850"/>
        <w:gridCol w:w="2142"/>
        <w:gridCol w:w="1260"/>
        <w:gridCol w:w="810"/>
        <w:gridCol w:w="630"/>
        <w:gridCol w:w="450"/>
        <w:gridCol w:w="360"/>
        <w:gridCol w:w="727"/>
        <w:gridCol w:w="6521"/>
      </w:tblGrid>
      <w:tr>
        <w:trPr>
          <w:trHeight w:val="309"/>
          <w:tblHeader/>
        </w:trPr>
        <w:tc>
          <w:tcPr>
            <w:tcW w:w="709" w:type="dxa"/>
            <w:tcBorders>
              <w:bottom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r>
              <w:rPr>
                <w:rFonts w:ascii="Times New Roman" w:hAnsi="Times New Roman"/>
                <w:bCs/>
                <w:i/>
                <w:noProof/>
                <w:sz w:val="18"/>
                <w:szCs w:val="18"/>
              </w:rPr>
              <w:t xml:space="preserve"> </w:t>
            </w:r>
            <w:r>
              <w:rPr>
                <w:rFonts w:ascii="Times New Roman" w:hAnsi="Times New Roman"/>
                <w:b/>
                <w:noProof/>
                <w:color w:val="000000"/>
                <w:sz w:val="18"/>
                <w:szCs w:val="18"/>
              </w:rPr>
              <w:t>Номер</w:t>
            </w:r>
          </w:p>
        </w:tc>
        <w:tc>
          <w:tcPr>
            <w:tcW w:w="851" w:type="dxa"/>
            <w:tcBorders>
              <w:bottom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szCs w:val="18"/>
              </w:rPr>
              <w:t>Мярка</w:t>
            </w:r>
          </w:p>
        </w:tc>
        <w:tc>
          <w:tcPr>
            <w:tcW w:w="850" w:type="dxa"/>
            <w:tcBorders>
              <w:bottom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szCs w:val="18"/>
              </w:rPr>
              <w:t>Ключов етап / Цел</w:t>
            </w:r>
          </w:p>
        </w:tc>
        <w:tc>
          <w:tcPr>
            <w:tcW w:w="2142" w:type="dxa"/>
            <w:tcBorders>
              <w:bottom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szCs w:val="18"/>
              </w:rPr>
              <w:t>Наименование</w:t>
            </w:r>
          </w:p>
        </w:tc>
        <w:tc>
          <w:tcPr>
            <w:tcW w:w="1260" w:type="dxa"/>
            <w:tcBorders>
              <w:bottom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szCs w:val="18"/>
              </w:rPr>
              <w:t>Качествени показатели за ключовите етапи</w:t>
            </w:r>
          </w:p>
        </w:tc>
        <w:tc>
          <w:tcPr>
            <w:tcW w:w="1890" w:type="dxa"/>
            <w:gridSpan w:val="3"/>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szCs w:val="18"/>
              </w:rPr>
              <w:t>Количествени показатели за целите</w:t>
            </w:r>
          </w:p>
        </w:tc>
        <w:tc>
          <w:tcPr>
            <w:tcW w:w="1087" w:type="dxa"/>
            <w:gridSpan w:val="2"/>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szCs w:val="18"/>
              </w:rPr>
              <w:t>Време</w:t>
            </w:r>
          </w:p>
        </w:tc>
        <w:tc>
          <w:tcPr>
            <w:tcW w:w="6521" w:type="dxa"/>
            <w:tcBorders>
              <w:bottom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r>
              <w:rPr>
                <w:rFonts w:ascii="Times New Roman" w:hAnsi="Times New Roman"/>
                <w:b/>
                <w:bCs/>
                <w:noProof/>
                <w:sz w:val="18"/>
                <w:szCs w:val="18"/>
              </w:rPr>
              <w:t>Описание на всеки ключов етап и всяка цел</w:t>
            </w:r>
          </w:p>
        </w:tc>
      </w:tr>
      <w:tr>
        <w:trPr>
          <w:trHeight w:val="309"/>
          <w:tblHeader/>
        </w:trPr>
        <w:tc>
          <w:tcPr>
            <w:tcW w:w="709"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851"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850"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2142" w:type="dxa"/>
            <w:tcBorders>
              <w:top w:val="nil"/>
            </w:tcBorders>
            <w:shd w:val="clear" w:color="auto" w:fill="C6D9F1" w:themeFill="text2" w:themeFillTint="33"/>
            <w:noWrap/>
          </w:tcPr>
          <w:p>
            <w:pPr>
              <w:spacing w:after="0" w:line="240" w:lineRule="auto"/>
              <w:rPr>
                <w:rFonts w:ascii="Times New Roman" w:hAnsi="Times New Roman" w:cs="Times New Roman"/>
                <w:b/>
                <w:noProof/>
                <w:color w:val="000000"/>
                <w:sz w:val="18"/>
                <w:szCs w:val="18"/>
              </w:rPr>
            </w:pPr>
          </w:p>
        </w:tc>
        <w:tc>
          <w:tcPr>
            <w:tcW w:w="1260" w:type="dxa"/>
            <w:tcBorders>
              <w:top w:val="nil"/>
            </w:tcBorders>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p>
        </w:tc>
        <w:tc>
          <w:tcPr>
            <w:tcW w:w="810" w:type="dxa"/>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szCs w:val="18"/>
              </w:rPr>
              <w:t>Мерна единица</w:t>
            </w:r>
          </w:p>
        </w:tc>
        <w:tc>
          <w:tcPr>
            <w:tcW w:w="630" w:type="dxa"/>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szCs w:val="18"/>
              </w:rPr>
              <w:t>Базова линия</w:t>
            </w:r>
          </w:p>
        </w:tc>
        <w:tc>
          <w:tcPr>
            <w:tcW w:w="450" w:type="dxa"/>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szCs w:val="18"/>
              </w:rPr>
              <w:t>Цел</w:t>
            </w:r>
          </w:p>
        </w:tc>
        <w:tc>
          <w:tcPr>
            <w:tcW w:w="360" w:type="dxa"/>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szCs w:val="18"/>
              </w:rPr>
              <w:t>T</w:t>
            </w:r>
          </w:p>
        </w:tc>
        <w:tc>
          <w:tcPr>
            <w:tcW w:w="727" w:type="dxa"/>
            <w:shd w:val="clear" w:color="auto" w:fill="C6D9F1" w:themeFill="text2" w:themeFillTint="33"/>
            <w:noWrap/>
          </w:tcPr>
          <w:p>
            <w:pPr>
              <w:spacing w:after="0" w:line="240" w:lineRule="auto"/>
              <w:jc w:val="center"/>
              <w:rPr>
                <w:rFonts w:ascii="Times New Roman" w:hAnsi="Times New Roman" w:cs="Times New Roman"/>
                <w:b/>
                <w:noProof/>
                <w:color w:val="000000"/>
                <w:sz w:val="18"/>
                <w:szCs w:val="18"/>
              </w:rPr>
            </w:pPr>
            <w:r>
              <w:rPr>
                <w:rFonts w:ascii="Times New Roman" w:hAnsi="Times New Roman"/>
                <w:b/>
                <w:noProof/>
                <w:color w:val="000000"/>
                <w:sz w:val="18"/>
                <w:szCs w:val="18"/>
              </w:rPr>
              <w:t>Година</w:t>
            </w:r>
          </w:p>
        </w:tc>
        <w:tc>
          <w:tcPr>
            <w:tcW w:w="6521" w:type="dxa"/>
            <w:tcBorders>
              <w:top w:val="nil"/>
            </w:tcBorders>
            <w:shd w:val="clear" w:color="auto" w:fill="C6D9F1" w:themeFill="text2" w:themeFillTint="33"/>
            <w:noWrap/>
          </w:tcPr>
          <w:p>
            <w:pPr>
              <w:spacing w:after="0" w:line="240" w:lineRule="auto"/>
              <w:rPr>
                <w:rFonts w:ascii="Times New Roman" w:hAnsi="Times New Roman" w:cs="Times New Roman"/>
                <w:b/>
                <w:noProof/>
                <w:color w:val="000000"/>
                <w:sz w:val="18"/>
                <w:szCs w:val="18"/>
                <w:lang w:val="en-IE"/>
              </w:rPr>
            </w:pP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363</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C25.R1</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2142"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План „Испания, аудио-визуален център на Европа“.</w:t>
            </w:r>
          </w:p>
        </w:tc>
        <w:tc>
          <w:tcPr>
            <w:tcW w:w="126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Одобрение от Министерския съвет</w:t>
            </w:r>
          </w:p>
        </w:tc>
        <w:tc>
          <w:tcPr>
            <w:tcW w:w="81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63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45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36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T1</w:t>
            </w:r>
          </w:p>
        </w:tc>
        <w:tc>
          <w:tcPr>
            <w:tcW w:w="72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2021</w:t>
            </w:r>
          </w:p>
        </w:tc>
        <w:tc>
          <w:tcPr>
            <w:tcW w:w="6521"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Одобряване от Съвета на министрите на плана „Испания, аудио-визуален център на Европа“. Планът съчетава публични инвестиции и реформи, които имат за цел i) интернационализация на сектора и увеличаване на привлекателността на Испания като дестинация за чуждестранни инвестиции; ii) да намали регулаторните и административните разходи; iii) подобряване на конкурентоспособността на всички предприятия чрез въвеждането на нови технологии, за да се даде възможност на предприятието да се конкурира на цифровизирания пазар; и iv) насърчаване на човешкия капитал чрез намаляване на неравнопоставеността между половете. </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364</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C25.R1</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2142"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Влизане в сила на общия закон за аудио-визуалната комуникация.</w:t>
            </w:r>
          </w:p>
        </w:tc>
        <w:tc>
          <w:tcPr>
            <w:tcW w:w="126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Разпоредби в закона относно влизането му в сила</w:t>
            </w:r>
          </w:p>
        </w:tc>
        <w:tc>
          <w:tcPr>
            <w:tcW w:w="81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63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45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36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T1</w:t>
            </w:r>
          </w:p>
        </w:tc>
        <w:tc>
          <w:tcPr>
            <w:tcW w:w="72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2022</w:t>
            </w:r>
          </w:p>
        </w:tc>
        <w:tc>
          <w:tcPr>
            <w:tcW w:w="6521"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Влизане в сила на Общия закон за аудио-визуалната комуникация. Този закон урежда правната рамка за предоставяне на аудио-визуални комуникационни услуги в Испания и ефективно транспонира в националната правна система Директива 2018/1808 относно аудио-визуалните комуникационни услуги. Неговата цел е да се адаптира и актуализира правната рамка, приложима за аудио-визуалните комуникационни услуги и услугите на платформите за споделяне на видеоклипове в Испания. Законът също така има за цел да гарантира еднакви условия на конкуренция за всички различни участници на пазара. И накрая, законът включва механизъм за гарантиране на правата на потребителите (като защитата на непълнолетните лица и на обществеността срещу определени видове съдържание). </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365</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C25.R1</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2142"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Влизане в сила на закона за киното. </w:t>
            </w:r>
          </w:p>
        </w:tc>
        <w:tc>
          <w:tcPr>
            <w:tcW w:w="126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Разпоредби в закона относно влизането му в сила</w:t>
            </w:r>
          </w:p>
        </w:tc>
        <w:tc>
          <w:tcPr>
            <w:tcW w:w="81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63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45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36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Q4</w:t>
            </w:r>
          </w:p>
        </w:tc>
        <w:tc>
          <w:tcPr>
            <w:tcW w:w="72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2023</w:t>
            </w:r>
          </w:p>
        </w:tc>
        <w:tc>
          <w:tcPr>
            <w:tcW w:w="6521"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Одобряване на Закона за филмовата индустрия от парламента и влизане в сила. Този закон актуализира правната рамка в съответствие с новата реалност и нуждите на аудио-визуалния сектор, като привежда националната нормативна уредба в съответствие с европейската правна рамка. </w:t>
            </w:r>
          </w:p>
        </w:tc>
      </w:tr>
      <w:tr>
        <w:trPr>
          <w:trHeight w:val="309"/>
        </w:trPr>
        <w:tc>
          <w:tcPr>
            <w:tcW w:w="709"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366</w:t>
            </w:r>
          </w:p>
        </w:tc>
        <w:tc>
          <w:tcPr>
            <w:tcW w:w="851"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C25.I1</w:t>
            </w:r>
          </w:p>
        </w:tc>
        <w:tc>
          <w:tcPr>
            <w:tcW w:w="85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w:t>
            </w:r>
          </w:p>
        </w:tc>
        <w:tc>
          <w:tcPr>
            <w:tcW w:w="2142"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Подкрепа за МСП в аудио-визуалния сектор.</w:t>
            </w:r>
          </w:p>
        </w:tc>
        <w:tc>
          <w:tcPr>
            <w:tcW w:w="126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w:t>
            </w:r>
          </w:p>
        </w:tc>
        <w:tc>
          <w:tcPr>
            <w:tcW w:w="81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Номер</w:t>
            </w:r>
          </w:p>
        </w:tc>
        <w:tc>
          <w:tcPr>
            <w:tcW w:w="63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0</w:t>
            </w:r>
          </w:p>
        </w:tc>
        <w:tc>
          <w:tcPr>
            <w:tcW w:w="450" w:type="dxa"/>
            <w:shd w:val="clear" w:color="auto" w:fill="C6EFCE"/>
            <w:noWrap/>
          </w:tcPr>
          <w:p>
            <w:pPr>
              <w:spacing w:after="0" w:line="240" w:lineRule="auto"/>
              <w:jc w:val="right"/>
              <w:rPr>
                <w:rFonts w:ascii="Times New Roman" w:eastAsia="Times New Roman" w:hAnsi="Times New Roman" w:cs="Times New Roman"/>
                <w:noProof/>
                <w:sz w:val="18"/>
                <w:szCs w:val="18"/>
              </w:rPr>
            </w:pPr>
            <w:r>
              <w:rPr>
                <w:rFonts w:ascii="Times New Roman" w:hAnsi="Times New Roman"/>
                <w:noProof/>
                <w:color w:val="000000"/>
                <w:sz w:val="18"/>
                <w:szCs w:val="18"/>
              </w:rPr>
              <w:t>100</w:t>
            </w:r>
          </w:p>
        </w:tc>
        <w:tc>
          <w:tcPr>
            <w:tcW w:w="360"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727" w:type="dxa"/>
            <w:shd w:val="clear" w:color="auto" w:fill="C6EFCE"/>
            <w:noWrap/>
          </w:tcPr>
          <w:p>
            <w:pPr>
              <w:spacing w:after="0" w:line="240" w:lineRule="auto"/>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2023</w:t>
            </w:r>
          </w:p>
        </w:tc>
        <w:tc>
          <w:tcPr>
            <w:tcW w:w="6521" w:type="dxa"/>
            <w:shd w:val="clear" w:color="auto" w:fill="C6EFCE"/>
            <w:noWrap/>
          </w:tcPr>
          <w:p>
            <w:pPr>
              <w:spacing w:after="0" w:line="240" w:lineRule="auto"/>
              <w:rPr>
                <w:rFonts w:ascii="Times New Roman" w:eastAsia="Times New Roman" w:hAnsi="Times New Roman" w:cs="Times New Roman"/>
                <w:noProof/>
                <w:sz w:val="18"/>
                <w:szCs w:val="18"/>
              </w:rPr>
            </w:pPr>
            <w:r>
              <w:rPr>
                <w:rFonts w:ascii="Times New Roman" w:hAnsi="Times New Roman"/>
                <w:noProof/>
                <w:color w:val="000000"/>
                <w:sz w:val="18"/>
                <w:szCs w:val="18"/>
              </w:rPr>
              <w:t>Подкрепа за МСП в аудио-визуалния сектор в тяхната цифровизация, насърчаване на равенството между половете, интернационализация и привличане на преки чуждестранни инвестиции в рамките на цялостната програма, с общ бюджет от 200 милиона евро (най-малко 100 подпомогнати МСП).</w:t>
            </w:r>
          </w:p>
        </w:tc>
      </w:tr>
    </w:tbl>
    <w:p>
      <w:pPr>
        <w:rPr>
          <w:rFonts w:ascii="Times New Roman" w:hAnsi="Times New Roman" w:cs="Times New Roman"/>
          <w:noProof/>
          <w:sz w:val="24"/>
          <w:szCs w:val="24"/>
        </w:rPr>
      </w:pPr>
    </w:p>
    <w:p>
      <w:pPr>
        <w:pStyle w:val="SectionTitle"/>
        <w:rPr>
          <w:noProof/>
        </w:rPr>
        <w:sectPr>
          <w:headerReference w:type="even" r:id="rId313"/>
          <w:headerReference w:type="default" r:id="rId314"/>
          <w:footerReference w:type="even" r:id="rId315"/>
          <w:footerReference w:type="default" r:id="rId316"/>
          <w:headerReference w:type="first" r:id="rId317"/>
          <w:footerReference w:type="first" r:id="rId318"/>
          <w:pgSz w:w="16839" w:h="11907" w:orient="landscape"/>
          <w:pgMar w:top="1417" w:right="1134" w:bottom="1417" w:left="1134" w:header="709" w:footer="709" w:gutter="0"/>
          <w:cols w:space="720"/>
          <w:docGrid w:linePitch="360"/>
        </w:sectPr>
      </w:pPr>
    </w:p>
    <w:p>
      <w:pPr>
        <w:pStyle w:val="Heading1"/>
        <w:rPr>
          <w:noProof/>
        </w:rPr>
      </w:pPr>
      <w:r>
        <w:rPr>
          <w:noProof/>
        </w:rPr>
        <w:t xml:space="preserve">Щ. КОМПОНЕНТ 26: Насърчаване на спорта </w:t>
      </w:r>
    </w:p>
    <w:p>
      <w:pPr>
        <w:pStyle w:val="Text1"/>
        <w:ind w:left="0"/>
        <w:rPr>
          <w:iCs/>
          <w:noProof/>
        </w:rPr>
      </w:pPr>
      <w:r>
        <w:rPr>
          <w:noProof/>
        </w:rPr>
        <w:t xml:space="preserve">Според испанския план за възстановяване и устойчивост спортният сектор представлява 3,1 % от БВП в Испания и осигурява пряко или непряко 2,1 % от общата заетост в страната. </w:t>
      </w:r>
    </w:p>
    <w:p>
      <w:pPr>
        <w:pStyle w:val="Text1"/>
        <w:ind w:left="0"/>
        <w:rPr>
          <w:iCs/>
          <w:noProof/>
        </w:rPr>
      </w:pPr>
      <w:r>
        <w:rPr>
          <w:noProof/>
        </w:rPr>
        <w:t>Основната цел на този компонент на испанския план за възстановяване и устойчивост е да се засили трансформацията на спортния сектор чрез цифровизация на спортните организации и модернизиране на спортните съоръжения, за да се гарантира тяхната екологична устойчивост и достъпност. Тя също така подкрепя насърчаването на спорта за здравни цели, по-специално чрез по-добър достъп до физическа активност в райони, изложени на риск от обезлюдяване, както и чрез научни изследвания в тази област. Накрая, компонентът включва целеви инвестиции за насърчаване на участието на жените в професионалния и любителския спорт.</w:t>
      </w:r>
    </w:p>
    <w:p>
      <w:pPr>
        <w:tabs>
          <w:tab w:val="left" w:pos="1134"/>
        </w:tabs>
        <w:spacing w:before="120" w:after="120" w:line="240" w:lineRule="auto"/>
        <w:jc w:val="both"/>
        <w:rPr>
          <w:rFonts w:ascii="Times New Roman" w:hAnsi="Times New Roman" w:cs="Times New Roman"/>
          <w:noProof/>
          <w:sz w:val="24"/>
        </w:rPr>
      </w:pPr>
      <w:r>
        <w:rPr>
          <w:rFonts w:ascii="Times New Roman" w:hAnsi="Times New Roman"/>
          <w:noProof/>
          <w:sz w:val="24"/>
        </w:rPr>
        <w:t>Компонентът е насочен към специфичните за всяка държава препоръки за насърчаване на инвестициите в иновации и енергийна ефективност (специфична за всяка държава препоръка 3 2019 г.), за насърчаване на публичните и частните инвестиции и за насърчаване на екологичния преход (специфична за всяка държава препоръка 3 2020 г.) и за укрепване на устойчивостта на здравната система (специфична за всяка държава препоръка 1 2020 г.).</w:t>
      </w:r>
    </w:p>
    <w:p>
      <w:pPr>
        <w:pStyle w:val="Text1"/>
        <w:ind w:left="0"/>
        <w:rPr>
          <w:iCs/>
          <w:noProof/>
        </w:rPr>
      </w:pPr>
      <w:r>
        <w:rPr>
          <w:noProof/>
        </w:rPr>
        <w:t>Този компонент подкрепя и допълва действията, предвидени в други части на плана, като например действията за насърчаване на здравословен начин на живот в компонент 18 (Реформа на здравната система). Чрез оптимизирането и модернизирането на съществуващите спортни инфраструктури тя също така допълва мерките, предприети по раздел 2 (саниране), и подкрепя преобразуването на туристическия сектор в Испания в съответствие с компонент 14 („Туризъм“).</w:t>
      </w:r>
    </w:p>
    <w:p>
      <w:pPr>
        <w:pStyle w:val="Text1"/>
        <w:ind w:left="0"/>
        <w:rPr>
          <w:noProof/>
        </w:rPr>
      </w:pPr>
      <w:r>
        <w:rPr>
          <w:noProof/>
          <w:color w:val="000000" w:themeColor="text1"/>
        </w:rPr>
        <w:t>Очаква се, че нито една мярка в този компонент не вреди в значителна степен на екологичните цели по смисъла на член 17 от Регламент (ЕС) 2020/852, като се вземат предвид описанието на мерките и стъпките за смекчаване на последиците, определени в плана за възстановяване и устойчивост в съответствие с Техническите насоки за спазването на „принципа за ненанасяне на съществена вреда“ (2021/C58/01).</w:t>
      </w:r>
    </w:p>
    <w:p>
      <w:pPr>
        <w:pStyle w:val="Text1"/>
        <w:ind w:left="709"/>
        <w:rPr>
          <w:b/>
          <w:i/>
          <w:noProof/>
          <w:color w:val="4F81BD" w:themeColor="accent1"/>
        </w:rPr>
      </w:pPr>
      <w:r>
        <w:rPr>
          <w:b/>
          <w:bCs/>
          <w:noProof/>
          <w:u w:val="single"/>
        </w:rPr>
        <w:t xml:space="preserve">Щ.1. </w:t>
      </w:r>
      <w:r>
        <w:rPr>
          <w:b/>
          <w:noProof/>
          <w:u w:val="single"/>
        </w:rPr>
        <w:tab/>
      </w:r>
      <w:r>
        <w:rPr>
          <w:b/>
          <w:bCs/>
          <w:noProof/>
          <w:u w:val="single"/>
        </w:rPr>
        <w:t>Описание на реформите и инвестициите за безвъзмездна финансова подкрепа</w:t>
      </w:r>
    </w:p>
    <w:p>
      <w:pPr>
        <w:spacing w:line="240" w:lineRule="auto"/>
        <w:rPr>
          <w:rFonts w:ascii="Times New Roman" w:hAnsi="Times New Roman" w:cs="Times New Roman"/>
          <w:noProof/>
          <w:sz w:val="24"/>
          <w:szCs w:val="24"/>
          <w:u w:val="single"/>
        </w:rPr>
      </w:pPr>
      <w:r>
        <w:rPr>
          <w:rFonts w:ascii="Times New Roman" w:hAnsi="Times New Roman"/>
          <w:noProof/>
          <w:sz w:val="24"/>
          <w:szCs w:val="24"/>
          <w:u w:val="single"/>
        </w:rPr>
        <w:t>Реформа 1 (C26.R1) – Закон за спорта</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Целта на тази законодателна мярка е да се гарантират здравето и безопасността в практикуването на спорт на всички равнища, да се включат аспектите на равенството между половете, достъпността и социалното сближаване в регулирането на спорта, да се модернизират спортните организации и инфраструктури чрез цифровизация и чрез тяхната екологична трансформация, както и да се насърчи интернационализацията на сектора. Законодателството адаптира организационните структури на спорта към настоящите предизвикателства, пред които е изправен, като взема предвид поуките, извлечени от пандемията. </w:t>
      </w:r>
    </w:p>
    <w:p>
      <w:pPr>
        <w:spacing w:line="240" w:lineRule="auto"/>
        <w:rPr>
          <w:rFonts w:ascii="Times New Roman" w:hAnsi="Times New Roman"/>
          <w:noProof/>
          <w:sz w:val="24"/>
          <w:szCs w:val="24"/>
        </w:rPr>
      </w:pPr>
      <w:r>
        <w:rPr>
          <w:rFonts w:ascii="Times New Roman" w:hAnsi="Times New Roman"/>
          <w:noProof/>
          <w:sz w:val="24"/>
          <w:szCs w:val="24"/>
        </w:rPr>
        <w:t>Изпълнението на мярката приключва до 31 декември 2022 г.</w:t>
      </w:r>
    </w:p>
    <w:p>
      <w:pPr>
        <w:rPr>
          <w:rFonts w:ascii="Times New Roman" w:hAnsi="Times New Roman"/>
          <w:noProof/>
          <w:sz w:val="24"/>
          <w:szCs w:val="24"/>
        </w:rPr>
      </w:pPr>
      <w:r>
        <w:rPr>
          <w:rFonts w:ascii="Times New Roman" w:hAnsi="Times New Roman"/>
          <w:noProof/>
          <w:sz w:val="24"/>
          <w:szCs w:val="24"/>
        </w:rPr>
        <w:br w:type="page"/>
      </w:r>
    </w:p>
    <w:p>
      <w:pPr>
        <w:spacing w:line="240" w:lineRule="auto"/>
        <w:rPr>
          <w:rFonts w:ascii="Times New Roman" w:hAnsi="Times New Roman" w:cs="Times New Roman"/>
          <w:noProof/>
          <w:sz w:val="24"/>
          <w:szCs w:val="24"/>
          <w:u w:val="single"/>
        </w:rPr>
      </w:pPr>
      <w:r>
        <w:rPr>
          <w:rFonts w:ascii="Times New Roman" w:hAnsi="Times New Roman"/>
          <w:noProof/>
          <w:sz w:val="24"/>
          <w:szCs w:val="24"/>
          <w:u w:val="single"/>
        </w:rPr>
        <w:t>Реформа 2 (C26.R2) – Закон за спортистите</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Целта на тази законодателна мярка е да се гарантира, че регулирането на новите спортни професии няма да доведе до пречки пред установяването и предоставянето на услуги на испанската територия. Мярката е насочена към предизвикателствата, произтичащи от регулаторната разнородност на регионално равнище (включително различните изисквания за достъп в различните региони). Мярката гарантира съответствие с правото на ЕС, по-специално с принципите на необходимост и пропорционалност.</w:t>
      </w:r>
    </w:p>
    <w:p>
      <w:pPr>
        <w:spacing w:line="240" w:lineRule="auto"/>
        <w:rPr>
          <w:rFonts w:ascii="Times New Roman" w:hAnsi="Times New Roman" w:cs="Times New Roman"/>
          <w:noProof/>
          <w:sz w:val="24"/>
          <w:szCs w:val="24"/>
        </w:rPr>
      </w:pPr>
      <w:r>
        <w:rPr>
          <w:rFonts w:ascii="Times New Roman" w:hAnsi="Times New Roman"/>
          <w:noProof/>
          <w:sz w:val="24"/>
          <w:szCs w:val="24"/>
        </w:rPr>
        <w:t>Изпълнението на мярката приключва до 31 декември 2023 г.</w:t>
      </w:r>
    </w:p>
    <w:p>
      <w:pPr>
        <w:keepNext/>
        <w:spacing w:line="240" w:lineRule="auto"/>
        <w:rPr>
          <w:rFonts w:ascii="Times New Roman" w:hAnsi="Times New Roman" w:cs="Times New Roman"/>
          <w:noProof/>
          <w:sz w:val="24"/>
          <w:szCs w:val="24"/>
          <w:u w:val="single"/>
        </w:rPr>
      </w:pPr>
      <w:r>
        <w:rPr>
          <w:rFonts w:ascii="Times New Roman" w:hAnsi="Times New Roman"/>
          <w:noProof/>
          <w:sz w:val="24"/>
          <w:szCs w:val="24"/>
          <w:u w:val="single"/>
        </w:rPr>
        <w:t>Реформа 3 (C26.R3) – Национална стратегия за насърчаване на спорта</w:t>
      </w:r>
    </w:p>
    <w:p>
      <w:pPr>
        <w:keepNext/>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Целта на тази стратегия е да се насърчи практикуването на спорт, за да се избегнат отрицателните последици, които заседналият начин на живот и липсата на физическа активност могат да имат върху здравето и благосъстоянието. Мярката включва, наред с другото: а) действия за въвеждане на добри практики и здравословни навици; б) аналитичен инструмент за измерване и подобряване на въздействието на стратегията. </w:t>
      </w:r>
    </w:p>
    <w:p>
      <w:pPr>
        <w:spacing w:line="240" w:lineRule="auto"/>
        <w:rPr>
          <w:rFonts w:ascii="Times New Roman" w:hAnsi="Times New Roman" w:cs="Times New Roman"/>
          <w:noProof/>
          <w:sz w:val="24"/>
          <w:szCs w:val="24"/>
        </w:rPr>
      </w:pPr>
      <w:r>
        <w:rPr>
          <w:rFonts w:ascii="Times New Roman" w:hAnsi="Times New Roman"/>
          <w:noProof/>
          <w:sz w:val="24"/>
          <w:szCs w:val="24"/>
        </w:rPr>
        <w:t xml:space="preserve">Изпълнението на мерките приключва до 31 декември 2023 г. </w:t>
      </w:r>
    </w:p>
    <w:p>
      <w:pPr>
        <w:spacing w:line="240" w:lineRule="auto"/>
        <w:rPr>
          <w:rFonts w:ascii="Times New Roman" w:hAnsi="Times New Roman" w:cs="Times New Roman"/>
          <w:noProof/>
          <w:sz w:val="24"/>
          <w:szCs w:val="24"/>
          <w:u w:val="single"/>
        </w:rPr>
      </w:pPr>
      <w:r>
        <w:rPr>
          <w:rFonts w:ascii="Times New Roman" w:hAnsi="Times New Roman"/>
          <w:noProof/>
          <w:sz w:val="24"/>
          <w:szCs w:val="24"/>
          <w:u w:val="single"/>
        </w:rPr>
        <w:t xml:space="preserve">Инвестиция 1 (C26.I1) – План в областта на цифровите технологии за спорта </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Целта на тази мярка е да се цифровизират спортните федерации, включително управлението на техния бюджет и процедурите за предоставяне на спортни лицензи. Тя също така подобрява анализа на данните, получени от спортните практики, включително за насърчаване на здравословен начин на живот и за научноизследователски цели. И накрая, тя насърчава цифровизацията на обществените центрове за спортна медицина и борбата с допинга.</w:t>
      </w:r>
    </w:p>
    <w:p>
      <w:pPr>
        <w:spacing w:line="240" w:lineRule="auto"/>
        <w:rPr>
          <w:rFonts w:ascii="Times New Roman" w:hAnsi="Times New Roman" w:cs="Times New Roman"/>
          <w:noProof/>
          <w:sz w:val="24"/>
          <w:szCs w:val="24"/>
        </w:rPr>
      </w:pPr>
      <w:r>
        <w:rPr>
          <w:rFonts w:ascii="Times New Roman" w:hAnsi="Times New Roman"/>
          <w:noProof/>
          <w:sz w:val="24"/>
          <w:szCs w:val="24"/>
        </w:rPr>
        <w:t xml:space="preserve">Изпълнението на реформата приключва до 31 декември 2023 г. </w:t>
      </w:r>
    </w:p>
    <w:p>
      <w:pPr>
        <w:spacing w:line="240" w:lineRule="auto"/>
        <w:rPr>
          <w:rFonts w:ascii="Times New Roman" w:hAnsi="Times New Roman" w:cs="Times New Roman"/>
          <w:noProof/>
          <w:sz w:val="24"/>
          <w:szCs w:val="24"/>
          <w:u w:val="single"/>
        </w:rPr>
      </w:pPr>
      <w:r>
        <w:rPr>
          <w:rFonts w:ascii="Times New Roman" w:hAnsi="Times New Roman"/>
          <w:noProof/>
          <w:sz w:val="24"/>
          <w:szCs w:val="24"/>
          <w:u w:val="single"/>
        </w:rPr>
        <w:t xml:space="preserve">Инвестиция 2 (C26.I2) – План за екологичен преход на спортни съоръжения </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Целта на тази мярка е да се модернизират съществуващите спортни съоръжения, включително спортни съоръжения, които могат да привлекат туризъм и високоефективни спортни центрове. Това се постига чрез тяхната цифровизация за оптимално използване и подобряване на тяхната енергийна ефективност, която се очаква да постигне икономии от най-малко 30 % от потреблението на първична енергия. Мярката също така насърчава спорта в селските райони чрез създаването на мрежа от наблюдатели с цел стимулиране на физическата активност. </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Критериите за подбор на инвестиции, извършени по този компонент, гарантират съответствие със 100 % проследяване в областта на климата в размер на най-малко 106 000 000 EUR. Използваните показатели за подобряване на енергийните характеристики се акредитират чрез съответния сертификат за енергийни характеристики в рамките на Директива 2010/31/ЕС на Европейския парламент и на Съвета от 19 май 2010 г. относно енергийните характеристики на сградите.[</w:t>
      </w:r>
      <w:r>
        <w:rPr>
          <w:rStyle w:val="FootnoteReference"/>
          <w:rFonts w:ascii="Times New Roman" w:hAnsi="Times New Roman" w:cs="Times New Roman"/>
          <w:noProof/>
          <w:sz w:val="24"/>
          <w:szCs w:val="24"/>
          <w:lang w:val="en-IE"/>
        </w:rPr>
        <w:footnoteReference w:id="103"/>
      </w:r>
      <w:r>
        <w:rPr>
          <w:rFonts w:ascii="Times New Roman" w:hAnsi="Times New Roman"/>
          <w:noProof/>
          <w:sz w:val="24"/>
          <w:szCs w:val="24"/>
        </w:rPr>
        <w:t>]</w:t>
      </w:r>
    </w:p>
    <w:p>
      <w:pPr>
        <w:spacing w:line="240" w:lineRule="auto"/>
        <w:rPr>
          <w:rFonts w:ascii="Times New Roman" w:hAnsi="Times New Roman" w:cs="Times New Roman"/>
          <w:noProof/>
          <w:sz w:val="24"/>
          <w:szCs w:val="24"/>
        </w:rPr>
      </w:pPr>
      <w:r>
        <w:rPr>
          <w:rFonts w:ascii="Times New Roman" w:hAnsi="Times New Roman"/>
          <w:noProof/>
          <w:sz w:val="24"/>
          <w:szCs w:val="24"/>
        </w:rPr>
        <w:t xml:space="preserve">Изпълнението на инвестицията приключва до 31 декември 2025 г. </w:t>
      </w:r>
    </w:p>
    <w:p>
      <w:pPr>
        <w:spacing w:line="240" w:lineRule="auto"/>
        <w:rPr>
          <w:rFonts w:ascii="Times New Roman" w:hAnsi="Times New Roman" w:cs="Times New Roman"/>
          <w:noProof/>
          <w:sz w:val="24"/>
          <w:szCs w:val="24"/>
          <w:u w:val="single"/>
        </w:rPr>
      </w:pPr>
      <w:r>
        <w:rPr>
          <w:rFonts w:ascii="Times New Roman" w:hAnsi="Times New Roman"/>
          <w:noProof/>
          <w:sz w:val="24"/>
          <w:szCs w:val="24"/>
          <w:u w:val="single"/>
        </w:rPr>
        <w:t>Инвестиция 3 (C26.I3) – Социален план за спорта</w:t>
      </w:r>
    </w:p>
    <w:p>
      <w:pPr>
        <w:spacing w:line="240" w:lineRule="auto"/>
        <w:jc w:val="both"/>
        <w:rPr>
          <w:rFonts w:ascii="Times New Roman" w:hAnsi="Times New Roman" w:cs="Times New Roman"/>
          <w:noProof/>
          <w:sz w:val="24"/>
          <w:szCs w:val="24"/>
          <w:u w:val="single"/>
        </w:rPr>
      </w:pPr>
      <w:r>
        <w:rPr>
          <w:rFonts w:ascii="Times New Roman" w:hAnsi="Times New Roman"/>
          <w:noProof/>
          <w:sz w:val="24"/>
          <w:szCs w:val="24"/>
        </w:rPr>
        <w:t>Целта на тази мярка е двойна. От една страна, тя има за цел да модернизира съществуващите спортни съоръжения чрез подобряване на тяхната цифровизация, енергийна ефективност и достъпност, за да се даде възможност на Испания да участва в търгове за организиране на международни спортни състезания. От друга страна, тя има за цел да насърчи участието на жените в професионалните спортове чрез действия за увеличаване на тяхното присъствие и видимост, обучение и даване на възможност за професионализиране на женските спортове, по-специално футбола.</w:t>
      </w:r>
      <w:r>
        <w:rPr>
          <w:rFonts w:ascii="Times New Roman" w:hAnsi="Times New Roman"/>
          <w:noProof/>
          <w:sz w:val="24"/>
          <w:szCs w:val="24"/>
          <w:u w:val="single"/>
        </w:rPr>
        <w:t xml:space="preserve"> </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Критериите за подбор на инвестиции, осъществени по този компонент, гарантират съответствие със 100 % проследяване в областта на климата в размер на най-малко 27 500 000 </w:t>
      </w:r>
      <w:r>
        <w:rPr>
          <w:rFonts w:ascii="Times New Roman" w:hAnsi="Times New Roman"/>
          <w:noProof/>
          <w:sz w:val="24"/>
          <w:szCs w:val="24"/>
          <w:lang w:val="en-US"/>
        </w:rPr>
        <w:t>EUR</w:t>
      </w:r>
      <w:r>
        <w:rPr>
          <w:rFonts w:ascii="Times New Roman" w:hAnsi="Times New Roman"/>
          <w:noProof/>
          <w:sz w:val="24"/>
          <w:szCs w:val="24"/>
        </w:rPr>
        <w:t xml:space="preserve"> от общите инвестиции. Използваните показатели за подобряване на енергийните характеристики се акредитират чрез съответния сертификат за енергийни характеристики в рамките на Директива 2010/31/ЕС на Европейския парламент и на Съвета от 19 май 2010 г. относно енергийните характеристики на сградите.</w:t>
      </w:r>
    </w:p>
    <w:p>
      <w:pPr>
        <w:spacing w:line="240" w:lineRule="auto"/>
        <w:rPr>
          <w:rFonts w:ascii="Times New Roman" w:hAnsi="Times New Roman" w:cs="Times New Roman"/>
          <w:noProof/>
          <w:sz w:val="24"/>
          <w:szCs w:val="24"/>
        </w:rPr>
      </w:pPr>
      <w:r>
        <w:rPr>
          <w:rFonts w:ascii="Times New Roman" w:hAnsi="Times New Roman"/>
          <w:noProof/>
          <w:sz w:val="24"/>
          <w:szCs w:val="24"/>
        </w:rPr>
        <w:t xml:space="preserve">Изпълнението на инвестицията приключва до 31 декември 2023 г. </w:t>
      </w:r>
    </w:p>
    <w:p>
      <w:pPr>
        <w:pStyle w:val="Text1"/>
        <w:ind w:left="709"/>
        <w:rPr>
          <w:b/>
          <w:bCs/>
          <w:noProof/>
          <w:u w:val="single"/>
        </w:rPr>
      </w:pPr>
      <w:r>
        <w:rPr>
          <w:b/>
          <w:bCs/>
          <w:noProof/>
          <w:u w:val="single"/>
        </w:rPr>
        <w:t xml:space="preserve">Щ.2. </w:t>
      </w:r>
      <w:r>
        <w:rPr>
          <w:b/>
          <w:noProof/>
          <w:u w:val="single"/>
        </w:rPr>
        <w:tab/>
      </w:r>
      <w:r>
        <w:rPr>
          <w:b/>
          <w:bCs/>
          <w:noProof/>
          <w:u w:val="single"/>
        </w:rPr>
        <w:t>Ключови етапи, цели, показатели и график за мониторинг и изпълнение на безвъзмездната финансова подкрепа</w:t>
      </w:r>
    </w:p>
    <w:p>
      <w:pPr>
        <w:pStyle w:val="Text1"/>
        <w:ind w:left="709"/>
        <w:rPr>
          <w:b/>
          <w:bCs/>
          <w:noProof/>
          <w:u w:val="single"/>
        </w:rPr>
      </w:pPr>
      <w:r>
        <w:rPr>
          <w:i/>
          <w:iCs/>
          <w:noProof/>
          <w:color w:val="000000"/>
          <w:szCs w:val="24"/>
        </w:rPr>
        <w:t>Вж. таблицата по-долу. Датата на базовата линия за всички показатели е 1 февруари 2020 г., освен ако не е посочено друго в описанието на действието. Сумите в таблицата трябва да включват ДДС.</w:t>
      </w:r>
    </w:p>
    <w:p>
      <w:pPr>
        <w:pStyle w:val="Text1"/>
        <w:ind w:left="0"/>
        <w:rPr>
          <w:noProof/>
          <w:lang w:val="en-IE"/>
        </w:rPr>
        <w:sectPr>
          <w:headerReference w:type="even" r:id="rId319"/>
          <w:headerReference w:type="default" r:id="rId320"/>
          <w:footerReference w:type="even" r:id="rId321"/>
          <w:footerReference w:type="default" r:id="rId322"/>
          <w:headerReference w:type="first" r:id="rId323"/>
          <w:footerReference w:type="first" r:id="rId324"/>
          <w:pgSz w:w="11907" w:h="16839"/>
          <w:pgMar w:top="1134" w:right="1417" w:bottom="1134" w:left="1417" w:header="709" w:footer="709" w:gutter="0"/>
          <w:cols w:space="720"/>
          <w:docGrid w:linePitch="360"/>
        </w:sectPr>
      </w:pPr>
    </w:p>
    <w:p>
      <w:pPr>
        <w:pStyle w:val="Text1"/>
        <w:ind w:left="0"/>
        <w:rPr>
          <w:noProof/>
          <w:sz w:val="20"/>
          <w:szCs w:val="20"/>
          <w:lang w:val="en-IE"/>
        </w:rPr>
      </w:pPr>
    </w:p>
    <w:tbl>
      <w:tblPr>
        <w:tblpPr w:leftFromText="180" w:rightFromText="180" w:vertAnchor="text" w:tblpXSpec="right" w:tblpY="1"/>
        <w:tblOverlap w:val="never"/>
        <w:tblW w:w="15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03"/>
        <w:gridCol w:w="845"/>
        <w:gridCol w:w="844"/>
        <w:gridCol w:w="2533"/>
        <w:gridCol w:w="1407"/>
        <w:gridCol w:w="986"/>
        <w:gridCol w:w="1266"/>
        <w:gridCol w:w="845"/>
        <w:gridCol w:w="319"/>
        <w:gridCol w:w="666"/>
        <w:gridCol w:w="4754"/>
        <w:gridCol w:w="29"/>
      </w:tblGrid>
      <w:tr>
        <w:trPr>
          <w:gridAfter w:val="1"/>
          <w:wAfter w:w="29" w:type="dxa"/>
          <w:trHeight w:val="309"/>
          <w:tblHeader/>
        </w:trPr>
        <w:tc>
          <w:tcPr>
            <w:tcW w:w="703" w:type="dxa"/>
            <w:tcBorders>
              <w:bottom w:val="nil"/>
            </w:tcBorders>
            <w:shd w:val="clear" w:color="auto" w:fill="C6D9F1" w:themeFill="text2" w:themeFillTint="33"/>
            <w:noWrap/>
            <w:vAlign w:val="center"/>
          </w:tcPr>
          <w:p>
            <w:pPr>
              <w:spacing w:after="0"/>
              <w:jc w:val="center"/>
              <w:rPr>
                <w:rFonts w:ascii="Times New Roman" w:hAnsi="Times New Roman" w:cs="Times New Roman"/>
                <w:b/>
                <w:noProof/>
                <w:color w:val="000000"/>
                <w:sz w:val="18"/>
                <w:szCs w:val="18"/>
              </w:rPr>
            </w:pPr>
            <w:r>
              <w:rPr>
                <w:rFonts w:ascii="Times New Roman" w:hAnsi="Times New Roman"/>
                <w:b/>
                <w:noProof/>
                <w:color w:val="000000"/>
                <w:sz w:val="18"/>
                <w:szCs w:val="18"/>
              </w:rPr>
              <w:t>Номер</w:t>
            </w:r>
          </w:p>
        </w:tc>
        <w:tc>
          <w:tcPr>
            <w:tcW w:w="845" w:type="dxa"/>
            <w:tcBorders>
              <w:bottom w:val="nil"/>
            </w:tcBorders>
            <w:shd w:val="clear" w:color="auto" w:fill="C6D9F1" w:themeFill="text2" w:themeFillTint="33"/>
            <w:noWrap/>
            <w:vAlign w:val="center"/>
          </w:tcPr>
          <w:p>
            <w:pPr>
              <w:spacing w:after="0"/>
              <w:jc w:val="center"/>
              <w:rPr>
                <w:rFonts w:ascii="Times New Roman" w:hAnsi="Times New Roman" w:cs="Times New Roman"/>
                <w:b/>
                <w:noProof/>
                <w:color w:val="000000"/>
                <w:sz w:val="18"/>
                <w:szCs w:val="18"/>
              </w:rPr>
            </w:pPr>
            <w:r>
              <w:rPr>
                <w:rFonts w:ascii="Times New Roman" w:hAnsi="Times New Roman"/>
                <w:b/>
                <w:noProof/>
                <w:color w:val="000000"/>
                <w:sz w:val="18"/>
                <w:szCs w:val="18"/>
              </w:rPr>
              <w:t>Мярка</w:t>
            </w:r>
          </w:p>
        </w:tc>
        <w:tc>
          <w:tcPr>
            <w:tcW w:w="844" w:type="dxa"/>
            <w:tcBorders>
              <w:bottom w:val="nil"/>
            </w:tcBorders>
            <w:shd w:val="clear" w:color="auto" w:fill="C6D9F1" w:themeFill="text2" w:themeFillTint="33"/>
            <w:noWrap/>
            <w:vAlign w:val="center"/>
          </w:tcPr>
          <w:p>
            <w:pPr>
              <w:spacing w:after="0"/>
              <w:jc w:val="center"/>
              <w:rPr>
                <w:rFonts w:ascii="Times New Roman" w:hAnsi="Times New Roman" w:cs="Times New Roman"/>
                <w:b/>
                <w:noProof/>
                <w:color w:val="000000"/>
                <w:sz w:val="18"/>
                <w:szCs w:val="18"/>
              </w:rPr>
            </w:pPr>
            <w:r>
              <w:rPr>
                <w:rFonts w:ascii="Times New Roman" w:hAnsi="Times New Roman"/>
                <w:b/>
                <w:noProof/>
                <w:color w:val="000000"/>
                <w:sz w:val="18"/>
                <w:szCs w:val="18"/>
              </w:rPr>
              <w:t>Ключов етап / Цел</w:t>
            </w:r>
          </w:p>
        </w:tc>
        <w:tc>
          <w:tcPr>
            <w:tcW w:w="2533" w:type="dxa"/>
            <w:tcBorders>
              <w:bottom w:val="nil"/>
            </w:tcBorders>
            <w:shd w:val="clear" w:color="auto" w:fill="C6D9F1" w:themeFill="text2" w:themeFillTint="33"/>
            <w:noWrap/>
            <w:vAlign w:val="center"/>
          </w:tcPr>
          <w:p>
            <w:pPr>
              <w:spacing w:after="0"/>
              <w:jc w:val="center"/>
              <w:rPr>
                <w:rFonts w:ascii="Times New Roman" w:hAnsi="Times New Roman" w:cs="Times New Roman"/>
                <w:b/>
                <w:noProof/>
                <w:color w:val="000000"/>
                <w:sz w:val="18"/>
                <w:szCs w:val="18"/>
                <w:lang w:val="en-IE"/>
              </w:rPr>
            </w:pPr>
          </w:p>
          <w:p>
            <w:pPr>
              <w:spacing w:after="0"/>
              <w:jc w:val="center"/>
              <w:rPr>
                <w:rFonts w:ascii="Times New Roman" w:hAnsi="Times New Roman" w:cs="Times New Roman"/>
                <w:b/>
                <w:noProof/>
                <w:color w:val="000000"/>
                <w:sz w:val="18"/>
                <w:szCs w:val="18"/>
              </w:rPr>
            </w:pPr>
            <w:r>
              <w:rPr>
                <w:rFonts w:ascii="Times New Roman" w:hAnsi="Times New Roman"/>
                <w:b/>
                <w:noProof/>
                <w:color w:val="000000"/>
                <w:sz w:val="18"/>
                <w:szCs w:val="18"/>
              </w:rPr>
              <w:t>Наименование</w:t>
            </w:r>
          </w:p>
        </w:tc>
        <w:tc>
          <w:tcPr>
            <w:tcW w:w="1407" w:type="dxa"/>
            <w:tcBorders>
              <w:bottom w:val="nil"/>
            </w:tcBorders>
            <w:shd w:val="clear" w:color="auto" w:fill="C6D9F1" w:themeFill="text2" w:themeFillTint="33"/>
            <w:noWrap/>
            <w:vAlign w:val="center"/>
          </w:tcPr>
          <w:p>
            <w:pPr>
              <w:spacing w:after="0"/>
              <w:jc w:val="center"/>
              <w:rPr>
                <w:rFonts w:ascii="Times New Roman" w:hAnsi="Times New Roman" w:cs="Times New Roman"/>
                <w:b/>
                <w:noProof/>
                <w:color w:val="000000"/>
                <w:sz w:val="18"/>
                <w:szCs w:val="18"/>
              </w:rPr>
            </w:pPr>
            <w:r>
              <w:rPr>
                <w:rFonts w:ascii="Times New Roman" w:hAnsi="Times New Roman"/>
                <w:b/>
                <w:noProof/>
                <w:color w:val="000000"/>
                <w:sz w:val="18"/>
                <w:szCs w:val="18"/>
              </w:rPr>
              <w:t>Качествени показатели за ключовите етапи</w:t>
            </w:r>
          </w:p>
        </w:tc>
        <w:tc>
          <w:tcPr>
            <w:tcW w:w="3097" w:type="dxa"/>
            <w:gridSpan w:val="3"/>
            <w:shd w:val="clear" w:color="auto" w:fill="C6D9F1" w:themeFill="text2" w:themeFillTint="33"/>
            <w:noWrap/>
            <w:vAlign w:val="center"/>
          </w:tcPr>
          <w:p>
            <w:pPr>
              <w:spacing w:after="0"/>
              <w:jc w:val="center"/>
              <w:rPr>
                <w:rFonts w:ascii="Times New Roman" w:hAnsi="Times New Roman" w:cs="Times New Roman"/>
                <w:b/>
                <w:noProof/>
                <w:color w:val="000000"/>
                <w:sz w:val="18"/>
                <w:szCs w:val="18"/>
              </w:rPr>
            </w:pPr>
            <w:r>
              <w:rPr>
                <w:rFonts w:ascii="Times New Roman" w:hAnsi="Times New Roman"/>
                <w:b/>
                <w:noProof/>
                <w:color w:val="000000"/>
                <w:sz w:val="18"/>
                <w:szCs w:val="18"/>
              </w:rPr>
              <w:t>Количествени показатели за целите</w:t>
            </w:r>
          </w:p>
        </w:tc>
        <w:tc>
          <w:tcPr>
            <w:tcW w:w="985" w:type="dxa"/>
            <w:gridSpan w:val="2"/>
            <w:shd w:val="clear" w:color="auto" w:fill="C6D9F1" w:themeFill="text2" w:themeFillTint="33"/>
            <w:noWrap/>
            <w:vAlign w:val="center"/>
          </w:tcPr>
          <w:p>
            <w:pPr>
              <w:spacing w:after="0"/>
              <w:jc w:val="center"/>
              <w:rPr>
                <w:rFonts w:ascii="Times New Roman" w:hAnsi="Times New Roman" w:cs="Times New Roman"/>
                <w:b/>
                <w:noProof/>
                <w:color w:val="000000"/>
                <w:sz w:val="18"/>
                <w:szCs w:val="18"/>
              </w:rPr>
            </w:pPr>
            <w:r>
              <w:rPr>
                <w:rFonts w:ascii="Times New Roman" w:hAnsi="Times New Roman"/>
                <w:b/>
                <w:noProof/>
                <w:color w:val="000000"/>
                <w:sz w:val="18"/>
                <w:szCs w:val="18"/>
              </w:rPr>
              <w:t>Време</w:t>
            </w:r>
          </w:p>
        </w:tc>
        <w:tc>
          <w:tcPr>
            <w:tcW w:w="4754" w:type="dxa"/>
            <w:tcBorders>
              <w:bottom w:val="nil"/>
            </w:tcBorders>
            <w:shd w:val="clear" w:color="auto" w:fill="C6D9F1" w:themeFill="text2" w:themeFillTint="33"/>
            <w:noWrap/>
            <w:vAlign w:val="center"/>
          </w:tcPr>
          <w:p>
            <w:pPr>
              <w:spacing w:after="0"/>
              <w:jc w:val="center"/>
              <w:rPr>
                <w:rFonts w:ascii="Times New Roman" w:hAnsi="Times New Roman" w:cs="Times New Roman"/>
                <w:b/>
                <w:noProof/>
                <w:color w:val="000000"/>
                <w:sz w:val="18"/>
                <w:szCs w:val="18"/>
              </w:rPr>
            </w:pPr>
            <w:r>
              <w:rPr>
                <w:rFonts w:ascii="Times New Roman" w:hAnsi="Times New Roman"/>
                <w:b/>
                <w:noProof/>
                <w:sz w:val="18"/>
                <w:szCs w:val="18"/>
              </w:rPr>
              <w:t>Описание на всеки ключов етап и всяка цел</w:t>
            </w:r>
          </w:p>
        </w:tc>
      </w:tr>
      <w:tr>
        <w:trPr>
          <w:gridAfter w:val="1"/>
          <w:wAfter w:w="29" w:type="dxa"/>
          <w:trHeight w:val="309"/>
          <w:tblHeader/>
        </w:trPr>
        <w:tc>
          <w:tcPr>
            <w:tcW w:w="703" w:type="dxa"/>
            <w:tcBorders>
              <w:top w:val="nil"/>
            </w:tcBorders>
            <w:shd w:val="clear" w:color="auto" w:fill="C6D9F1" w:themeFill="text2" w:themeFillTint="33"/>
            <w:noWrap/>
          </w:tcPr>
          <w:p>
            <w:pPr>
              <w:spacing w:after="0"/>
              <w:jc w:val="center"/>
              <w:rPr>
                <w:rFonts w:ascii="Times New Roman" w:hAnsi="Times New Roman" w:cs="Times New Roman"/>
                <w:b/>
                <w:noProof/>
                <w:color w:val="000000"/>
                <w:sz w:val="18"/>
                <w:szCs w:val="18"/>
              </w:rPr>
            </w:pPr>
          </w:p>
        </w:tc>
        <w:tc>
          <w:tcPr>
            <w:tcW w:w="845" w:type="dxa"/>
            <w:tcBorders>
              <w:top w:val="nil"/>
            </w:tcBorders>
            <w:shd w:val="clear" w:color="auto" w:fill="C6D9F1" w:themeFill="text2" w:themeFillTint="33"/>
            <w:noWrap/>
          </w:tcPr>
          <w:p>
            <w:pPr>
              <w:spacing w:after="0"/>
              <w:jc w:val="center"/>
              <w:rPr>
                <w:rFonts w:ascii="Times New Roman" w:hAnsi="Times New Roman" w:cs="Times New Roman"/>
                <w:b/>
                <w:noProof/>
                <w:color w:val="000000"/>
                <w:sz w:val="18"/>
                <w:szCs w:val="18"/>
              </w:rPr>
            </w:pPr>
          </w:p>
        </w:tc>
        <w:tc>
          <w:tcPr>
            <w:tcW w:w="844" w:type="dxa"/>
            <w:tcBorders>
              <w:top w:val="nil"/>
            </w:tcBorders>
            <w:shd w:val="clear" w:color="auto" w:fill="C6D9F1" w:themeFill="text2" w:themeFillTint="33"/>
            <w:noWrap/>
          </w:tcPr>
          <w:p>
            <w:pPr>
              <w:spacing w:after="0"/>
              <w:jc w:val="center"/>
              <w:rPr>
                <w:rFonts w:ascii="Times New Roman" w:hAnsi="Times New Roman" w:cs="Times New Roman"/>
                <w:b/>
                <w:noProof/>
                <w:color w:val="000000"/>
                <w:sz w:val="18"/>
                <w:szCs w:val="18"/>
              </w:rPr>
            </w:pPr>
          </w:p>
        </w:tc>
        <w:tc>
          <w:tcPr>
            <w:tcW w:w="2533" w:type="dxa"/>
            <w:tcBorders>
              <w:top w:val="nil"/>
            </w:tcBorders>
            <w:shd w:val="clear" w:color="auto" w:fill="C6D9F1" w:themeFill="text2" w:themeFillTint="33"/>
            <w:noWrap/>
          </w:tcPr>
          <w:p>
            <w:pPr>
              <w:spacing w:after="0"/>
              <w:rPr>
                <w:rFonts w:ascii="Times New Roman" w:hAnsi="Times New Roman" w:cs="Times New Roman"/>
                <w:b/>
                <w:noProof/>
                <w:color w:val="000000"/>
                <w:sz w:val="18"/>
                <w:szCs w:val="18"/>
              </w:rPr>
            </w:pPr>
          </w:p>
        </w:tc>
        <w:tc>
          <w:tcPr>
            <w:tcW w:w="1407" w:type="dxa"/>
            <w:tcBorders>
              <w:top w:val="nil"/>
            </w:tcBorders>
            <w:shd w:val="clear" w:color="auto" w:fill="C6D9F1" w:themeFill="text2" w:themeFillTint="33"/>
            <w:noWrap/>
          </w:tcPr>
          <w:p>
            <w:pPr>
              <w:spacing w:after="0"/>
              <w:jc w:val="center"/>
              <w:rPr>
                <w:rFonts w:ascii="Times New Roman" w:hAnsi="Times New Roman" w:cs="Times New Roman"/>
                <w:b/>
                <w:noProof/>
                <w:color w:val="000000"/>
                <w:sz w:val="18"/>
                <w:szCs w:val="18"/>
              </w:rPr>
            </w:pPr>
          </w:p>
        </w:tc>
        <w:tc>
          <w:tcPr>
            <w:tcW w:w="986" w:type="dxa"/>
            <w:shd w:val="clear" w:color="auto" w:fill="C6D9F1" w:themeFill="text2" w:themeFillTint="33"/>
            <w:noWrap/>
          </w:tcPr>
          <w:p>
            <w:pPr>
              <w:spacing w:after="0"/>
              <w:jc w:val="center"/>
              <w:rPr>
                <w:rFonts w:ascii="Times New Roman" w:hAnsi="Times New Roman" w:cs="Times New Roman"/>
                <w:b/>
                <w:noProof/>
                <w:color w:val="000000"/>
                <w:sz w:val="18"/>
                <w:szCs w:val="18"/>
              </w:rPr>
            </w:pPr>
            <w:r>
              <w:rPr>
                <w:rFonts w:ascii="Times New Roman" w:hAnsi="Times New Roman"/>
                <w:b/>
                <w:noProof/>
                <w:color w:val="000000"/>
                <w:sz w:val="18"/>
                <w:szCs w:val="18"/>
              </w:rPr>
              <w:t>Мерна единица</w:t>
            </w:r>
          </w:p>
        </w:tc>
        <w:tc>
          <w:tcPr>
            <w:tcW w:w="1266" w:type="dxa"/>
            <w:shd w:val="clear" w:color="auto" w:fill="C6D9F1" w:themeFill="text2" w:themeFillTint="33"/>
            <w:noWrap/>
          </w:tcPr>
          <w:p>
            <w:pPr>
              <w:spacing w:after="0"/>
              <w:jc w:val="center"/>
              <w:rPr>
                <w:rFonts w:ascii="Times New Roman" w:hAnsi="Times New Roman" w:cs="Times New Roman"/>
                <w:b/>
                <w:noProof/>
                <w:color w:val="000000"/>
                <w:sz w:val="18"/>
                <w:szCs w:val="18"/>
              </w:rPr>
            </w:pPr>
            <w:r>
              <w:rPr>
                <w:rFonts w:ascii="Times New Roman" w:hAnsi="Times New Roman"/>
                <w:b/>
                <w:noProof/>
                <w:color w:val="000000"/>
                <w:sz w:val="18"/>
                <w:szCs w:val="18"/>
              </w:rPr>
              <w:t>Базова линия</w:t>
            </w:r>
          </w:p>
        </w:tc>
        <w:tc>
          <w:tcPr>
            <w:tcW w:w="845" w:type="dxa"/>
            <w:shd w:val="clear" w:color="auto" w:fill="C6D9F1" w:themeFill="text2" w:themeFillTint="33"/>
            <w:noWrap/>
          </w:tcPr>
          <w:p>
            <w:pPr>
              <w:spacing w:after="0"/>
              <w:jc w:val="center"/>
              <w:rPr>
                <w:rFonts w:ascii="Times New Roman" w:hAnsi="Times New Roman" w:cs="Times New Roman"/>
                <w:b/>
                <w:noProof/>
                <w:color w:val="000000"/>
                <w:sz w:val="18"/>
                <w:szCs w:val="18"/>
              </w:rPr>
            </w:pPr>
            <w:r>
              <w:rPr>
                <w:rFonts w:ascii="Times New Roman" w:hAnsi="Times New Roman"/>
                <w:b/>
                <w:noProof/>
                <w:color w:val="000000"/>
                <w:sz w:val="18"/>
                <w:szCs w:val="18"/>
              </w:rPr>
              <w:t>Цел</w:t>
            </w:r>
          </w:p>
        </w:tc>
        <w:tc>
          <w:tcPr>
            <w:tcW w:w="319" w:type="dxa"/>
            <w:shd w:val="clear" w:color="auto" w:fill="C6D9F1" w:themeFill="text2" w:themeFillTint="33"/>
            <w:noWrap/>
          </w:tcPr>
          <w:p>
            <w:pPr>
              <w:spacing w:after="0"/>
              <w:jc w:val="center"/>
              <w:rPr>
                <w:rFonts w:ascii="Times New Roman" w:hAnsi="Times New Roman" w:cs="Times New Roman"/>
                <w:b/>
                <w:noProof/>
                <w:color w:val="000000"/>
                <w:sz w:val="18"/>
                <w:szCs w:val="18"/>
              </w:rPr>
            </w:pPr>
            <w:r>
              <w:rPr>
                <w:rFonts w:ascii="Times New Roman" w:hAnsi="Times New Roman"/>
                <w:b/>
                <w:noProof/>
                <w:color w:val="000000"/>
                <w:sz w:val="18"/>
                <w:szCs w:val="18"/>
              </w:rPr>
              <w:t>T</w:t>
            </w:r>
          </w:p>
        </w:tc>
        <w:tc>
          <w:tcPr>
            <w:tcW w:w="666" w:type="dxa"/>
            <w:shd w:val="clear" w:color="auto" w:fill="C6D9F1" w:themeFill="text2" w:themeFillTint="33"/>
            <w:noWrap/>
          </w:tcPr>
          <w:p>
            <w:pPr>
              <w:spacing w:after="0"/>
              <w:jc w:val="center"/>
              <w:rPr>
                <w:rFonts w:ascii="Times New Roman" w:hAnsi="Times New Roman" w:cs="Times New Roman"/>
                <w:b/>
                <w:noProof/>
                <w:color w:val="000000"/>
                <w:sz w:val="18"/>
                <w:szCs w:val="18"/>
              </w:rPr>
            </w:pPr>
            <w:r>
              <w:rPr>
                <w:rFonts w:ascii="Times New Roman" w:hAnsi="Times New Roman"/>
                <w:b/>
                <w:noProof/>
                <w:color w:val="000000"/>
                <w:sz w:val="18"/>
                <w:szCs w:val="18"/>
              </w:rPr>
              <w:t>Година</w:t>
            </w:r>
          </w:p>
        </w:tc>
        <w:tc>
          <w:tcPr>
            <w:tcW w:w="4754" w:type="dxa"/>
            <w:tcBorders>
              <w:top w:val="nil"/>
            </w:tcBorders>
            <w:shd w:val="clear" w:color="auto" w:fill="C6D9F1" w:themeFill="text2" w:themeFillTint="33"/>
            <w:noWrap/>
          </w:tcPr>
          <w:p>
            <w:pPr>
              <w:spacing w:after="0"/>
              <w:rPr>
                <w:rFonts w:ascii="Times New Roman" w:hAnsi="Times New Roman" w:cs="Times New Roman"/>
                <w:b/>
                <w:noProof/>
                <w:color w:val="000000"/>
                <w:sz w:val="18"/>
                <w:szCs w:val="18"/>
                <w:lang w:val="en-IE"/>
              </w:rPr>
            </w:pPr>
          </w:p>
        </w:tc>
      </w:tr>
      <w:tr>
        <w:trPr>
          <w:trHeight w:val="309"/>
        </w:trPr>
        <w:tc>
          <w:tcPr>
            <w:tcW w:w="703"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367</w:t>
            </w:r>
          </w:p>
        </w:tc>
        <w:tc>
          <w:tcPr>
            <w:tcW w:w="845"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C26.R1</w:t>
            </w:r>
          </w:p>
        </w:tc>
        <w:tc>
          <w:tcPr>
            <w:tcW w:w="844"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2533" w:type="dxa"/>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Влизане в сила на Закона за спорта </w:t>
            </w:r>
          </w:p>
        </w:tc>
        <w:tc>
          <w:tcPr>
            <w:tcW w:w="1407"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Разпоредба от закона, в която се посочва влизането му в сила </w:t>
            </w:r>
          </w:p>
        </w:tc>
        <w:tc>
          <w:tcPr>
            <w:tcW w:w="986"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1266" w:type="dxa"/>
            <w:shd w:val="clear" w:color="auto" w:fill="C6EFCE"/>
            <w:noWrap/>
          </w:tcPr>
          <w:p>
            <w:pPr>
              <w:spacing w:after="0"/>
              <w:jc w:val="center"/>
              <w:rPr>
                <w:rFonts w:ascii="Times New Roman" w:hAnsi="Times New Roman" w:cs="Times New Roman"/>
                <w:noProof/>
                <w:color w:val="000000" w:themeColor="text1"/>
                <w:sz w:val="18"/>
                <w:szCs w:val="18"/>
              </w:rPr>
            </w:pPr>
            <w:r>
              <w:rPr>
                <w:rFonts w:ascii="Times New Roman" w:hAnsi="Times New Roman"/>
                <w:noProof/>
                <w:color w:val="000000"/>
                <w:sz w:val="18"/>
                <w:szCs w:val="18"/>
              </w:rPr>
              <w:t xml:space="preserve"> </w:t>
            </w:r>
          </w:p>
        </w:tc>
        <w:tc>
          <w:tcPr>
            <w:tcW w:w="845" w:type="dxa"/>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319"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666"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2022</w:t>
            </w:r>
          </w:p>
        </w:tc>
        <w:tc>
          <w:tcPr>
            <w:tcW w:w="4783" w:type="dxa"/>
            <w:gridSpan w:val="2"/>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Законът насърчава здравето и безопасността при практикуването на спорт на всички равнища, равенството между половете, социалното приобщаване и достъпността, насърчаването на международното измерение на модела и модернизирането на организациите и инфраструктурите чрез опазване на околната среда и цифровизация. </w:t>
            </w:r>
          </w:p>
        </w:tc>
      </w:tr>
      <w:tr>
        <w:trPr>
          <w:trHeight w:val="309"/>
        </w:trPr>
        <w:tc>
          <w:tcPr>
            <w:tcW w:w="703"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368</w:t>
            </w:r>
          </w:p>
        </w:tc>
        <w:tc>
          <w:tcPr>
            <w:tcW w:w="845"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C26.R2</w:t>
            </w:r>
          </w:p>
        </w:tc>
        <w:tc>
          <w:tcPr>
            <w:tcW w:w="844"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2533" w:type="dxa"/>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Влизане в сила на Закона за регулиране на някои професии в областта на спорта </w:t>
            </w:r>
          </w:p>
        </w:tc>
        <w:tc>
          <w:tcPr>
            <w:tcW w:w="1407"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Законова разпоредба, с която се посочва влизането ѝ в сила</w:t>
            </w:r>
          </w:p>
        </w:tc>
        <w:tc>
          <w:tcPr>
            <w:tcW w:w="986"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1266" w:type="dxa"/>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845" w:type="dxa"/>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319"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666"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2023</w:t>
            </w:r>
          </w:p>
        </w:tc>
        <w:tc>
          <w:tcPr>
            <w:tcW w:w="4783" w:type="dxa"/>
            <w:gridSpan w:val="2"/>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szCs w:val="18"/>
              </w:rPr>
              <w:t>Приемане на Закона за регулиране на някои спортни професии, за да се отговори на предизвикателствата, произтичащи от регулаторната разнородност, и като се вземат надлежно предвид принципите на необходимост и пропорционалност.</w:t>
            </w:r>
          </w:p>
        </w:tc>
      </w:tr>
      <w:tr>
        <w:trPr>
          <w:trHeight w:val="309"/>
        </w:trPr>
        <w:tc>
          <w:tcPr>
            <w:tcW w:w="703"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369</w:t>
            </w:r>
          </w:p>
        </w:tc>
        <w:tc>
          <w:tcPr>
            <w:tcW w:w="845"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C26.R3</w:t>
            </w:r>
          </w:p>
        </w:tc>
        <w:tc>
          <w:tcPr>
            <w:tcW w:w="844"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2533" w:type="dxa"/>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szCs w:val="18"/>
              </w:rPr>
              <w:t>Национална стратегия за насърчаване на спорта срещу заседналия начин на живот и липсата на физическа активност</w:t>
            </w:r>
          </w:p>
        </w:tc>
        <w:tc>
          <w:tcPr>
            <w:tcW w:w="1407"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Публикуване на уебстраница</w:t>
            </w:r>
          </w:p>
        </w:tc>
        <w:tc>
          <w:tcPr>
            <w:tcW w:w="986"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1266"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845" w:type="dxa"/>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319"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666"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2023</w:t>
            </w:r>
          </w:p>
        </w:tc>
        <w:tc>
          <w:tcPr>
            <w:tcW w:w="4783" w:type="dxa"/>
            <w:gridSpan w:val="2"/>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szCs w:val="18"/>
              </w:rPr>
              <w:t>Одобрение от правителството на Испания на изпълнението на Националната стратегия за насърчаване на спорта срещу заседналия начин на живот и липсата на физическа активност. Стратегията има за цел: а) въвеждане на постоянен инструмент за анализ, измерване и подобряване на въздействието на стратегията; б) изпълнение на действия с цел установяване на добри практики и здравословни навици след анализа. Стратегията е обвързваща за регионалните и местните органи.</w:t>
            </w:r>
          </w:p>
        </w:tc>
      </w:tr>
      <w:tr>
        <w:trPr>
          <w:trHeight w:val="309"/>
        </w:trPr>
        <w:tc>
          <w:tcPr>
            <w:tcW w:w="703"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370</w:t>
            </w:r>
          </w:p>
        </w:tc>
        <w:tc>
          <w:tcPr>
            <w:tcW w:w="845"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C26.I1</w:t>
            </w:r>
          </w:p>
        </w:tc>
        <w:tc>
          <w:tcPr>
            <w:tcW w:w="844"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2533" w:type="dxa"/>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szCs w:val="18"/>
              </w:rPr>
              <w:t>Цифровизация на спортния сектор</w:t>
            </w:r>
          </w:p>
        </w:tc>
        <w:tc>
          <w:tcPr>
            <w:tcW w:w="1407"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Публикувано в ОВ </w:t>
            </w:r>
          </w:p>
        </w:tc>
        <w:tc>
          <w:tcPr>
            <w:tcW w:w="986"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1266" w:type="dxa"/>
            <w:shd w:val="clear" w:color="auto" w:fill="C6EFCE"/>
            <w:noWrap/>
          </w:tcPr>
          <w:p>
            <w:pPr>
              <w:spacing w:after="0"/>
              <w:jc w:val="right"/>
              <w:rPr>
                <w:rFonts w:ascii="Times New Roman" w:eastAsia="Times New Roman" w:hAnsi="Times New Roman" w:cs="Times New Roman"/>
                <w:noProof/>
                <w:sz w:val="18"/>
                <w:szCs w:val="18"/>
                <w:lang w:val="en-IE" w:eastAsia="en-GB"/>
              </w:rPr>
            </w:pPr>
          </w:p>
        </w:tc>
        <w:tc>
          <w:tcPr>
            <w:tcW w:w="845" w:type="dxa"/>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319"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666"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2023</w:t>
            </w:r>
          </w:p>
        </w:tc>
        <w:tc>
          <w:tcPr>
            <w:tcW w:w="4783" w:type="dxa"/>
            <w:gridSpan w:val="2"/>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szCs w:val="18"/>
              </w:rPr>
              <w:t>Изпълнение на бюджета в размер на най-малко 75,6 милиона евро, което следва да доведе до значително подобряване на цифровизацията на сектора, по-специално: а) цифровизация на спортната федерация (включително управление на бюджета и лицензите) с нова ИТ система; б) информационна система за данни за анализ на данни; в) „интернет на нещата“ (ИН) във високопроизводителните центрове; г) системи за определяне на моделите на конкурентите или за оптимизиране на обучението на всеки спортист; д) публикуване на 10 изследователски проекта в областта на укрепващата здравето физическа активност (УЗФА); е) тест на ИТ системата в Националния център по спортна медицина; ж) създаване на електронна служба в администрацията за борба с допинга, включително въвеждане на система без документи на хартиен носител за AD контрол; и з) проучване на нуждите от цифровизация (като приложения, спортни федерации, спортна медицина, УЗФА и борба с допинга) за цифровизацията на спортния сектор.</w:t>
            </w:r>
          </w:p>
        </w:tc>
      </w:tr>
      <w:tr>
        <w:trPr>
          <w:trHeight w:val="309"/>
        </w:trPr>
        <w:tc>
          <w:tcPr>
            <w:tcW w:w="703"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371</w:t>
            </w:r>
          </w:p>
        </w:tc>
        <w:tc>
          <w:tcPr>
            <w:tcW w:w="845"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C26.I1</w:t>
            </w:r>
          </w:p>
        </w:tc>
        <w:tc>
          <w:tcPr>
            <w:tcW w:w="844"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T</w:t>
            </w:r>
          </w:p>
        </w:tc>
        <w:tc>
          <w:tcPr>
            <w:tcW w:w="2533" w:type="dxa"/>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Спортни центрове по медицина </w:t>
            </w:r>
          </w:p>
        </w:tc>
        <w:tc>
          <w:tcPr>
            <w:tcW w:w="1407"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w:t>
            </w:r>
          </w:p>
        </w:tc>
        <w:tc>
          <w:tcPr>
            <w:tcW w:w="986"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Номер</w:t>
            </w:r>
          </w:p>
        </w:tc>
        <w:tc>
          <w:tcPr>
            <w:tcW w:w="1266" w:type="dxa"/>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845" w:type="dxa"/>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szCs w:val="18"/>
              </w:rPr>
              <w:t>20</w:t>
            </w:r>
          </w:p>
        </w:tc>
        <w:tc>
          <w:tcPr>
            <w:tcW w:w="319"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666"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2023</w:t>
            </w:r>
          </w:p>
        </w:tc>
        <w:tc>
          <w:tcPr>
            <w:tcW w:w="4783" w:type="dxa"/>
            <w:gridSpan w:val="2"/>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Най-малко 20 от 23-те спортни медицински центъра използват новата ИТ технология. </w:t>
            </w:r>
          </w:p>
        </w:tc>
      </w:tr>
      <w:tr>
        <w:trPr>
          <w:trHeight w:val="309"/>
        </w:trPr>
        <w:tc>
          <w:tcPr>
            <w:tcW w:w="703"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372</w:t>
            </w:r>
          </w:p>
        </w:tc>
        <w:tc>
          <w:tcPr>
            <w:tcW w:w="845"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C26.I1</w:t>
            </w:r>
          </w:p>
        </w:tc>
        <w:tc>
          <w:tcPr>
            <w:tcW w:w="844"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2533" w:type="dxa"/>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szCs w:val="18"/>
              </w:rPr>
              <w:t>Приключване на проекти в областта на информационните технологии във високопроизводителните центрове и в антидопинговата администрация</w:t>
            </w:r>
          </w:p>
        </w:tc>
        <w:tc>
          <w:tcPr>
            <w:tcW w:w="1407"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Събиране на данни от центровете за високи постижения; Начало на изпитванията на приложението за контрол на AD </w:t>
            </w:r>
          </w:p>
        </w:tc>
        <w:tc>
          <w:tcPr>
            <w:tcW w:w="986"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1266" w:type="dxa"/>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845" w:type="dxa"/>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319"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666"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2023</w:t>
            </w:r>
          </w:p>
        </w:tc>
        <w:tc>
          <w:tcPr>
            <w:tcW w:w="4783" w:type="dxa"/>
            <w:gridSpan w:val="2"/>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Завършване на разработването на ИТ системи (включително интернет на нещата) във високопроизводителните центрове. Създаване на електронна служба в администрацията за борба с допинга, включително въвеждане на система без документи на хартиен носител за AD контроли </w:t>
            </w:r>
          </w:p>
        </w:tc>
      </w:tr>
      <w:tr>
        <w:trPr>
          <w:trHeight w:val="309"/>
        </w:trPr>
        <w:tc>
          <w:tcPr>
            <w:tcW w:w="703"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373</w:t>
            </w:r>
          </w:p>
        </w:tc>
        <w:tc>
          <w:tcPr>
            <w:tcW w:w="845"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C26.I2</w:t>
            </w:r>
          </w:p>
        </w:tc>
        <w:tc>
          <w:tcPr>
            <w:tcW w:w="844"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T</w:t>
            </w:r>
          </w:p>
        </w:tc>
        <w:tc>
          <w:tcPr>
            <w:tcW w:w="2533" w:type="dxa"/>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Обновяване и подобряване на техническите центрове за спорт и спортни съоръжения </w:t>
            </w:r>
          </w:p>
        </w:tc>
        <w:tc>
          <w:tcPr>
            <w:tcW w:w="1407"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 </w:t>
            </w:r>
          </w:p>
        </w:tc>
        <w:tc>
          <w:tcPr>
            <w:tcW w:w="986"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Номер</w:t>
            </w:r>
          </w:p>
        </w:tc>
        <w:tc>
          <w:tcPr>
            <w:tcW w:w="1266" w:type="dxa"/>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szCs w:val="18"/>
              </w:rPr>
              <w:t>0</w:t>
            </w:r>
          </w:p>
        </w:tc>
        <w:tc>
          <w:tcPr>
            <w:tcW w:w="845" w:type="dxa"/>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szCs w:val="18"/>
              </w:rPr>
              <w:t>95</w:t>
            </w:r>
          </w:p>
        </w:tc>
        <w:tc>
          <w:tcPr>
            <w:tcW w:w="319"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666"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2025</w:t>
            </w:r>
          </w:p>
        </w:tc>
        <w:tc>
          <w:tcPr>
            <w:tcW w:w="4783" w:type="dxa"/>
            <w:gridSpan w:val="2"/>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szCs w:val="18"/>
              </w:rPr>
              <w:t>Най-малко 40 технически центъра и 45 спортни съоръжения трябва да са били обновени и да са постигнали подобрена енергийна ефективност и/или оптимизиране на използването чрез цифровизация и/или подобрена достъпност. Средната стойност на проверката на завършването на работите е сертификатът за завършване на строителните работи. Интервенциите в областта на енергийната ефективност постигат средно най-малко 30 % намаление на потреблението на първична енергия.  Списъкът на съоръженията се оповестява публично.</w:t>
            </w:r>
          </w:p>
        </w:tc>
      </w:tr>
      <w:tr>
        <w:trPr>
          <w:trHeight w:val="309"/>
        </w:trPr>
        <w:tc>
          <w:tcPr>
            <w:tcW w:w="703"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374</w:t>
            </w:r>
          </w:p>
        </w:tc>
        <w:tc>
          <w:tcPr>
            <w:tcW w:w="845"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C26.I3</w:t>
            </w:r>
          </w:p>
        </w:tc>
        <w:tc>
          <w:tcPr>
            <w:tcW w:w="844"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2533" w:type="dxa"/>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Проекти за насърчаване на равенството в спорта </w:t>
            </w:r>
          </w:p>
        </w:tc>
        <w:tc>
          <w:tcPr>
            <w:tcW w:w="1407"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Публикувано в ОВ</w:t>
            </w:r>
          </w:p>
        </w:tc>
        <w:tc>
          <w:tcPr>
            <w:tcW w:w="986"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1266" w:type="dxa"/>
            <w:shd w:val="clear" w:color="auto" w:fill="C6EFCE"/>
            <w:noWrap/>
          </w:tcPr>
          <w:p>
            <w:pPr>
              <w:tabs>
                <w:tab w:val="center" w:pos="605"/>
                <w:tab w:val="right" w:pos="1210"/>
              </w:tabs>
              <w:spacing w:after="0"/>
              <w:rPr>
                <w:rFonts w:ascii="Times New Roman" w:eastAsia="Times New Roman" w:hAnsi="Times New Roman" w:cs="Times New Roman"/>
                <w:noProof/>
                <w:sz w:val="18"/>
                <w:szCs w:val="18"/>
                <w:lang w:val="en-IE" w:eastAsia="en-GB"/>
              </w:rPr>
            </w:pPr>
          </w:p>
        </w:tc>
        <w:tc>
          <w:tcPr>
            <w:tcW w:w="845" w:type="dxa"/>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319"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T2</w:t>
            </w:r>
          </w:p>
        </w:tc>
        <w:tc>
          <w:tcPr>
            <w:tcW w:w="666"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2022 г.</w:t>
            </w:r>
          </w:p>
        </w:tc>
        <w:tc>
          <w:tcPr>
            <w:tcW w:w="4783" w:type="dxa"/>
            <w:gridSpan w:val="2"/>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szCs w:val="18"/>
              </w:rPr>
              <w:t>Възлагане от страна на ЦДЦК (Национален съвет за спорта) на покана за представяне на предложения в Официален вестник, която се очаква да избере най-малко 15 проекта бенефициери за насърчаване на равенството в спорта, по-специално чрез обучение, професионализиране на женските спортове и популяризиране на женските спортове. Кумулативният бюджет на поканата за представяне на предложения е 11 700 000 EUR.</w:t>
            </w:r>
          </w:p>
        </w:tc>
      </w:tr>
      <w:tr>
        <w:trPr>
          <w:trHeight w:val="309"/>
        </w:trPr>
        <w:tc>
          <w:tcPr>
            <w:tcW w:w="703"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375</w:t>
            </w:r>
          </w:p>
        </w:tc>
        <w:tc>
          <w:tcPr>
            <w:tcW w:w="845"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C26.I3</w:t>
            </w:r>
          </w:p>
        </w:tc>
        <w:tc>
          <w:tcPr>
            <w:tcW w:w="844"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T</w:t>
            </w:r>
          </w:p>
        </w:tc>
        <w:tc>
          <w:tcPr>
            <w:tcW w:w="2533" w:type="dxa"/>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szCs w:val="18"/>
              </w:rPr>
              <w:t>Приключване на действията по социалния план за спорта</w:t>
            </w:r>
          </w:p>
        </w:tc>
        <w:tc>
          <w:tcPr>
            <w:tcW w:w="1407"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 </w:t>
            </w:r>
          </w:p>
        </w:tc>
        <w:tc>
          <w:tcPr>
            <w:tcW w:w="986"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Номер</w:t>
            </w:r>
          </w:p>
        </w:tc>
        <w:tc>
          <w:tcPr>
            <w:tcW w:w="1266"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0</w:t>
            </w:r>
          </w:p>
        </w:tc>
        <w:tc>
          <w:tcPr>
            <w:tcW w:w="845"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40</w:t>
            </w:r>
          </w:p>
        </w:tc>
        <w:tc>
          <w:tcPr>
            <w:tcW w:w="319"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666"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2023</w:t>
            </w:r>
          </w:p>
        </w:tc>
        <w:tc>
          <w:tcPr>
            <w:tcW w:w="4783" w:type="dxa"/>
            <w:gridSpan w:val="2"/>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szCs w:val="18"/>
              </w:rPr>
              <w:t>Приключване на дейности по социалния план за спорта, включително обновяване на най-малко 40 спортни съоръжения и действия за насърчаване на присъствието на жени в професионалния спорт (програми за обучение, маркетингови кампании и проучвания). Интервенциите в областта на енергийната ефективност постигат средно най-малко 30 % намаление на потреблението на първична енергия. Списъкът на съоръженията се оповестява публично.</w:t>
            </w:r>
          </w:p>
        </w:tc>
      </w:tr>
    </w:tbl>
    <w:p>
      <w:pPr>
        <w:pStyle w:val="SectionTitle"/>
        <w:rPr>
          <w:noProof/>
          <w:lang w:val="en-IE"/>
        </w:rPr>
        <w:sectPr>
          <w:headerReference w:type="even" r:id="rId325"/>
          <w:headerReference w:type="default" r:id="rId326"/>
          <w:footerReference w:type="even" r:id="rId327"/>
          <w:footerReference w:type="default" r:id="rId328"/>
          <w:headerReference w:type="first" r:id="rId329"/>
          <w:footerReference w:type="first" r:id="rId330"/>
          <w:pgSz w:w="16839" w:h="11907" w:orient="landscape"/>
          <w:pgMar w:top="1417" w:right="1134" w:bottom="1417" w:left="1134" w:header="709" w:footer="709" w:gutter="0"/>
          <w:cols w:space="720"/>
          <w:docGrid w:linePitch="360"/>
        </w:sectPr>
      </w:pPr>
    </w:p>
    <w:p>
      <w:pPr>
        <w:pStyle w:val="Heading1"/>
        <w:rPr>
          <w:noProof/>
        </w:rPr>
      </w:pPr>
      <w:r>
        <w:rPr>
          <w:noProof/>
        </w:rPr>
        <w:t>АА. КОМПОНЕНТ 27: Мерки и действия за предотвратяване и борба с данъчните измами</w:t>
      </w:r>
    </w:p>
    <w:p>
      <w:pPr>
        <w:pStyle w:val="Text1"/>
        <w:ind w:left="0"/>
        <w:rPr>
          <w:noProof/>
          <w:szCs w:val="24"/>
        </w:rPr>
      </w:pPr>
      <w:r>
        <w:rPr>
          <w:noProof/>
        </w:rPr>
        <w:t xml:space="preserve">Този компонент на испанския план за възстановяване и устойчивост е насочен към предизвикателствата, свързани с предотвратяването и борбата с данъчните измами и укриването на данъци. Целта на компонента е да се повиши спазването на данъчното законодателство и да се съберат повече данъчни приходи. Компонентът е насочен, наред с другото, към специфичната за държавата препоръки относно укрепването на фискалните рамки и рамките за обществените поръчки на всички равнища на управление (специфична за държавата препоръка № 1 от 2019 г.) и относно – когато икономическите условия позволяват това – провеждането на фискални политики, насочени към постигане на благоразумна средносрочна бюджетна позиция и гарантиране на устойчивостта на дълга, като същевременно се насърчават инвестициите (специфичната за държавата препоръка № 1 от 2020 г.). </w:t>
      </w:r>
    </w:p>
    <w:p>
      <w:pPr>
        <w:pStyle w:val="Text1"/>
        <w:ind w:left="0"/>
        <w:rPr>
          <w:noProof/>
        </w:rPr>
      </w:pPr>
      <w:r>
        <w:rPr>
          <w:noProof/>
          <w:color w:val="000000" w:themeColor="text1"/>
        </w:rPr>
        <w:t>Очаква се, че нито една мярка в този компонент не вреди в значителна степен на екологичните цели по смисъла на член 17 от Регламент (ЕС) 2020/852, като се вземат предвид описанието на мерките и стъпките за смекчаване на последиците, определени в плана за възстановяване и устойчивост в съответствие с Техническите насоки за спазването на „принципа за ненанасяне на съществена вреда“ (2021/C58/01).</w:t>
      </w:r>
    </w:p>
    <w:p>
      <w:pPr>
        <w:pStyle w:val="Text1"/>
        <w:ind w:left="709"/>
        <w:rPr>
          <w:b/>
          <w:i/>
          <w:noProof/>
          <w:color w:val="4F81BD" w:themeColor="accent1"/>
          <w:szCs w:val="24"/>
        </w:rPr>
      </w:pPr>
      <w:r>
        <w:rPr>
          <w:b/>
          <w:noProof/>
          <w:szCs w:val="24"/>
          <w:u w:val="single"/>
        </w:rPr>
        <w:t xml:space="preserve">AA.1. </w:t>
      </w:r>
      <w:r>
        <w:rPr>
          <w:b/>
          <w:noProof/>
          <w:szCs w:val="24"/>
          <w:u w:val="single"/>
        </w:rPr>
        <w:tab/>
      </w:r>
      <w:r>
        <w:rPr>
          <w:b/>
          <w:bCs/>
          <w:noProof/>
          <w:szCs w:val="24"/>
          <w:u w:val="single"/>
        </w:rPr>
        <w:t>Описание на реформите и инвестициите за безвъзмездна финансова подкрепа</w:t>
      </w:r>
    </w:p>
    <w:p>
      <w:pPr>
        <w:spacing w:before="120" w:after="120" w:line="240" w:lineRule="auto"/>
        <w:jc w:val="both"/>
        <w:rPr>
          <w:rFonts w:ascii="Times New Roman" w:hAnsi="Times New Roman" w:cs="Times New Roman"/>
          <w:noProof/>
          <w:sz w:val="24"/>
          <w:szCs w:val="24"/>
          <w:u w:val="single"/>
        </w:rPr>
      </w:pPr>
      <w:r>
        <w:rPr>
          <w:rFonts w:ascii="Times New Roman" w:hAnsi="Times New Roman"/>
          <w:noProof/>
          <w:sz w:val="24"/>
          <w:szCs w:val="24"/>
          <w:u w:val="single"/>
        </w:rPr>
        <w:t>Реформа 1 (C27.R1) – Приемане на Закона за борба с измамите</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Целта на тази реформа е да се укрепят правилата срещу практиките за избягване на данъци, които пряко засягат функционирането на вътрешния пазар, както и да се изменят косвеното и прякото данъчно облагане, някои данъци на местно равнище и регулирането на хазартните игри. Реформата въвежда промени в регламента, насочени към установяване на параметри за данъчна справедливост и улесняване на действията, насочени към предотвратяване и борба с измамите чрез засилване на данъчния контрол.</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Реформата се състои в приемането и влизането в сила на Закон срещу укриването на данъци и данъчните измами, който:</w:t>
      </w:r>
    </w:p>
    <w:p>
      <w:pPr>
        <w:pStyle w:val="ListParagraph"/>
        <w:numPr>
          <w:ilvl w:val="0"/>
          <w:numId w:val="118"/>
        </w:num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Разширява периметъра на операциите, при които електронните плащания са разрешени (подписи и печат; специалисти) и определя законоустановен праг за плащанията в брой;</w:t>
      </w:r>
    </w:p>
    <w:p>
      <w:pPr>
        <w:pStyle w:val="ListParagraph"/>
        <w:numPr>
          <w:ilvl w:val="0"/>
          <w:numId w:val="118"/>
        </w:num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Актуализира списъка на данъчните убежища в съответствие с критериите за прозрачност, липса на данъчно облагане и вредни данъчни режими;</w:t>
      </w:r>
    </w:p>
    <w:p>
      <w:pPr>
        <w:pStyle w:val="ListParagraph"/>
        <w:numPr>
          <w:ilvl w:val="0"/>
          <w:numId w:val="118"/>
        </w:num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Да въведе промени в правилата за намаляване на просрочените данъчни задължения;</w:t>
      </w:r>
    </w:p>
    <w:p>
      <w:pPr>
        <w:pStyle w:val="ListParagraph"/>
        <w:numPr>
          <w:ilvl w:val="0"/>
          <w:numId w:val="118"/>
        </w:num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Прилага забрана за „двойна употреба на софтуер“;</w:t>
      </w:r>
    </w:p>
    <w:p>
      <w:pPr>
        <w:pStyle w:val="ListParagraph"/>
        <w:numPr>
          <w:ilvl w:val="0"/>
          <w:numId w:val="118"/>
        </w:num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Въвежда референтна стойност за данъчната основа при данъчното облагане на недвижими имоти.</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Законът се приема до 30 юни 2021 г. Законът влиза в сила до 30 юни 2022 г. Реформата предвижда предварителна оценка на закона до 31 декември 2022 г. и въз основа на тази оценка може да има изменения през 2023 г.</w:t>
      </w:r>
    </w:p>
    <w:p>
      <w:pPr>
        <w:rPr>
          <w:rFonts w:ascii="Times New Roman" w:hAnsi="Times New Roman"/>
          <w:noProof/>
          <w:sz w:val="24"/>
          <w:szCs w:val="24"/>
        </w:rPr>
      </w:pPr>
      <w:r>
        <w:rPr>
          <w:rFonts w:ascii="Times New Roman" w:hAnsi="Times New Roman"/>
          <w:noProof/>
          <w:sz w:val="24"/>
          <w:szCs w:val="24"/>
        </w:rPr>
        <w:br w:type="page"/>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u w:val="single"/>
        </w:rPr>
        <w:t>Реформа 2 (C27.R2) – Модернизиране на данъчната агенция</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Агенция „Данъчна администрация“ е натоварена с прилагането на държавната данъчна система и митническата система и осъществява дейността си в рамките на Стратегическия план за периода 2020—2023 г. Този стратегически план, който разчита в голяма степен на използването на ИТ решения, се преразглежда всяка година, за да се гарантира, че е адаптиран към новите развития в данъчната политика, източниците на информация, поведението на данъкоплатците и технологичното развитие. Целта на тази реформа е да подкрепи изпълнението и годишния преглед на стратегическия план за периода 2020—2023 г., който има за цел модернизиране на предоставянето на услуги от страна на агенциите с цел намаляване на данъчните измами и укриването на данъци. Реформа 2 си взаимодейства тясно с други реформи в този компонент. Реформата включва: </w:t>
      </w:r>
    </w:p>
    <w:p>
      <w:pPr>
        <w:pStyle w:val="ListParagraph"/>
        <w:numPr>
          <w:ilvl w:val="0"/>
          <w:numId w:val="119"/>
        </w:num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Увеличаване на човешките ресурси в данъчната агенция в съответствие с нейните средносрочни нужди и </w:t>
      </w:r>
    </w:p>
    <w:p>
      <w:pPr>
        <w:pStyle w:val="ListParagraph"/>
        <w:numPr>
          <w:ilvl w:val="0"/>
          <w:numId w:val="119"/>
        </w:num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Извършване на преглед на сградите на Агенцията с цел модернизиране на технологиите и повишаване на енергийната ефективност.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Реформата се прилага до 31 декември 2023 г.</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u w:val="single"/>
        </w:rPr>
        <w:t>Реформа 3 (C27.R3) – Укрепване на помощта за данъкоплатците</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Целите на тази реформа са подобряване на помощта за данъкоплатците. Ключов елемент от стратегията на данъчната агенция за периода 2020—2023 г. е подобряването на услугите за данъкоплатците чрез засилено използване на електронни платформи (т.нар. „ADIs“, Интегрална цифрова администрация). Реформата се състои в предоставяне на нови услуги за улесняване на корпоративното подоходно облагане и данъчното облагане на физическите лица, както и на облагането с ДДС. Новите услуги трябва да включват подобрени методи за комуникация, информационни бюра и справки с данните на потребителите, както и данъчни декларации и обработка на справки-декларации. Предвижда се предоставянето на такива услуги да се увеличи на три вълни през периода 2021—2023 г., като целта е постепенно все повече потребители да избират да използват електронните услуги, вместо да посещават своите местни данъчни бюра. С тези мерки Агенцията има за цел да улесни спазването на данъчния кодекс от техните клиенти и по този начин да увеличи данъчните приходи.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Изпълнението на реформата приключва до 31 декември 2023 г.</w:t>
      </w:r>
    </w:p>
    <w:p>
      <w:pPr>
        <w:spacing w:before="120" w:after="120" w:line="240" w:lineRule="auto"/>
        <w:jc w:val="both"/>
        <w:rPr>
          <w:rFonts w:ascii="Times New Roman" w:hAnsi="Times New Roman" w:cs="Times New Roman"/>
          <w:noProof/>
          <w:sz w:val="24"/>
          <w:szCs w:val="24"/>
          <w:u w:val="single"/>
        </w:rPr>
      </w:pPr>
      <w:r>
        <w:rPr>
          <w:rFonts w:ascii="Times New Roman" w:hAnsi="Times New Roman"/>
          <w:noProof/>
          <w:sz w:val="24"/>
          <w:szCs w:val="24"/>
          <w:u w:val="single"/>
        </w:rPr>
        <w:t>Реформа 4 (C27.R4) – международно измерение</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Целта на тази реформа е да се увеличи и оптимизира използването на информационните системи в международното сътрудничество за борба с данъчните измами и укриването на данъци. Тази реформа, следвайки международните споразумения в тази област на политиката, се състои в предприемане на мерки за улесняване на спазването от страна на данъкоплатците на техните данъчни задължения (включително данни за данъка върху доходите на физическите лица), за засилване на борбата срещу недекларираните дейности и сивата икономика, както и за преглед на качеството и полезността на информацията, получена от различните държави. Очаква се тези цели да бъдат постигнати чрез по-широко използване на по-усъвършенствани информационни системи и въвеждане на онлайн услуги за данъкоплатците. </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Реформата се прилага до 31 декември 2021 г.</w:t>
      </w:r>
    </w:p>
    <w:p>
      <w:pPr>
        <w:rPr>
          <w:rFonts w:ascii="Times New Roman" w:hAnsi="Times New Roman"/>
          <w:noProof/>
          <w:sz w:val="24"/>
          <w:szCs w:val="24"/>
        </w:rPr>
      </w:pPr>
      <w:r>
        <w:rPr>
          <w:rFonts w:ascii="Times New Roman" w:hAnsi="Times New Roman"/>
          <w:noProof/>
          <w:sz w:val="24"/>
          <w:szCs w:val="24"/>
        </w:rPr>
        <w:br w:type="page"/>
      </w:r>
    </w:p>
    <w:p>
      <w:pPr>
        <w:spacing w:before="120" w:after="120" w:line="240" w:lineRule="auto"/>
        <w:jc w:val="both"/>
        <w:rPr>
          <w:rFonts w:ascii="Times New Roman" w:hAnsi="Times New Roman" w:cs="Times New Roman"/>
          <w:noProof/>
          <w:sz w:val="24"/>
          <w:szCs w:val="24"/>
          <w:u w:val="single"/>
        </w:rPr>
      </w:pPr>
      <w:r>
        <w:rPr>
          <w:rFonts w:ascii="Times New Roman" w:hAnsi="Times New Roman"/>
          <w:noProof/>
          <w:sz w:val="24"/>
          <w:szCs w:val="24"/>
          <w:u w:val="single"/>
        </w:rPr>
        <w:t>Реформа 5 (C27.R5) – Съвместен модел</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Целта на тази реформа е да се подобрят отношенията на данъчната агенция със заинтересованите страни като големите корпорации, МСП, самостоятелно заетите лица и съответните сдружения, както и съдебната система, като начин за постигане на по-голямо спазване на данъчните задължения. По отношение на данъкоплатците Агенцията се стреми към по-добро сътрудничество и по-добро спазване чрез доброволни доклади за данъчна прозрачност. Очаква се сътрудничеството със съдии, прокурори и съдилища да бъде засилено чрез увеличаване на данъчните разследвания.</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Реформата се прилага до 31 декември 2021 г.</w:t>
      </w:r>
    </w:p>
    <w:p>
      <w:pPr>
        <w:pStyle w:val="Text1"/>
        <w:ind w:left="709"/>
        <w:rPr>
          <w:b/>
          <w:noProof/>
          <w:szCs w:val="24"/>
          <w:u w:val="single"/>
        </w:rPr>
      </w:pPr>
      <w:r>
        <w:rPr>
          <w:b/>
          <w:bCs/>
          <w:noProof/>
          <w:szCs w:val="24"/>
          <w:u w:val="single"/>
        </w:rPr>
        <w:t xml:space="preserve">AA.2. </w:t>
      </w:r>
      <w:r>
        <w:rPr>
          <w:b/>
          <w:noProof/>
          <w:szCs w:val="24"/>
          <w:u w:val="single"/>
        </w:rPr>
        <w:tab/>
      </w:r>
      <w:r>
        <w:rPr>
          <w:b/>
          <w:bCs/>
          <w:noProof/>
          <w:szCs w:val="24"/>
          <w:u w:val="single"/>
        </w:rPr>
        <w:t>Ключови етапи, цели, показатели и график за мониторинг и изпълнение на безвъзмездната финансова подкрепа</w:t>
      </w:r>
    </w:p>
    <w:p>
      <w:pPr>
        <w:spacing w:before="120" w:after="120" w:line="240" w:lineRule="auto"/>
        <w:rPr>
          <w:rFonts w:ascii="Times New Roman" w:hAnsi="Times New Roman" w:cs="Times New Roman"/>
          <w:i/>
          <w:iCs/>
          <w:noProof/>
          <w:color w:val="000000"/>
        </w:rPr>
        <w:sectPr>
          <w:headerReference w:type="even" r:id="rId331"/>
          <w:headerReference w:type="default" r:id="rId332"/>
          <w:footerReference w:type="even" r:id="rId333"/>
          <w:footerReference w:type="default" r:id="rId334"/>
          <w:headerReference w:type="first" r:id="rId335"/>
          <w:footerReference w:type="first" r:id="rId336"/>
          <w:pgSz w:w="11907" w:h="16839"/>
          <w:pgMar w:top="1134" w:right="1417" w:bottom="1134" w:left="1417" w:header="709" w:footer="709" w:gutter="0"/>
          <w:cols w:space="720"/>
          <w:docGrid w:linePitch="360"/>
        </w:sectPr>
      </w:pPr>
      <w:r>
        <w:rPr>
          <w:rFonts w:ascii="Times New Roman" w:hAnsi="Times New Roman"/>
          <w:i/>
          <w:iCs/>
          <w:noProof/>
          <w:color w:val="000000"/>
          <w:sz w:val="24"/>
          <w:szCs w:val="24"/>
        </w:rPr>
        <w:t>Вж. таблицата по-долу.</w:t>
      </w:r>
      <w:r>
        <w:rPr>
          <w:rFonts w:ascii="Times New Roman" w:hAnsi="Times New Roman"/>
          <w:noProof/>
          <w:color w:val="1F497D"/>
          <w:sz w:val="24"/>
          <w:szCs w:val="24"/>
        </w:rPr>
        <w:t xml:space="preserve"> </w:t>
      </w:r>
      <w:r>
        <w:rPr>
          <w:rFonts w:ascii="Times New Roman" w:hAnsi="Times New Roman"/>
          <w:i/>
          <w:iCs/>
          <w:noProof/>
          <w:sz w:val="24"/>
          <w:szCs w:val="24"/>
        </w:rPr>
        <w:t>Датата на базовата линия за всички показатели е 1 февруари 2020 г., освен ако не е посочено друго в описанието на действието.</w:t>
      </w:r>
      <w:r>
        <w:rPr>
          <w:rFonts w:ascii="Times New Roman" w:hAnsi="Times New Roman"/>
          <w:i/>
          <w:iCs/>
          <w:noProof/>
          <w:color w:val="000000"/>
          <w:sz w:val="24"/>
          <w:szCs w:val="24"/>
        </w:rPr>
        <w:t xml:space="preserve"> Сумите в таблицата не включват ДДС.</w:t>
      </w:r>
    </w:p>
    <w:tbl>
      <w:tblPr>
        <w:tblpPr w:leftFromText="180" w:rightFromText="180" w:vertAnchor="text" w:tblpXSpec="right" w:tblpY="1"/>
        <w:tblOverlap w:val="never"/>
        <w:tblW w:w="15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09"/>
        <w:gridCol w:w="851"/>
        <w:gridCol w:w="850"/>
        <w:gridCol w:w="2748"/>
        <w:gridCol w:w="1363"/>
        <w:gridCol w:w="851"/>
        <w:gridCol w:w="846"/>
        <w:gridCol w:w="571"/>
        <w:gridCol w:w="425"/>
        <w:gridCol w:w="709"/>
        <w:gridCol w:w="5131"/>
      </w:tblGrid>
      <w:tr>
        <w:trPr>
          <w:trHeight w:val="309"/>
          <w:tblHeader/>
        </w:trPr>
        <w:tc>
          <w:tcPr>
            <w:tcW w:w="709" w:type="dxa"/>
            <w:tcBorders>
              <w:bottom w:val="nil"/>
            </w:tcBorders>
            <w:shd w:val="clear" w:color="auto" w:fill="C6D9F1" w:themeFill="text2" w:themeFillTint="33"/>
            <w:noWrap/>
          </w:tcPr>
          <w:p>
            <w:pPr>
              <w:spacing w:after="0"/>
              <w:jc w:val="center"/>
              <w:rPr>
                <w:rFonts w:ascii="Times New Roman" w:hAnsi="Times New Roman" w:cs="Times New Roman"/>
                <w:b/>
                <w:noProof/>
                <w:color w:val="000000"/>
                <w:sz w:val="18"/>
                <w:szCs w:val="18"/>
              </w:rPr>
            </w:pPr>
            <w:r>
              <w:rPr>
                <w:rFonts w:ascii="Times New Roman" w:hAnsi="Times New Roman"/>
                <w:b/>
                <w:noProof/>
                <w:color w:val="000000"/>
                <w:sz w:val="18"/>
                <w:szCs w:val="18"/>
              </w:rPr>
              <w:t>Номер</w:t>
            </w:r>
          </w:p>
        </w:tc>
        <w:tc>
          <w:tcPr>
            <w:tcW w:w="851" w:type="dxa"/>
            <w:tcBorders>
              <w:bottom w:val="nil"/>
            </w:tcBorders>
            <w:shd w:val="clear" w:color="auto" w:fill="C6D9F1" w:themeFill="text2" w:themeFillTint="33"/>
            <w:noWrap/>
          </w:tcPr>
          <w:p>
            <w:pPr>
              <w:spacing w:after="0"/>
              <w:jc w:val="center"/>
              <w:rPr>
                <w:rFonts w:ascii="Times New Roman" w:hAnsi="Times New Roman" w:cs="Times New Roman"/>
                <w:b/>
                <w:noProof/>
                <w:color w:val="000000"/>
                <w:sz w:val="18"/>
                <w:szCs w:val="18"/>
              </w:rPr>
            </w:pPr>
            <w:r>
              <w:rPr>
                <w:rFonts w:ascii="Times New Roman" w:hAnsi="Times New Roman"/>
                <w:b/>
                <w:noProof/>
                <w:color w:val="000000"/>
                <w:sz w:val="18"/>
                <w:szCs w:val="18"/>
              </w:rPr>
              <w:t>Мярка</w:t>
            </w:r>
          </w:p>
        </w:tc>
        <w:tc>
          <w:tcPr>
            <w:tcW w:w="850" w:type="dxa"/>
            <w:tcBorders>
              <w:bottom w:val="nil"/>
            </w:tcBorders>
            <w:shd w:val="clear" w:color="auto" w:fill="C6D9F1" w:themeFill="text2" w:themeFillTint="33"/>
            <w:noWrap/>
          </w:tcPr>
          <w:p>
            <w:pPr>
              <w:spacing w:after="0"/>
              <w:jc w:val="center"/>
              <w:rPr>
                <w:rFonts w:ascii="Times New Roman" w:hAnsi="Times New Roman" w:cs="Times New Roman"/>
                <w:b/>
                <w:noProof/>
                <w:color w:val="000000"/>
                <w:sz w:val="18"/>
                <w:szCs w:val="18"/>
              </w:rPr>
            </w:pPr>
            <w:r>
              <w:rPr>
                <w:rFonts w:ascii="Times New Roman" w:hAnsi="Times New Roman"/>
                <w:b/>
                <w:noProof/>
                <w:color w:val="000000"/>
                <w:sz w:val="18"/>
                <w:szCs w:val="18"/>
              </w:rPr>
              <w:t>Ключов етап / Цел</w:t>
            </w:r>
          </w:p>
        </w:tc>
        <w:tc>
          <w:tcPr>
            <w:tcW w:w="2748" w:type="dxa"/>
            <w:tcBorders>
              <w:bottom w:val="nil"/>
            </w:tcBorders>
            <w:shd w:val="clear" w:color="auto" w:fill="C6D9F1" w:themeFill="text2" w:themeFillTint="33"/>
            <w:noWrap/>
          </w:tcPr>
          <w:p>
            <w:pPr>
              <w:spacing w:after="0"/>
              <w:jc w:val="center"/>
              <w:rPr>
                <w:rFonts w:ascii="Times New Roman" w:hAnsi="Times New Roman" w:cs="Times New Roman"/>
                <w:b/>
                <w:noProof/>
                <w:color w:val="000000"/>
                <w:sz w:val="18"/>
                <w:szCs w:val="18"/>
              </w:rPr>
            </w:pPr>
            <w:r>
              <w:rPr>
                <w:rFonts w:ascii="Times New Roman" w:hAnsi="Times New Roman"/>
                <w:b/>
                <w:noProof/>
                <w:color w:val="000000"/>
                <w:sz w:val="18"/>
                <w:szCs w:val="18"/>
              </w:rPr>
              <w:t>Наименование</w:t>
            </w:r>
          </w:p>
        </w:tc>
        <w:tc>
          <w:tcPr>
            <w:tcW w:w="1363" w:type="dxa"/>
            <w:tcBorders>
              <w:bottom w:val="nil"/>
            </w:tcBorders>
            <w:shd w:val="clear" w:color="auto" w:fill="C6D9F1" w:themeFill="text2" w:themeFillTint="33"/>
            <w:noWrap/>
          </w:tcPr>
          <w:p>
            <w:pPr>
              <w:spacing w:after="0"/>
              <w:jc w:val="center"/>
              <w:rPr>
                <w:rFonts w:ascii="Times New Roman" w:hAnsi="Times New Roman" w:cs="Times New Roman"/>
                <w:b/>
                <w:noProof/>
                <w:color w:val="000000"/>
                <w:sz w:val="18"/>
                <w:szCs w:val="18"/>
              </w:rPr>
            </w:pPr>
            <w:r>
              <w:rPr>
                <w:rFonts w:ascii="Times New Roman" w:hAnsi="Times New Roman"/>
                <w:b/>
                <w:noProof/>
                <w:color w:val="000000"/>
                <w:sz w:val="18"/>
                <w:szCs w:val="18"/>
              </w:rPr>
              <w:t>Качествени показатели за ключовите етапи</w:t>
            </w:r>
          </w:p>
        </w:tc>
        <w:tc>
          <w:tcPr>
            <w:tcW w:w="2268" w:type="dxa"/>
            <w:gridSpan w:val="3"/>
            <w:shd w:val="clear" w:color="auto" w:fill="C6D9F1" w:themeFill="text2" w:themeFillTint="33"/>
            <w:noWrap/>
          </w:tcPr>
          <w:p>
            <w:pPr>
              <w:spacing w:after="0"/>
              <w:jc w:val="center"/>
              <w:rPr>
                <w:rFonts w:ascii="Times New Roman" w:hAnsi="Times New Roman" w:cs="Times New Roman"/>
                <w:b/>
                <w:noProof/>
                <w:color w:val="000000"/>
                <w:sz w:val="18"/>
                <w:szCs w:val="18"/>
              </w:rPr>
            </w:pPr>
            <w:r>
              <w:rPr>
                <w:rFonts w:ascii="Times New Roman" w:hAnsi="Times New Roman"/>
                <w:b/>
                <w:noProof/>
                <w:color w:val="000000"/>
                <w:sz w:val="18"/>
                <w:szCs w:val="18"/>
              </w:rPr>
              <w:t>Количествени показатели за целите</w:t>
            </w:r>
          </w:p>
        </w:tc>
        <w:tc>
          <w:tcPr>
            <w:tcW w:w="1134" w:type="dxa"/>
            <w:gridSpan w:val="2"/>
            <w:shd w:val="clear" w:color="auto" w:fill="C6D9F1" w:themeFill="text2" w:themeFillTint="33"/>
            <w:noWrap/>
          </w:tcPr>
          <w:p>
            <w:pPr>
              <w:spacing w:after="0"/>
              <w:jc w:val="center"/>
              <w:rPr>
                <w:rFonts w:ascii="Times New Roman" w:hAnsi="Times New Roman" w:cs="Times New Roman"/>
                <w:b/>
                <w:noProof/>
                <w:color w:val="000000"/>
                <w:sz w:val="18"/>
                <w:szCs w:val="18"/>
              </w:rPr>
            </w:pPr>
            <w:r>
              <w:rPr>
                <w:rFonts w:ascii="Times New Roman" w:hAnsi="Times New Roman"/>
                <w:b/>
                <w:noProof/>
                <w:color w:val="000000"/>
                <w:sz w:val="18"/>
                <w:szCs w:val="18"/>
              </w:rPr>
              <w:t>Време</w:t>
            </w:r>
          </w:p>
        </w:tc>
        <w:tc>
          <w:tcPr>
            <w:tcW w:w="5131" w:type="dxa"/>
            <w:tcBorders>
              <w:bottom w:val="nil"/>
            </w:tcBorders>
            <w:shd w:val="clear" w:color="auto" w:fill="C6D9F1" w:themeFill="text2" w:themeFillTint="33"/>
            <w:noWrap/>
          </w:tcPr>
          <w:p>
            <w:pPr>
              <w:spacing w:after="0"/>
              <w:jc w:val="center"/>
              <w:rPr>
                <w:rFonts w:ascii="Times New Roman" w:hAnsi="Times New Roman" w:cs="Times New Roman"/>
                <w:b/>
                <w:noProof/>
                <w:color w:val="000000"/>
                <w:sz w:val="18"/>
                <w:szCs w:val="18"/>
              </w:rPr>
            </w:pPr>
            <w:r>
              <w:rPr>
                <w:rFonts w:ascii="Times New Roman" w:hAnsi="Times New Roman"/>
                <w:b/>
                <w:noProof/>
                <w:sz w:val="18"/>
                <w:szCs w:val="18"/>
              </w:rPr>
              <w:t>Описание на всеки ключов етап и всяка цел</w:t>
            </w:r>
          </w:p>
        </w:tc>
      </w:tr>
      <w:tr>
        <w:trPr>
          <w:trHeight w:val="309"/>
          <w:tblHeader/>
        </w:trPr>
        <w:tc>
          <w:tcPr>
            <w:tcW w:w="709" w:type="dxa"/>
            <w:tcBorders>
              <w:top w:val="nil"/>
            </w:tcBorders>
            <w:shd w:val="clear" w:color="auto" w:fill="C6D9F1" w:themeFill="text2" w:themeFillTint="33"/>
            <w:noWrap/>
          </w:tcPr>
          <w:p>
            <w:pPr>
              <w:spacing w:after="0"/>
              <w:jc w:val="center"/>
              <w:rPr>
                <w:rFonts w:ascii="Times New Roman" w:hAnsi="Times New Roman" w:cs="Times New Roman"/>
                <w:b/>
                <w:noProof/>
                <w:color w:val="000000"/>
                <w:sz w:val="18"/>
                <w:szCs w:val="18"/>
              </w:rPr>
            </w:pPr>
          </w:p>
        </w:tc>
        <w:tc>
          <w:tcPr>
            <w:tcW w:w="851" w:type="dxa"/>
            <w:tcBorders>
              <w:top w:val="nil"/>
            </w:tcBorders>
            <w:shd w:val="clear" w:color="auto" w:fill="C6D9F1" w:themeFill="text2" w:themeFillTint="33"/>
            <w:noWrap/>
          </w:tcPr>
          <w:p>
            <w:pPr>
              <w:spacing w:after="0"/>
              <w:jc w:val="center"/>
              <w:rPr>
                <w:rFonts w:ascii="Times New Roman" w:hAnsi="Times New Roman" w:cs="Times New Roman"/>
                <w:b/>
                <w:noProof/>
                <w:color w:val="000000"/>
                <w:sz w:val="18"/>
                <w:szCs w:val="18"/>
              </w:rPr>
            </w:pPr>
          </w:p>
        </w:tc>
        <w:tc>
          <w:tcPr>
            <w:tcW w:w="850" w:type="dxa"/>
            <w:tcBorders>
              <w:top w:val="nil"/>
            </w:tcBorders>
            <w:shd w:val="clear" w:color="auto" w:fill="C6D9F1" w:themeFill="text2" w:themeFillTint="33"/>
            <w:noWrap/>
          </w:tcPr>
          <w:p>
            <w:pPr>
              <w:spacing w:after="0"/>
              <w:jc w:val="center"/>
              <w:rPr>
                <w:rFonts w:ascii="Times New Roman" w:hAnsi="Times New Roman" w:cs="Times New Roman"/>
                <w:b/>
                <w:noProof/>
                <w:color w:val="000000"/>
                <w:sz w:val="18"/>
                <w:szCs w:val="18"/>
              </w:rPr>
            </w:pPr>
          </w:p>
        </w:tc>
        <w:tc>
          <w:tcPr>
            <w:tcW w:w="2748" w:type="dxa"/>
            <w:tcBorders>
              <w:top w:val="nil"/>
            </w:tcBorders>
            <w:shd w:val="clear" w:color="auto" w:fill="C6D9F1" w:themeFill="text2" w:themeFillTint="33"/>
            <w:noWrap/>
          </w:tcPr>
          <w:p>
            <w:pPr>
              <w:spacing w:after="0"/>
              <w:rPr>
                <w:rFonts w:ascii="Times New Roman" w:hAnsi="Times New Roman" w:cs="Times New Roman"/>
                <w:b/>
                <w:noProof/>
                <w:color w:val="000000"/>
                <w:sz w:val="18"/>
                <w:szCs w:val="18"/>
              </w:rPr>
            </w:pPr>
          </w:p>
        </w:tc>
        <w:tc>
          <w:tcPr>
            <w:tcW w:w="1363" w:type="dxa"/>
            <w:tcBorders>
              <w:top w:val="nil"/>
            </w:tcBorders>
            <w:shd w:val="clear" w:color="auto" w:fill="C6D9F1" w:themeFill="text2" w:themeFillTint="33"/>
            <w:noWrap/>
          </w:tcPr>
          <w:p>
            <w:pPr>
              <w:spacing w:after="0"/>
              <w:jc w:val="center"/>
              <w:rPr>
                <w:rFonts w:ascii="Times New Roman" w:hAnsi="Times New Roman" w:cs="Times New Roman"/>
                <w:b/>
                <w:noProof/>
                <w:color w:val="000000"/>
                <w:sz w:val="18"/>
                <w:szCs w:val="18"/>
              </w:rPr>
            </w:pPr>
          </w:p>
        </w:tc>
        <w:tc>
          <w:tcPr>
            <w:tcW w:w="851" w:type="dxa"/>
            <w:shd w:val="clear" w:color="auto" w:fill="C6D9F1" w:themeFill="text2" w:themeFillTint="33"/>
            <w:noWrap/>
          </w:tcPr>
          <w:p>
            <w:pPr>
              <w:spacing w:after="0"/>
              <w:jc w:val="center"/>
              <w:rPr>
                <w:rFonts w:ascii="Times New Roman" w:hAnsi="Times New Roman" w:cs="Times New Roman"/>
                <w:b/>
                <w:noProof/>
                <w:color w:val="000000"/>
                <w:sz w:val="18"/>
                <w:szCs w:val="18"/>
              </w:rPr>
            </w:pPr>
            <w:r>
              <w:rPr>
                <w:rFonts w:ascii="Times New Roman" w:hAnsi="Times New Roman"/>
                <w:b/>
                <w:noProof/>
                <w:color w:val="000000"/>
                <w:sz w:val="18"/>
                <w:szCs w:val="18"/>
              </w:rPr>
              <w:t>Мерна единица</w:t>
            </w:r>
          </w:p>
        </w:tc>
        <w:tc>
          <w:tcPr>
            <w:tcW w:w="846" w:type="dxa"/>
            <w:shd w:val="clear" w:color="auto" w:fill="C6D9F1" w:themeFill="text2" w:themeFillTint="33"/>
            <w:noWrap/>
          </w:tcPr>
          <w:p>
            <w:pPr>
              <w:spacing w:after="0"/>
              <w:jc w:val="center"/>
              <w:rPr>
                <w:rFonts w:ascii="Times New Roman" w:hAnsi="Times New Roman" w:cs="Times New Roman"/>
                <w:b/>
                <w:noProof/>
                <w:color w:val="000000"/>
                <w:sz w:val="18"/>
                <w:szCs w:val="18"/>
              </w:rPr>
            </w:pPr>
            <w:r>
              <w:rPr>
                <w:rFonts w:ascii="Times New Roman" w:hAnsi="Times New Roman"/>
                <w:b/>
                <w:noProof/>
                <w:color w:val="000000"/>
                <w:sz w:val="18"/>
                <w:szCs w:val="18"/>
              </w:rPr>
              <w:t>Базова стойност</w:t>
            </w:r>
          </w:p>
        </w:tc>
        <w:tc>
          <w:tcPr>
            <w:tcW w:w="571" w:type="dxa"/>
            <w:shd w:val="clear" w:color="auto" w:fill="C6D9F1" w:themeFill="text2" w:themeFillTint="33"/>
            <w:noWrap/>
          </w:tcPr>
          <w:p>
            <w:pPr>
              <w:spacing w:after="0"/>
              <w:jc w:val="center"/>
              <w:rPr>
                <w:rFonts w:ascii="Times New Roman" w:hAnsi="Times New Roman" w:cs="Times New Roman"/>
                <w:b/>
                <w:noProof/>
                <w:color w:val="000000"/>
                <w:sz w:val="18"/>
                <w:szCs w:val="18"/>
              </w:rPr>
            </w:pPr>
            <w:r>
              <w:rPr>
                <w:rFonts w:ascii="Times New Roman" w:hAnsi="Times New Roman"/>
                <w:b/>
                <w:noProof/>
                <w:color w:val="000000"/>
                <w:sz w:val="18"/>
                <w:szCs w:val="18"/>
              </w:rPr>
              <w:t>Цел</w:t>
            </w:r>
          </w:p>
        </w:tc>
        <w:tc>
          <w:tcPr>
            <w:tcW w:w="425" w:type="dxa"/>
            <w:shd w:val="clear" w:color="auto" w:fill="C6D9F1" w:themeFill="text2" w:themeFillTint="33"/>
            <w:noWrap/>
          </w:tcPr>
          <w:p>
            <w:pPr>
              <w:spacing w:after="0"/>
              <w:jc w:val="center"/>
              <w:rPr>
                <w:rFonts w:ascii="Times New Roman" w:hAnsi="Times New Roman" w:cs="Times New Roman"/>
                <w:b/>
                <w:noProof/>
                <w:color w:val="000000"/>
                <w:sz w:val="18"/>
                <w:szCs w:val="18"/>
              </w:rPr>
            </w:pPr>
            <w:r>
              <w:rPr>
                <w:rFonts w:ascii="Times New Roman" w:hAnsi="Times New Roman"/>
                <w:b/>
                <w:noProof/>
                <w:color w:val="000000"/>
                <w:sz w:val="18"/>
                <w:szCs w:val="18"/>
              </w:rPr>
              <w:t>T</w:t>
            </w:r>
          </w:p>
        </w:tc>
        <w:tc>
          <w:tcPr>
            <w:tcW w:w="709" w:type="dxa"/>
            <w:shd w:val="clear" w:color="auto" w:fill="C6D9F1" w:themeFill="text2" w:themeFillTint="33"/>
            <w:noWrap/>
          </w:tcPr>
          <w:p>
            <w:pPr>
              <w:spacing w:after="0"/>
              <w:jc w:val="center"/>
              <w:rPr>
                <w:rFonts w:ascii="Times New Roman" w:hAnsi="Times New Roman" w:cs="Times New Roman"/>
                <w:b/>
                <w:noProof/>
                <w:color w:val="000000"/>
                <w:sz w:val="18"/>
                <w:szCs w:val="18"/>
              </w:rPr>
            </w:pPr>
            <w:r>
              <w:rPr>
                <w:rFonts w:ascii="Times New Roman" w:hAnsi="Times New Roman"/>
                <w:b/>
                <w:noProof/>
                <w:color w:val="000000"/>
                <w:sz w:val="18"/>
                <w:szCs w:val="18"/>
              </w:rPr>
              <w:t>Година</w:t>
            </w:r>
          </w:p>
        </w:tc>
        <w:tc>
          <w:tcPr>
            <w:tcW w:w="5131" w:type="dxa"/>
            <w:tcBorders>
              <w:top w:val="nil"/>
            </w:tcBorders>
            <w:shd w:val="clear" w:color="auto" w:fill="C6D9F1" w:themeFill="text2" w:themeFillTint="33"/>
            <w:noWrap/>
          </w:tcPr>
          <w:p>
            <w:pPr>
              <w:spacing w:after="0"/>
              <w:rPr>
                <w:rFonts w:ascii="Times New Roman" w:hAnsi="Times New Roman" w:cs="Times New Roman"/>
                <w:b/>
                <w:noProof/>
                <w:color w:val="000000"/>
                <w:sz w:val="18"/>
                <w:szCs w:val="18"/>
                <w:lang w:val="en-IE"/>
              </w:rPr>
            </w:pPr>
          </w:p>
        </w:tc>
      </w:tr>
      <w:tr>
        <w:trPr>
          <w:trHeight w:val="309"/>
        </w:trPr>
        <w:tc>
          <w:tcPr>
            <w:tcW w:w="709" w:type="dxa"/>
            <w:shd w:val="clear" w:color="auto" w:fill="C6EFCE"/>
            <w:noWrap/>
          </w:tcPr>
          <w:p>
            <w:pPr>
              <w:spacing w:after="0"/>
              <w:jc w:val="center"/>
              <w:rPr>
                <w:rFonts w:ascii="Times New Roman" w:hAnsi="Times New Roman" w:cs="Times New Roman"/>
                <w:noProof/>
                <w:color w:val="000000"/>
                <w:sz w:val="18"/>
                <w:szCs w:val="18"/>
              </w:rPr>
            </w:pPr>
            <w:r>
              <w:rPr>
                <w:rFonts w:ascii="Times New Roman" w:hAnsi="Times New Roman"/>
                <w:noProof/>
                <w:color w:val="000000"/>
                <w:sz w:val="18"/>
                <w:szCs w:val="18"/>
              </w:rPr>
              <w:t>376</w:t>
            </w:r>
          </w:p>
        </w:tc>
        <w:tc>
          <w:tcPr>
            <w:tcW w:w="851" w:type="dxa"/>
            <w:shd w:val="clear" w:color="auto" w:fill="C6EFCE"/>
            <w:noWrap/>
          </w:tcPr>
          <w:p>
            <w:pPr>
              <w:spacing w:after="0"/>
              <w:jc w:val="center"/>
              <w:rPr>
                <w:rFonts w:ascii="Times New Roman" w:hAnsi="Times New Roman" w:cs="Times New Roman"/>
                <w:noProof/>
                <w:color w:val="000000"/>
                <w:sz w:val="18"/>
                <w:szCs w:val="18"/>
              </w:rPr>
            </w:pPr>
            <w:r>
              <w:rPr>
                <w:rFonts w:ascii="Times New Roman" w:hAnsi="Times New Roman"/>
                <w:noProof/>
                <w:color w:val="000000"/>
                <w:sz w:val="18"/>
                <w:szCs w:val="18"/>
              </w:rPr>
              <w:t>C27.R1</w:t>
            </w:r>
          </w:p>
        </w:tc>
        <w:tc>
          <w:tcPr>
            <w:tcW w:w="850" w:type="dxa"/>
            <w:shd w:val="clear" w:color="auto" w:fill="C6EFCE"/>
            <w:noWrap/>
          </w:tcPr>
          <w:p>
            <w:pPr>
              <w:spacing w:after="0"/>
              <w:jc w:val="center"/>
              <w:rPr>
                <w:rFonts w:ascii="Times New Roman" w:hAnsi="Times New Roman" w:cs="Times New Roman"/>
                <w:noProof/>
                <w:color w:val="000000"/>
                <w:sz w:val="18"/>
                <w:szCs w:val="18"/>
              </w:rPr>
            </w:pPr>
            <w:r>
              <w:rPr>
                <w:rFonts w:ascii="Times New Roman" w:hAnsi="Times New Roman"/>
                <w:noProof/>
                <w:color w:val="000000"/>
                <w:sz w:val="18"/>
                <w:szCs w:val="18"/>
              </w:rPr>
              <w:t>M</w:t>
            </w:r>
          </w:p>
        </w:tc>
        <w:tc>
          <w:tcPr>
            <w:tcW w:w="2748" w:type="dxa"/>
            <w:shd w:val="clear" w:color="auto" w:fill="C6EFCE"/>
            <w:noWrap/>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Влизане в сила на Закона срещу данъчните измами и данъчните измами</w:t>
            </w:r>
          </w:p>
        </w:tc>
        <w:tc>
          <w:tcPr>
            <w:tcW w:w="1363" w:type="dxa"/>
            <w:shd w:val="clear" w:color="auto" w:fill="C6EFCE"/>
            <w:noWrap/>
          </w:tcPr>
          <w:p>
            <w:pPr>
              <w:spacing w:after="0"/>
              <w:jc w:val="center"/>
              <w:rPr>
                <w:rFonts w:ascii="Times New Roman" w:hAnsi="Times New Roman" w:cs="Times New Roman"/>
                <w:noProof/>
                <w:color w:val="000000"/>
                <w:sz w:val="18"/>
                <w:szCs w:val="18"/>
              </w:rPr>
            </w:pPr>
            <w:r>
              <w:rPr>
                <w:rFonts w:ascii="Times New Roman" w:hAnsi="Times New Roman"/>
                <w:noProof/>
                <w:color w:val="000000"/>
                <w:sz w:val="18"/>
                <w:szCs w:val="18"/>
              </w:rPr>
              <w:t xml:space="preserve">Разпоредба от закона, в която се посочва влизането му в сила </w:t>
            </w:r>
          </w:p>
        </w:tc>
        <w:tc>
          <w:tcPr>
            <w:tcW w:w="851" w:type="dxa"/>
            <w:shd w:val="clear" w:color="auto" w:fill="C6EFCE"/>
            <w:noWrap/>
          </w:tcPr>
          <w:p>
            <w:pPr>
              <w:spacing w:after="0"/>
              <w:jc w:val="center"/>
              <w:rPr>
                <w:rFonts w:ascii="Times New Roman" w:hAnsi="Times New Roman" w:cs="Times New Roman"/>
                <w:noProof/>
                <w:color w:val="000000"/>
                <w:sz w:val="18"/>
                <w:szCs w:val="18"/>
              </w:rPr>
            </w:pPr>
            <w:r>
              <w:rPr>
                <w:rFonts w:ascii="Times New Roman" w:hAnsi="Times New Roman"/>
                <w:noProof/>
                <w:color w:val="000000"/>
                <w:sz w:val="18"/>
                <w:szCs w:val="18"/>
              </w:rPr>
              <w:t xml:space="preserve"> </w:t>
            </w:r>
          </w:p>
        </w:tc>
        <w:tc>
          <w:tcPr>
            <w:tcW w:w="846" w:type="dxa"/>
            <w:shd w:val="clear" w:color="auto" w:fill="C6EFCE"/>
            <w:noWrap/>
          </w:tcPr>
          <w:p>
            <w:pPr>
              <w:spacing w:after="0"/>
              <w:jc w:val="right"/>
              <w:rPr>
                <w:rFonts w:ascii="Times New Roman" w:hAnsi="Times New Roman" w:cs="Times New Roman"/>
                <w:noProof/>
                <w:color w:val="000000"/>
                <w:sz w:val="18"/>
                <w:szCs w:val="18"/>
              </w:rPr>
            </w:pPr>
            <w:r>
              <w:rPr>
                <w:rFonts w:ascii="Times New Roman" w:hAnsi="Times New Roman"/>
                <w:noProof/>
                <w:color w:val="000000"/>
                <w:sz w:val="18"/>
                <w:szCs w:val="18"/>
              </w:rPr>
              <w:t xml:space="preserve"> </w:t>
            </w:r>
          </w:p>
        </w:tc>
        <w:tc>
          <w:tcPr>
            <w:tcW w:w="571" w:type="dxa"/>
            <w:shd w:val="clear" w:color="auto" w:fill="C6EFCE"/>
            <w:noWrap/>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 xml:space="preserve"> </w:t>
            </w:r>
          </w:p>
        </w:tc>
        <w:tc>
          <w:tcPr>
            <w:tcW w:w="425" w:type="dxa"/>
            <w:shd w:val="clear" w:color="auto" w:fill="C6EFCE"/>
            <w:noWrap/>
          </w:tcPr>
          <w:p>
            <w:pPr>
              <w:spacing w:after="0"/>
              <w:jc w:val="center"/>
              <w:rPr>
                <w:rFonts w:ascii="Times New Roman" w:hAnsi="Times New Roman" w:cs="Times New Roman"/>
                <w:noProof/>
                <w:color w:val="000000"/>
                <w:sz w:val="18"/>
                <w:szCs w:val="18"/>
              </w:rPr>
            </w:pPr>
            <w:r>
              <w:rPr>
                <w:rFonts w:ascii="Times New Roman" w:hAnsi="Times New Roman"/>
                <w:noProof/>
                <w:color w:val="000000"/>
                <w:sz w:val="18"/>
                <w:szCs w:val="18"/>
              </w:rPr>
              <w:t>T2</w:t>
            </w:r>
          </w:p>
        </w:tc>
        <w:tc>
          <w:tcPr>
            <w:tcW w:w="709" w:type="dxa"/>
            <w:shd w:val="clear" w:color="auto" w:fill="C6EFCE"/>
            <w:noWrap/>
          </w:tcPr>
          <w:p>
            <w:pPr>
              <w:spacing w:after="0"/>
              <w:jc w:val="center"/>
              <w:rPr>
                <w:rFonts w:ascii="Times New Roman" w:hAnsi="Times New Roman" w:cs="Times New Roman"/>
                <w:noProof/>
                <w:color w:val="000000"/>
                <w:sz w:val="18"/>
                <w:szCs w:val="18"/>
              </w:rPr>
            </w:pPr>
            <w:r>
              <w:rPr>
                <w:rFonts w:ascii="Times New Roman" w:hAnsi="Times New Roman"/>
                <w:noProof/>
                <w:color w:val="000000"/>
                <w:sz w:val="18"/>
                <w:szCs w:val="18"/>
              </w:rPr>
              <w:t>2022</w:t>
            </w:r>
          </w:p>
        </w:tc>
        <w:tc>
          <w:tcPr>
            <w:tcW w:w="5131" w:type="dxa"/>
            <w:shd w:val="clear" w:color="auto" w:fill="C6EFCE"/>
            <w:noWrap/>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Влизане в сила на Закон срещу данъчните измами (</w:t>
            </w:r>
            <w:r>
              <w:rPr>
                <w:rFonts w:ascii="Times New Roman" w:hAnsi="Times New Roman"/>
                <w:i/>
                <w:noProof/>
                <w:color w:val="000000"/>
                <w:sz w:val="18"/>
                <w:szCs w:val="18"/>
              </w:rPr>
              <w:t>Ley de medidas de prevención y lucha contra el fraude fiscal</w:t>
            </w:r>
            <w:r>
              <w:rPr>
                <w:rFonts w:ascii="Times New Roman" w:hAnsi="Times New Roman"/>
                <w:noProof/>
                <w:color w:val="000000"/>
                <w:sz w:val="18"/>
                <w:szCs w:val="18"/>
              </w:rPr>
              <w:t>), който:</w:t>
            </w:r>
            <w:r>
              <w:rPr>
                <w:rFonts w:ascii="Times New Roman" w:hAnsi="Times New Roman"/>
                <w:noProof/>
                <w:color w:val="000000"/>
                <w:sz w:val="18"/>
                <w:szCs w:val="18"/>
              </w:rPr>
              <w:br/>
              <w:t>- Разширява периметъра на трансакциите, при които електронните плащания са задължителни (предприятия и специалисти) и определя законоустановени прагове за плащания в брой.</w:t>
            </w:r>
            <w:r>
              <w:rPr>
                <w:rFonts w:ascii="Times New Roman" w:hAnsi="Times New Roman"/>
                <w:noProof/>
                <w:color w:val="000000"/>
                <w:sz w:val="18"/>
                <w:szCs w:val="18"/>
              </w:rPr>
              <w:br/>
              <w:t>– Актуализира списъка с данъчните убежища в съответствие с критериите за прозрачност, без данъчно облагане и вредни данъчни режими.</w:t>
            </w:r>
            <w:r>
              <w:rPr>
                <w:rFonts w:ascii="Times New Roman" w:hAnsi="Times New Roman"/>
                <w:noProof/>
                <w:color w:val="000000"/>
                <w:sz w:val="18"/>
                <w:szCs w:val="18"/>
              </w:rPr>
              <w:br/>
              <w:t>- Въвежда промени в правилата за намаляване на просрочените данъчни задължения.</w:t>
            </w:r>
            <w:r>
              <w:rPr>
                <w:rFonts w:ascii="Times New Roman" w:hAnsi="Times New Roman"/>
                <w:noProof/>
                <w:color w:val="000000"/>
                <w:sz w:val="18"/>
                <w:szCs w:val="18"/>
              </w:rPr>
              <w:br/>
              <w:t>- Прилага забрана за „двойна употреба на софтуер“.</w:t>
            </w:r>
            <w:r>
              <w:rPr>
                <w:rFonts w:ascii="Times New Roman" w:hAnsi="Times New Roman"/>
                <w:noProof/>
                <w:color w:val="000000"/>
                <w:sz w:val="18"/>
                <w:szCs w:val="18"/>
              </w:rPr>
              <w:br/>
              <w:t xml:space="preserve">- Въвежда референтна стойност за данъчната основа при данъчното облагане на недвижими имоти. </w:t>
            </w:r>
          </w:p>
        </w:tc>
      </w:tr>
      <w:tr>
        <w:trPr>
          <w:trHeight w:val="309"/>
        </w:trPr>
        <w:tc>
          <w:tcPr>
            <w:tcW w:w="709" w:type="dxa"/>
            <w:shd w:val="clear" w:color="auto" w:fill="C6EFCE"/>
            <w:noWrap/>
          </w:tcPr>
          <w:p>
            <w:pPr>
              <w:spacing w:after="0"/>
              <w:jc w:val="center"/>
              <w:rPr>
                <w:rFonts w:ascii="Times New Roman" w:hAnsi="Times New Roman" w:cs="Times New Roman"/>
                <w:noProof/>
                <w:color w:val="000000"/>
                <w:sz w:val="18"/>
                <w:szCs w:val="18"/>
              </w:rPr>
            </w:pPr>
            <w:r>
              <w:rPr>
                <w:rFonts w:ascii="Times New Roman" w:hAnsi="Times New Roman"/>
                <w:noProof/>
                <w:color w:val="000000"/>
                <w:sz w:val="18"/>
                <w:szCs w:val="18"/>
              </w:rPr>
              <w:t>377</w:t>
            </w:r>
          </w:p>
        </w:tc>
        <w:tc>
          <w:tcPr>
            <w:tcW w:w="851" w:type="dxa"/>
            <w:shd w:val="clear" w:color="auto" w:fill="C6EFCE"/>
            <w:noWrap/>
          </w:tcPr>
          <w:p>
            <w:pPr>
              <w:spacing w:after="0"/>
              <w:jc w:val="center"/>
              <w:rPr>
                <w:rFonts w:ascii="Times New Roman" w:hAnsi="Times New Roman" w:cs="Times New Roman"/>
                <w:noProof/>
                <w:color w:val="000000"/>
                <w:sz w:val="18"/>
                <w:szCs w:val="18"/>
              </w:rPr>
            </w:pPr>
            <w:r>
              <w:rPr>
                <w:rFonts w:ascii="Times New Roman" w:hAnsi="Times New Roman"/>
                <w:noProof/>
                <w:color w:val="000000"/>
                <w:sz w:val="18"/>
                <w:szCs w:val="18"/>
              </w:rPr>
              <w:t>C27.R1</w:t>
            </w:r>
          </w:p>
        </w:tc>
        <w:tc>
          <w:tcPr>
            <w:tcW w:w="850" w:type="dxa"/>
            <w:shd w:val="clear" w:color="auto" w:fill="C6EFCE"/>
            <w:noWrap/>
          </w:tcPr>
          <w:p>
            <w:pPr>
              <w:spacing w:after="0"/>
              <w:jc w:val="center"/>
              <w:rPr>
                <w:rFonts w:ascii="Times New Roman" w:hAnsi="Times New Roman" w:cs="Times New Roman"/>
                <w:noProof/>
                <w:color w:val="000000"/>
                <w:sz w:val="18"/>
                <w:szCs w:val="18"/>
              </w:rPr>
            </w:pPr>
            <w:r>
              <w:rPr>
                <w:rFonts w:ascii="Times New Roman" w:hAnsi="Times New Roman"/>
                <w:noProof/>
                <w:color w:val="000000"/>
                <w:sz w:val="18"/>
                <w:szCs w:val="18"/>
              </w:rPr>
              <w:t>M</w:t>
            </w:r>
          </w:p>
        </w:tc>
        <w:tc>
          <w:tcPr>
            <w:tcW w:w="2748" w:type="dxa"/>
            <w:shd w:val="clear" w:color="auto" w:fill="C6EFCE"/>
            <w:noWrap/>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Междинна оценка на последиците от Закона срещу данъчните измами и данъчните измами.</w:t>
            </w:r>
          </w:p>
        </w:tc>
        <w:tc>
          <w:tcPr>
            <w:tcW w:w="1363" w:type="dxa"/>
            <w:shd w:val="clear" w:color="auto" w:fill="C6EFCE"/>
            <w:noWrap/>
          </w:tcPr>
          <w:p>
            <w:pPr>
              <w:spacing w:after="0"/>
              <w:jc w:val="center"/>
              <w:rPr>
                <w:rFonts w:ascii="Times New Roman" w:hAnsi="Times New Roman" w:cs="Times New Roman"/>
                <w:noProof/>
                <w:color w:val="000000"/>
                <w:sz w:val="18"/>
                <w:szCs w:val="18"/>
              </w:rPr>
            </w:pPr>
            <w:r>
              <w:rPr>
                <w:rFonts w:ascii="Times New Roman" w:hAnsi="Times New Roman"/>
                <w:noProof/>
                <w:color w:val="000000"/>
                <w:sz w:val="18"/>
                <w:szCs w:val="18"/>
              </w:rPr>
              <w:t>Публикуване на доклада на уебсайта на Министерството на финансите.</w:t>
            </w:r>
          </w:p>
        </w:tc>
        <w:tc>
          <w:tcPr>
            <w:tcW w:w="851" w:type="dxa"/>
            <w:shd w:val="clear" w:color="auto" w:fill="C6EFCE"/>
            <w:noWrap/>
          </w:tcPr>
          <w:p>
            <w:pPr>
              <w:spacing w:after="0"/>
              <w:jc w:val="center"/>
              <w:rPr>
                <w:rFonts w:ascii="Times New Roman" w:hAnsi="Times New Roman" w:cs="Times New Roman"/>
                <w:noProof/>
                <w:color w:val="000000"/>
                <w:sz w:val="18"/>
                <w:szCs w:val="18"/>
              </w:rPr>
            </w:pPr>
            <w:r>
              <w:rPr>
                <w:rFonts w:ascii="Times New Roman" w:hAnsi="Times New Roman"/>
                <w:noProof/>
                <w:color w:val="000000"/>
                <w:sz w:val="18"/>
                <w:szCs w:val="18"/>
              </w:rPr>
              <w:t xml:space="preserve"> </w:t>
            </w:r>
          </w:p>
        </w:tc>
        <w:tc>
          <w:tcPr>
            <w:tcW w:w="846" w:type="dxa"/>
            <w:shd w:val="clear" w:color="auto" w:fill="C6EFCE"/>
            <w:noWrap/>
          </w:tcPr>
          <w:p>
            <w:pPr>
              <w:spacing w:after="0"/>
              <w:jc w:val="right"/>
              <w:rPr>
                <w:rFonts w:ascii="Times New Roman" w:hAnsi="Times New Roman" w:cs="Times New Roman"/>
                <w:noProof/>
                <w:color w:val="000000"/>
                <w:sz w:val="18"/>
                <w:szCs w:val="18"/>
              </w:rPr>
            </w:pPr>
            <w:r>
              <w:rPr>
                <w:rFonts w:ascii="Times New Roman" w:hAnsi="Times New Roman"/>
                <w:noProof/>
                <w:color w:val="000000"/>
                <w:sz w:val="18"/>
                <w:szCs w:val="18"/>
              </w:rPr>
              <w:t xml:space="preserve"> </w:t>
            </w:r>
          </w:p>
        </w:tc>
        <w:tc>
          <w:tcPr>
            <w:tcW w:w="571" w:type="dxa"/>
            <w:shd w:val="clear" w:color="auto" w:fill="C6EFCE"/>
            <w:noWrap/>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 xml:space="preserve"> </w:t>
            </w:r>
          </w:p>
        </w:tc>
        <w:tc>
          <w:tcPr>
            <w:tcW w:w="425" w:type="dxa"/>
            <w:shd w:val="clear" w:color="auto" w:fill="C6EFCE"/>
            <w:noWrap/>
          </w:tcPr>
          <w:p>
            <w:pPr>
              <w:spacing w:after="0"/>
              <w:jc w:val="center"/>
              <w:rPr>
                <w:rFonts w:ascii="Times New Roman" w:hAnsi="Times New Roman" w:cs="Times New Roman"/>
                <w:noProof/>
                <w:color w:val="000000"/>
                <w:sz w:val="18"/>
                <w:szCs w:val="18"/>
              </w:rPr>
            </w:pPr>
            <w:r>
              <w:rPr>
                <w:rFonts w:ascii="Times New Roman" w:hAnsi="Times New Roman"/>
                <w:noProof/>
                <w:color w:val="000000"/>
                <w:sz w:val="18"/>
                <w:szCs w:val="18"/>
              </w:rPr>
              <w:t>T4</w:t>
            </w:r>
          </w:p>
        </w:tc>
        <w:tc>
          <w:tcPr>
            <w:tcW w:w="709" w:type="dxa"/>
            <w:shd w:val="clear" w:color="auto" w:fill="C6EFCE"/>
            <w:noWrap/>
          </w:tcPr>
          <w:p>
            <w:pPr>
              <w:spacing w:after="0"/>
              <w:jc w:val="center"/>
              <w:rPr>
                <w:rFonts w:ascii="Times New Roman" w:hAnsi="Times New Roman" w:cs="Times New Roman"/>
                <w:noProof/>
                <w:color w:val="000000"/>
                <w:sz w:val="18"/>
                <w:szCs w:val="18"/>
              </w:rPr>
            </w:pPr>
            <w:r>
              <w:rPr>
                <w:rFonts w:ascii="Times New Roman" w:hAnsi="Times New Roman"/>
                <w:noProof/>
                <w:color w:val="000000"/>
                <w:sz w:val="18"/>
                <w:szCs w:val="18"/>
              </w:rPr>
              <w:t>2022</w:t>
            </w:r>
          </w:p>
        </w:tc>
        <w:tc>
          <w:tcPr>
            <w:tcW w:w="5131" w:type="dxa"/>
            <w:shd w:val="clear" w:color="auto" w:fill="C6EFCE"/>
            <w:noWrap/>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Министерството на финансите извършва междинна оценка на Закона срещу данъчните измами и данъчните измами. Тази оценка с възможни препоръки за подобрения ще бъде публикувана на уебсайта на Министерството на финансите.</w:t>
            </w:r>
          </w:p>
        </w:tc>
      </w:tr>
      <w:tr>
        <w:trPr>
          <w:trHeight w:val="309"/>
        </w:trPr>
        <w:tc>
          <w:tcPr>
            <w:tcW w:w="709" w:type="dxa"/>
            <w:shd w:val="clear" w:color="auto" w:fill="C6EFCE"/>
            <w:noWrap/>
          </w:tcPr>
          <w:p>
            <w:pPr>
              <w:spacing w:after="0"/>
              <w:jc w:val="center"/>
              <w:rPr>
                <w:rFonts w:ascii="Times New Roman" w:hAnsi="Times New Roman" w:cs="Times New Roman"/>
                <w:noProof/>
                <w:color w:val="000000"/>
                <w:sz w:val="18"/>
                <w:szCs w:val="18"/>
              </w:rPr>
            </w:pPr>
            <w:r>
              <w:rPr>
                <w:rFonts w:ascii="Times New Roman" w:hAnsi="Times New Roman"/>
                <w:noProof/>
                <w:color w:val="000000"/>
                <w:sz w:val="18"/>
                <w:szCs w:val="18"/>
              </w:rPr>
              <w:t>378</w:t>
            </w:r>
          </w:p>
        </w:tc>
        <w:tc>
          <w:tcPr>
            <w:tcW w:w="851" w:type="dxa"/>
            <w:shd w:val="clear" w:color="auto" w:fill="C6EFCE"/>
            <w:noWrap/>
          </w:tcPr>
          <w:p>
            <w:pPr>
              <w:spacing w:after="0"/>
              <w:jc w:val="center"/>
              <w:rPr>
                <w:rFonts w:ascii="Times New Roman" w:hAnsi="Times New Roman" w:cs="Times New Roman"/>
                <w:noProof/>
                <w:color w:val="000000"/>
                <w:sz w:val="18"/>
                <w:szCs w:val="18"/>
              </w:rPr>
            </w:pPr>
            <w:r>
              <w:rPr>
                <w:rFonts w:ascii="Times New Roman" w:hAnsi="Times New Roman"/>
                <w:noProof/>
                <w:color w:val="000000"/>
                <w:sz w:val="18"/>
                <w:szCs w:val="18"/>
              </w:rPr>
              <w:t>C27.R2</w:t>
            </w:r>
          </w:p>
        </w:tc>
        <w:tc>
          <w:tcPr>
            <w:tcW w:w="850" w:type="dxa"/>
            <w:shd w:val="clear" w:color="auto" w:fill="C6EFCE"/>
            <w:noWrap/>
          </w:tcPr>
          <w:p>
            <w:pPr>
              <w:spacing w:after="0"/>
              <w:jc w:val="center"/>
              <w:rPr>
                <w:rFonts w:ascii="Times New Roman" w:hAnsi="Times New Roman" w:cs="Times New Roman"/>
                <w:noProof/>
                <w:color w:val="000000"/>
                <w:sz w:val="18"/>
                <w:szCs w:val="18"/>
              </w:rPr>
            </w:pPr>
            <w:r>
              <w:rPr>
                <w:rFonts w:ascii="Times New Roman" w:hAnsi="Times New Roman"/>
                <w:noProof/>
                <w:color w:val="000000"/>
                <w:sz w:val="18"/>
                <w:szCs w:val="18"/>
              </w:rPr>
              <w:t>T</w:t>
            </w:r>
          </w:p>
        </w:tc>
        <w:tc>
          <w:tcPr>
            <w:tcW w:w="2748" w:type="dxa"/>
            <w:shd w:val="clear" w:color="auto" w:fill="C6EFCE"/>
            <w:noWrap/>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Модернизиране на данъчната агенция – Брой служители в данъчната администрация</w:t>
            </w:r>
          </w:p>
        </w:tc>
        <w:tc>
          <w:tcPr>
            <w:tcW w:w="1363" w:type="dxa"/>
            <w:shd w:val="clear" w:color="auto" w:fill="C6EFCE"/>
            <w:noWrap/>
          </w:tcPr>
          <w:p>
            <w:pPr>
              <w:spacing w:after="0"/>
              <w:jc w:val="center"/>
              <w:rPr>
                <w:rFonts w:ascii="Times New Roman" w:hAnsi="Times New Roman" w:cs="Times New Roman"/>
                <w:noProof/>
                <w:color w:val="000000"/>
                <w:sz w:val="18"/>
                <w:szCs w:val="18"/>
              </w:rPr>
            </w:pPr>
            <w:r>
              <w:rPr>
                <w:rFonts w:ascii="Times New Roman" w:hAnsi="Times New Roman"/>
                <w:noProof/>
                <w:color w:val="000000"/>
                <w:sz w:val="18"/>
                <w:szCs w:val="18"/>
              </w:rPr>
              <w:t xml:space="preserve"> </w:t>
            </w:r>
          </w:p>
        </w:tc>
        <w:tc>
          <w:tcPr>
            <w:tcW w:w="851" w:type="dxa"/>
            <w:shd w:val="clear" w:color="auto" w:fill="C6EFCE"/>
            <w:noWrap/>
          </w:tcPr>
          <w:p>
            <w:pPr>
              <w:spacing w:after="0"/>
              <w:jc w:val="center"/>
              <w:rPr>
                <w:rFonts w:ascii="Times New Roman" w:hAnsi="Times New Roman" w:cs="Times New Roman"/>
                <w:noProof/>
                <w:color w:val="000000"/>
                <w:sz w:val="18"/>
                <w:szCs w:val="18"/>
              </w:rPr>
            </w:pPr>
            <w:r>
              <w:rPr>
                <w:rFonts w:ascii="Times New Roman" w:hAnsi="Times New Roman"/>
                <w:noProof/>
                <w:color w:val="000000"/>
                <w:sz w:val="18"/>
                <w:szCs w:val="18"/>
              </w:rPr>
              <w:t xml:space="preserve">Номер </w:t>
            </w:r>
          </w:p>
        </w:tc>
        <w:tc>
          <w:tcPr>
            <w:tcW w:w="846" w:type="dxa"/>
            <w:shd w:val="clear" w:color="auto" w:fill="C6EFCE"/>
            <w:noWrap/>
          </w:tcPr>
          <w:p>
            <w:pPr>
              <w:spacing w:after="0"/>
              <w:jc w:val="right"/>
              <w:rPr>
                <w:rFonts w:ascii="Times New Roman" w:hAnsi="Times New Roman" w:cs="Times New Roman"/>
                <w:noProof/>
                <w:color w:val="000000"/>
                <w:sz w:val="18"/>
                <w:szCs w:val="18"/>
              </w:rPr>
            </w:pPr>
            <w:r>
              <w:rPr>
                <w:rFonts w:ascii="Times New Roman" w:hAnsi="Times New Roman"/>
                <w:noProof/>
                <w:color w:val="000000"/>
                <w:sz w:val="18"/>
                <w:szCs w:val="18"/>
              </w:rPr>
              <w:t xml:space="preserve">25 325 </w:t>
            </w:r>
          </w:p>
        </w:tc>
        <w:tc>
          <w:tcPr>
            <w:tcW w:w="571" w:type="dxa"/>
            <w:shd w:val="clear" w:color="auto" w:fill="C6EFCE"/>
            <w:noWrap/>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26 320</w:t>
            </w:r>
          </w:p>
        </w:tc>
        <w:tc>
          <w:tcPr>
            <w:tcW w:w="425" w:type="dxa"/>
            <w:shd w:val="clear" w:color="auto" w:fill="C6EFCE"/>
            <w:noWrap/>
          </w:tcPr>
          <w:p>
            <w:pPr>
              <w:spacing w:after="0"/>
              <w:jc w:val="center"/>
              <w:rPr>
                <w:rFonts w:ascii="Times New Roman" w:hAnsi="Times New Roman" w:cs="Times New Roman"/>
                <w:noProof/>
                <w:color w:val="000000"/>
                <w:sz w:val="18"/>
                <w:szCs w:val="18"/>
              </w:rPr>
            </w:pPr>
            <w:r>
              <w:rPr>
                <w:rFonts w:ascii="Times New Roman" w:hAnsi="Times New Roman"/>
                <w:noProof/>
                <w:color w:val="000000"/>
                <w:sz w:val="18"/>
                <w:szCs w:val="18"/>
              </w:rPr>
              <w:t>T4</w:t>
            </w:r>
          </w:p>
        </w:tc>
        <w:tc>
          <w:tcPr>
            <w:tcW w:w="709" w:type="dxa"/>
            <w:shd w:val="clear" w:color="auto" w:fill="C6EFCE"/>
            <w:noWrap/>
          </w:tcPr>
          <w:p>
            <w:pPr>
              <w:spacing w:after="0"/>
              <w:jc w:val="center"/>
              <w:rPr>
                <w:rFonts w:ascii="Times New Roman" w:hAnsi="Times New Roman" w:cs="Times New Roman"/>
                <w:noProof/>
                <w:color w:val="000000"/>
                <w:sz w:val="18"/>
                <w:szCs w:val="18"/>
              </w:rPr>
            </w:pPr>
            <w:r>
              <w:rPr>
                <w:rFonts w:ascii="Times New Roman" w:hAnsi="Times New Roman"/>
                <w:noProof/>
                <w:color w:val="000000"/>
                <w:sz w:val="18"/>
                <w:szCs w:val="18"/>
              </w:rPr>
              <w:t>2021</w:t>
            </w:r>
          </w:p>
        </w:tc>
        <w:tc>
          <w:tcPr>
            <w:tcW w:w="5131" w:type="dxa"/>
            <w:shd w:val="clear" w:color="auto" w:fill="C6EFCE"/>
            <w:noWrap/>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 xml:space="preserve">Увеличаване на броя на служителите в данъчната администрация на най-малко 26 320 служители. Дата на базовата линия: 31 декември 2020 г. </w:t>
            </w:r>
          </w:p>
        </w:tc>
      </w:tr>
      <w:tr>
        <w:trPr>
          <w:trHeight w:val="309"/>
        </w:trPr>
        <w:tc>
          <w:tcPr>
            <w:tcW w:w="709"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379</w:t>
            </w:r>
          </w:p>
        </w:tc>
        <w:tc>
          <w:tcPr>
            <w:tcW w:w="851"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C27.R2</w:t>
            </w:r>
          </w:p>
        </w:tc>
        <w:tc>
          <w:tcPr>
            <w:tcW w:w="850"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T</w:t>
            </w:r>
          </w:p>
        </w:tc>
        <w:tc>
          <w:tcPr>
            <w:tcW w:w="2748" w:type="dxa"/>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szCs w:val="18"/>
              </w:rPr>
              <w:t>Модернизиране на данъчната агенция – данъчни разследвания</w:t>
            </w:r>
          </w:p>
        </w:tc>
        <w:tc>
          <w:tcPr>
            <w:tcW w:w="1363"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851"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Номер</w:t>
            </w:r>
          </w:p>
        </w:tc>
        <w:tc>
          <w:tcPr>
            <w:tcW w:w="846" w:type="dxa"/>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szCs w:val="18"/>
              </w:rPr>
              <w:t>5 743</w:t>
            </w:r>
          </w:p>
        </w:tc>
        <w:tc>
          <w:tcPr>
            <w:tcW w:w="571" w:type="dxa"/>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szCs w:val="18"/>
              </w:rPr>
              <w:t>6 591</w:t>
            </w:r>
          </w:p>
        </w:tc>
        <w:tc>
          <w:tcPr>
            <w:tcW w:w="425"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709"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2021</w:t>
            </w:r>
          </w:p>
        </w:tc>
        <w:tc>
          <w:tcPr>
            <w:tcW w:w="5131" w:type="dxa"/>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szCs w:val="18"/>
              </w:rPr>
              <w:t>Органите провеждат 6 591 данъчни разследвания (брой данъчни разследвания, проведени през 2021 г.) за откриване на недекларирани данъчни дейности. Дата на базовата линия: 31 декември 2020 г.</w:t>
            </w:r>
          </w:p>
        </w:tc>
      </w:tr>
      <w:tr>
        <w:trPr>
          <w:trHeight w:val="433"/>
        </w:trPr>
        <w:tc>
          <w:tcPr>
            <w:tcW w:w="709"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380</w:t>
            </w:r>
          </w:p>
        </w:tc>
        <w:tc>
          <w:tcPr>
            <w:tcW w:w="851"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C27.R3</w:t>
            </w:r>
          </w:p>
        </w:tc>
        <w:tc>
          <w:tcPr>
            <w:tcW w:w="850"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T</w:t>
            </w:r>
          </w:p>
        </w:tc>
        <w:tc>
          <w:tcPr>
            <w:tcW w:w="2748" w:type="dxa"/>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szCs w:val="18"/>
              </w:rPr>
              <w:t>Предоставяне на засилена помощ на данъкоплатците – Sociedades Web осъвременява и е достъпна за най-малко 1 666 123 данъкоплатци.</w:t>
            </w:r>
          </w:p>
        </w:tc>
        <w:tc>
          <w:tcPr>
            <w:tcW w:w="1363"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851"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Номер</w:t>
            </w:r>
          </w:p>
        </w:tc>
        <w:tc>
          <w:tcPr>
            <w:tcW w:w="846" w:type="dxa"/>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szCs w:val="18"/>
              </w:rPr>
              <w:t>0</w:t>
            </w:r>
          </w:p>
        </w:tc>
        <w:tc>
          <w:tcPr>
            <w:tcW w:w="571" w:type="dxa"/>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szCs w:val="18"/>
              </w:rPr>
              <w:t>1 666 123</w:t>
            </w:r>
          </w:p>
        </w:tc>
        <w:tc>
          <w:tcPr>
            <w:tcW w:w="425"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709"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2021</w:t>
            </w:r>
          </w:p>
        </w:tc>
        <w:tc>
          <w:tcPr>
            <w:tcW w:w="5131" w:type="dxa"/>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i/>
                <w:noProof/>
                <w:color w:val="000000"/>
                <w:sz w:val="18"/>
                <w:szCs w:val="18"/>
              </w:rPr>
              <w:t>Sociedades Web</w:t>
            </w:r>
            <w:r>
              <w:rPr>
                <w:rFonts w:ascii="Times New Roman" w:hAnsi="Times New Roman"/>
                <w:noProof/>
                <w:color w:val="000000"/>
                <w:sz w:val="18"/>
                <w:szCs w:val="18"/>
              </w:rPr>
              <w:t>, услуга, насочена към данъкоплатците на корпоративните доходи, се актуализира и автоматично представя данъчна информация, която преди това е била докладвана от дружествата пред публичната администрация, която е от значение за данъчната декларация. След завършването на това модернизиране услугата се предоставя на 1 666 123 данъкоплатци по корпоративния доход. Дата на базовата линия: 31 декември 2020 г.</w:t>
            </w:r>
          </w:p>
        </w:tc>
      </w:tr>
      <w:tr>
        <w:trPr>
          <w:trHeight w:val="309"/>
        </w:trPr>
        <w:tc>
          <w:tcPr>
            <w:tcW w:w="709" w:type="dxa"/>
            <w:shd w:val="clear" w:color="auto" w:fill="C6EFCE"/>
            <w:noWrap/>
          </w:tcPr>
          <w:p>
            <w:pPr>
              <w:spacing w:after="0"/>
              <w:jc w:val="center"/>
              <w:rPr>
                <w:rFonts w:ascii="Times New Roman" w:hAnsi="Times New Roman" w:cs="Times New Roman"/>
                <w:noProof/>
                <w:color w:val="000000"/>
                <w:sz w:val="18"/>
                <w:szCs w:val="18"/>
              </w:rPr>
            </w:pPr>
            <w:r>
              <w:rPr>
                <w:rFonts w:ascii="Times New Roman" w:hAnsi="Times New Roman"/>
                <w:noProof/>
                <w:color w:val="000000"/>
                <w:sz w:val="18"/>
                <w:szCs w:val="18"/>
              </w:rPr>
              <w:t>381</w:t>
            </w:r>
          </w:p>
        </w:tc>
        <w:tc>
          <w:tcPr>
            <w:tcW w:w="851" w:type="dxa"/>
            <w:shd w:val="clear" w:color="auto" w:fill="C6EFCE"/>
            <w:noWrap/>
          </w:tcPr>
          <w:p>
            <w:pPr>
              <w:spacing w:after="0"/>
              <w:jc w:val="center"/>
              <w:rPr>
                <w:rFonts w:ascii="Times New Roman" w:hAnsi="Times New Roman" w:cs="Times New Roman"/>
                <w:noProof/>
                <w:color w:val="000000"/>
                <w:sz w:val="18"/>
                <w:szCs w:val="18"/>
              </w:rPr>
            </w:pPr>
            <w:r>
              <w:rPr>
                <w:rFonts w:ascii="Times New Roman" w:hAnsi="Times New Roman"/>
                <w:noProof/>
                <w:color w:val="000000"/>
                <w:sz w:val="18"/>
                <w:szCs w:val="18"/>
              </w:rPr>
              <w:t>C27.R3</w:t>
            </w:r>
          </w:p>
        </w:tc>
        <w:tc>
          <w:tcPr>
            <w:tcW w:w="850" w:type="dxa"/>
            <w:shd w:val="clear" w:color="auto" w:fill="C6EFCE"/>
            <w:noWrap/>
          </w:tcPr>
          <w:p>
            <w:pPr>
              <w:spacing w:after="0"/>
              <w:jc w:val="center"/>
              <w:rPr>
                <w:rFonts w:ascii="Times New Roman" w:hAnsi="Times New Roman" w:cs="Times New Roman"/>
                <w:noProof/>
                <w:color w:val="000000"/>
                <w:sz w:val="18"/>
                <w:szCs w:val="18"/>
              </w:rPr>
            </w:pPr>
            <w:r>
              <w:rPr>
                <w:rFonts w:ascii="Times New Roman" w:hAnsi="Times New Roman"/>
                <w:noProof/>
                <w:color w:val="000000"/>
                <w:sz w:val="18"/>
                <w:szCs w:val="18"/>
              </w:rPr>
              <w:t>T</w:t>
            </w:r>
          </w:p>
        </w:tc>
        <w:tc>
          <w:tcPr>
            <w:tcW w:w="2748" w:type="dxa"/>
            <w:shd w:val="clear" w:color="auto" w:fill="C6EFCE"/>
            <w:noWrap/>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Предоставяне на засилена помощ на данъкоплатците – Renta Web е модернизирана и достъпна за най-малко 1 779 505 данъкоплатци</w:t>
            </w:r>
          </w:p>
        </w:tc>
        <w:tc>
          <w:tcPr>
            <w:tcW w:w="1363" w:type="dxa"/>
            <w:shd w:val="clear" w:color="auto" w:fill="C6EFCE"/>
            <w:noWrap/>
          </w:tcPr>
          <w:p>
            <w:pPr>
              <w:spacing w:after="0"/>
              <w:jc w:val="center"/>
              <w:rPr>
                <w:rFonts w:ascii="Times New Roman" w:hAnsi="Times New Roman" w:cs="Times New Roman"/>
                <w:noProof/>
                <w:color w:val="000000"/>
                <w:sz w:val="18"/>
                <w:szCs w:val="18"/>
              </w:rPr>
            </w:pPr>
            <w:r>
              <w:rPr>
                <w:rFonts w:ascii="Times New Roman" w:hAnsi="Times New Roman"/>
                <w:noProof/>
                <w:color w:val="000000"/>
                <w:sz w:val="18"/>
                <w:szCs w:val="18"/>
              </w:rPr>
              <w:t> </w:t>
            </w:r>
          </w:p>
        </w:tc>
        <w:tc>
          <w:tcPr>
            <w:tcW w:w="851" w:type="dxa"/>
            <w:shd w:val="clear" w:color="auto" w:fill="C6EFCE"/>
            <w:noWrap/>
          </w:tcPr>
          <w:p>
            <w:pPr>
              <w:spacing w:after="0"/>
              <w:jc w:val="center"/>
              <w:rPr>
                <w:rFonts w:ascii="Times New Roman" w:hAnsi="Times New Roman" w:cs="Times New Roman"/>
                <w:noProof/>
                <w:color w:val="000000"/>
                <w:sz w:val="18"/>
                <w:szCs w:val="18"/>
              </w:rPr>
            </w:pPr>
            <w:r>
              <w:rPr>
                <w:rFonts w:ascii="Times New Roman" w:hAnsi="Times New Roman"/>
                <w:noProof/>
                <w:color w:val="000000"/>
                <w:sz w:val="18"/>
                <w:szCs w:val="18"/>
              </w:rPr>
              <w:t>Номер</w:t>
            </w:r>
          </w:p>
        </w:tc>
        <w:tc>
          <w:tcPr>
            <w:tcW w:w="846" w:type="dxa"/>
            <w:shd w:val="clear" w:color="auto" w:fill="C6EFCE"/>
            <w:noWrap/>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0</w:t>
            </w:r>
          </w:p>
        </w:tc>
        <w:tc>
          <w:tcPr>
            <w:tcW w:w="571" w:type="dxa"/>
            <w:shd w:val="clear" w:color="auto" w:fill="C6EFCE"/>
            <w:noWrap/>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1 779 505</w:t>
            </w:r>
          </w:p>
        </w:tc>
        <w:tc>
          <w:tcPr>
            <w:tcW w:w="425" w:type="dxa"/>
            <w:shd w:val="clear" w:color="auto" w:fill="C6EFCE"/>
            <w:noWrap/>
          </w:tcPr>
          <w:p>
            <w:pPr>
              <w:spacing w:after="0"/>
              <w:jc w:val="center"/>
              <w:rPr>
                <w:rFonts w:ascii="Times New Roman" w:hAnsi="Times New Roman" w:cs="Times New Roman"/>
                <w:noProof/>
                <w:color w:val="000000"/>
                <w:sz w:val="18"/>
                <w:szCs w:val="18"/>
              </w:rPr>
            </w:pPr>
            <w:r>
              <w:rPr>
                <w:rFonts w:ascii="Times New Roman" w:hAnsi="Times New Roman"/>
                <w:noProof/>
                <w:color w:val="000000"/>
                <w:sz w:val="18"/>
                <w:szCs w:val="18"/>
              </w:rPr>
              <w:t>T4</w:t>
            </w:r>
          </w:p>
        </w:tc>
        <w:tc>
          <w:tcPr>
            <w:tcW w:w="709" w:type="dxa"/>
            <w:shd w:val="clear" w:color="auto" w:fill="C6EFCE"/>
            <w:noWrap/>
          </w:tcPr>
          <w:p>
            <w:pPr>
              <w:spacing w:after="0"/>
              <w:jc w:val="center"/>
              <w:rPr>
                <w:rFonts w:ascii="Times New Roman" w:hAnsi="Times New Roman" w:cs="Times New Roman"/>
                <w:noProof/>
                <w:color w:val="000000"/>
                <w:sz w:val="18"/>
                <w:szCs w:val="18"/>
              </w:rPr>
            </w:pPr>
            <w:r>
              <w:rPr>
                <w:rFonts w:ascii="Times New Roman" w:hAnsi="Times New Roman"/>
                <w:noProof/>
                <w:color w:val="000000"/>
                <w:sz w:val="18"/>
                <w:szCs w:val="18"/>
              </w:rPr>
              <w:t>2021</w:t>
            </w:r>
          </w:p>
        </w:tc>
        <w:tc>
          <w:tcPr>
            <w:tcW w:w="5131" w:type="dxa"/>
            <w:shd w:val="clear" w:color="auto" w:fill="C6EFCE"/>
            <w:noWrap/>
          </w:tcPr>
          <w:p>
            <w:pPr>
              <w:spacing w:after="0"/>
              <w:rPr>
                <w:rFonts w:ascii="Times New Roman" w:hAnsi="Times New Roman" w:cs="Times New Roman"/>
                <w:noProof/>
                <w:color w:val="000000"/>
                <w:sz w:val="18"/>
                <w:szCs w:val="18"/>
              </w:rPr>
            </w:pPr>
            <w:r>
              <w:rPr>
                <w:rFonts w:ascii="Times New Roman" w:hAnsi="Times New Roman"/>
                <w:i/>
                <w:noProof/>
                <w:color w:val="000000"/>
                <w:sz w:val="18"/>
                <w:szCs w:val="18"/>
              </w:rPr>
              <w:t>Renta Web</w:t>
            </w:r>
            <w:r>
              <w:rPr>
                <w:rFonts w:ascii="Times New Roman" w:hAnsi="Times New Roman"/>
                <w:noProof/>
                <w:color w:val="000000"/>
                <w:sz w:val="18"/>
                <w:szCs w:val="18"/>
              </w:rPr>
              <w:t xml:space="preserve"> е софтуер, насочен към данъка върху доходите на физическите лица, който ще позволи директното внасяне на </w:t>
            </w:r>
            <w:r>
              <w:rPr>
                <w:rFonts w:ascii="Times New Roman" w:hAnsi="Times New Roman"/>
                <w:i/>
                <w:noProof/>
                <w:color w:val="000000"/>
                <w:sz w:val="18"/>
                <w:szCs w:val="18"/>
              </w:rPr>
              <w:t>„libros registro“</w:t>
            </w:r>
            <w:r>
              <w:rPr>
                <w:rFonts w:ascii="Times New Roman" w:hAnsi="Times New Roman"/>
                <w:noProof/>
                <w:color w:val="000000"/>
                <w:sz w:val="18"/>
                <w:szCs w:val="18"/>
              </w:rPr>
              <w:t xml:space="preserve"> в декларациите за данъка върху доходите на физическите лица. Той ще бъде на разположение на 1 779 505 данъкоплатци с личен доход. Дата на базовата линия: 31 декември 2020 г.</w:t>
            </w:r>
          </w:p>
        </w:tc>
      </w:tr>
      <w:tr>
        <w:trPr>
          <w:trHeight w:val="309"/>
        </w:trPr>
        <w:tc>
          <w:tcPr>
            <w:tcW w:w="709"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382</w:t>
            </w:r>
          </w:p>
        </w:tc>
        <w:tc>
          <w:tcPr>
            <w:tcW w:w="851"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C27.R3</w:t>
            </w:r>
          </w:p>
        </w:tc>
        <w:tc>
          <w:tcPr>
            <w:tcW w:w="850"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2748" w:type="dxa"/>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szCs w:val="18"/>
              </w:rPr>
              <w:t>Предоставяне на четири платформи за цифрова подкрепа</w:t>
            </w:r>
          </w:p>
        </w:tc>
        <w:tc>
          <w:tcPr>
            <w:tcW w:w="1363"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Публикуване на доклад на Данъчната агенция </w:t>
            </w:r>
          </w:p>
        </w:tc>
        <w:tc>
          <w:tcPr>
            <w:tcW w:w="851"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 </w:t>
            </w:r>
          </w:p>
        </w:tc>
        <w:tc>
          <w:tcPr>
            <w:tcW w:w="846" w:type="dxa"/>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571" w:type="dxa"/>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425"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709"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2023</w:t>
            </w:r>
          </w:p>
        </w:tc>
        <w:tc>
          <w:tcPr>
            <w:tcW w:w="5131" w:type="dxa"/>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szCs w:val="18"/>
              </w:rPr>
              <w:t>Данъчната агенция създава и въвежда в действие четири платформи за цифрова данъчна подкрепа с цел подобряване на услугите за данъкоплатците. Доставчиците на цифрови услуги действат като виртуални онлайн гишета, които предоставят на данъкоплатците по-широка услуга за оказване на съдействие, като им дават възможност да се свържат с данъчната агенция на различни езици с цел онлайн да извършват същите процедури за подкрепа като тези, които са на разположение в традиционна служба, като например общи информационни услуги, съдействие при различните процедури и съдействие за подаване на данъчни декларации.</w:t>
            </w:r>
          </w:p>
        </w:tc>
      </w:tr>
      <w:tr>
        <w:trPr>
          <w:trHeight w:val="309"/>
        </w:trPr>
        <w:tc>
          <w:tcPr>
            <w:tcW w:w="709"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383</w:t>
            </w:r>
          </w:p>
        </w:tc>
        <w:tc>
          <w:tcPr>
            <w:tcW w:w="851"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C27.R4</w:t>
            </w:r>
          </w:p>
        </w:tc>
        <w:tc>
          <w:tcPr>
            <w:tcW w:w="850"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T</w:t>
            </w:r>
          </w:p>
        </w:tc>
        <w:tc>
          <w:tcPr>
            <w:tcW w:w="2748" w:type="dxa"/>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Международно измерение – идентифицирани регистрирани чуждестранни данъкоплатци </w:t>
            </w:r>
          </w:p>
        </w:tc>
        <w:tc>
          <w:tcPr>
            <w:tcW w:w="1363"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851"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Номер […]</w:t>
            </w:r>
          </w:p>
        </w:tc>
        <w:tc>
          <w:tcPr>
            <w:tcW w:w="846" w:type="dxa"/>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szCs w:val="18"/>
              </w:rPr>
              <w:t>0</w:t>
            </w:r>
          </w:p>
        </w:tc>
        <w:tc>
          <w:tcPr>
            <w:tcW w:w="571" w:type="dxa"/>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szCs w:val="18"/>
              </w:rPr>
              <w:t>85</w:t>
            </w:r>
          </w:p>
        </w:tc>
        <w:tc>
          <w:tcPr>
            <w:tcW w:w="425"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709"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2021</w:t>
            </w:r>
          </w:p>
        </w:tc>
        <w:tc>
          <w:tcPr>
            <w:tcW w:w="5131" w:type="dxa"/>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szCs w:val="18"/>
              </w:rPr>
              <w:t>За да се подобри спазването на данъчното законодателство, по-специално на данъкоплатците, които фигурират в регистъра като чуждестранни данъкоплатци, данъчната агенция изпълнява проект, който използва нова информация за данъкоплатците от различни международни източници, като FATCA и CRS. При приключването на проекта се очаква получената международна информация да бъде подходяща за анализ на риска. Целта на проекта е данъчните данни от най-малко 85 % от регистрираните чуждестранни данъкоплатци, за които Данъчната агенция е получила информация през 2019 г., да бъдат идентифицирани и данъчните ѝ данни да бъдат проверени, за да бъдат използвани за анализ на риска до 31 декември 2021 г. Дата на базовата линия: 31 декември 2020 г.</w:t>
            </w:r>
          </w:p>
        </w:tc>
      </w:tr>
      <w:tr>
        <w:trPr>
          <w:trHeight w:val="309"/>
        </w:trPr>
        <w:tc>
          <w:tcPr>
            <w:tcW w:w="709"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384</w:t>
            </w:r>
          </w:p>
        </w:tc>
        <w:tc>
          <w:tcPr>
            <w:tcW w:w="851"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C27.R5</w:t>
            </w:r>
          </w:p>
        </w:tc>
        <w:tc>
          <w:tcPr>
            <w:tcW w:w="850"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T</w:t>
            </w:r>
          </w:p>
        </w:tc>
        <w:tc>
          <w:tcPr>
            <w:tcW w:w="2748" w:type="dxa"/>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szCs w:val="18"/>
              </w:rPr>
              <w:t>Кооперативен модел – Доклади за прозрачността</w:t>
            </w:r>
          </w:p>
        </w:tc>
        <w:tc>
          <w:tcPr>
            <w:tcW w:w="1363"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851"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Номер </w:t>
            </w:r>
          </w:p>
        </w:tc>
        <w:tc>
          <w:tcPr>
            <w:tcW w:w="846" w:type="dxa"/>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szCs w:val="18"/>
              </w:rPr>
              <w:t>0</w:t>
            </w:r>
          </w:p>
        </w:tc>
        <w:tc>
          <w:tcPr>
            <w:tcW w:w="571" w:type="dxa"/>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szCs w:val="18"/>
              </w:rPr>
              <w:t>20</w:t>
            </w:r>
          </w:p>
        </w:tc>
        <w:tc>
          <w:tcPr>
            <w:tcW w:w="425"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709"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2021</w:t>
            </w:r>
          </w:p>
        </w:tc>
        <w:tc>
          <w:tcPr>
            <w:tcW w:w="5131" w:type="dxa"/>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szCs w:val="18"/>
              </w:rPr>
              <w:t>Данъчната агенция изпълнява проект през 2021 г., който насърчава мултинационалните предприятия да оповестяват информация за дейността си. Тези оповестявания могат да имат последици за данъчното облагане на тези дружества. Целта е да бъдат представени 20 доклада за прозрачността през 2021 г.</w:t>
            </w:r>
          </w:p>
        </w:tc>
      </w:tr>
    </w:tbl>
    <w:p>
      <w:pPr>
        <w:pStyle w:val="Text1"/>
        <w:ind w:left="709"/>
        <w:rPr>
          <w:noProof/>
        </w:rPr>
      </w:pPr>
    </w:p>
    <w:p>
      <w:pPr>
        <w:pStyle w:val="SectionTitle"/>
        <w:rPr>
          <w:noProof/>
        </w:rPr>
        <w:sectPr>
          <w:headerReference w:type="even" r:id="rId337"/>
          <w:headerReference w:type="default" r:id="rId338"/>
          <w:footerReference w:type="even" r:id="rId339"/>
          <w:footerReference w:type="default" r:id="rId340"/>
          <w:headerReference w:type="first" r:id="rId341"/>
          <w:footerReference w:type="first" r:id="rId342"/>
          <w:pgSz w:w="16839" w:h="11907" w:orient="landscape"/>
          <w:pgMar w:top="1417" w:right="1134" w:bottom="1417" w:left="1134" w:header="709" w:footer="709" w:gutter="0"/>
          <w:cols w:space="720"/>
          <w:docGrid w:linePitch="360"/>
        </w:sectPr>
      </w:pPr>
    </w:p>
    <w:p>
      <w:pPr>
        <w:pStyle w:val="Heading1"/>
        <w:rPr>
          <w:noProof/>
        </w:rPr>
      </w:pPr>
      <w:r>
        <w:rPr>
          <w:noProof/>
        </w:rPr>
        <w:t>АБ. КОМПОНЕНТ 28: Адаптиране на данъчната система към реалността на двадесет и първи век</w:t>
      </w:r>
    </w:p>
    <w:p>
      <w:pPr>
        <w:pStyle w:val="Text1"/>
        <w:ind w:left="0"/>
        <w:rPr>
          <w:noProof/>
        </w:rPr>
      </w:pPr>
      <w:r>
        <w:rPr>
          <w:noProof/>
        </w:rPr>
        <w:t xml:space="preserve">Мерките в компонент 28 от испанския план за възстановяване и устойчивост включват различни данъчни мерки, като например спешните мерки, приети в острата фаза на икономическата криза през 2020 г., въвеждането на нови данъци в контекста на държавния бюджет за 2021 г. и средносрочните проекти за преразглеждане и развитие на данъчната система, която е по-подходяща за нейната цел. Целите, преследвани с реформата на испанската данъчна система, са тя да стане по-справедлива, прогресивна, устойчива и справедлива, като същевременно се задълбочи структурата на екологосъобразното данъчно облагане, като се включи перспективата за равенство между половете и се засилят публичните политики от общ интерес, като например здравеопазването. Реформите имат за цел също така да допринесат положително за икономическия растеж, създаването на работни места, икономическата устойчивост и междутериториалното сближаване. Тъй като общото съотношение на данъчните приходи към БВП в Испания е по-ниско, отколкото в сходни икономики, съществува възможност за увеличаване на приходите и насърчаване на средносрочната и дългосрочната устойчивост на публичните финанси. </w:t>
      </w:r>
    </w:p>
    <w:p>
      <w:pPr>
        <w:pStyle w:val="Text1"/>
        <w:ind w:left="0"/>
        <w:rPr>
          <w:noProof/>
        </w:rPr>
      </w:pPr>
      <w:r>
        <w:rPr>
          <w:noProof/>
        </w:rPr>
        <w:t>Компонентът е насочен, наред с другото, към специфичната за държавата препоръки относно укрепването на фискалните рамки и рамките за обществените поръчки на всички равнища на управление (специфична за държавата препоръка № 1 от 2019 г.) и относно – когато икономическите условия позволяват това – провеждането на фискални политики, насочени към постигане на благоразумна средносрочна бюджетна позиция и гарантиране на устойчивостта на дълга, като същевременно се насърчават инвестициите (специфичната за държавата препоръка № 1 2020 г.).</w:t>
      </w:r>
    </w:p>
    <w:p>
      <w:pPr>
        <w:pStyle w:val="Text1"/>
        <w:ind w:left="0"/>
        <w:rPr>
          <w:noProof/>
        </w:rPr>
      </w:pPr>
      <w:r>
        <w:rPr>
          <w:noProof/>
          <w:color w:val="000000" w:themeColor="text1"/>
          <w:szCs w:val="24"/>
        </w:rPr>
        <w:t>Очаква се, че нито една мярка в този компонент не вреди в значителна степен на екологичните цели по смисъла на член 17 от Регламент (ЕС) 2020/852, като се вземат предвид описанието на мерките и стъпките за смекчаване на последиците, определени в плана за възстановяване и устойчивост в съответствие с Техническите насоки за спазването на „принципа за ненанасяне на съществена вреда“ (2021/C58/01).</w:t>
      </w:r>
    </w:p>
    <w:p>
      <w:pPr>
        <w:pStyle w:val="Text1"/>
        <w:ind w:left="709"/>
        <w:rPr>
          <w:b/>
          <w:i/>
          <w:noProof/>
          <w:color w:val="4F81BD" w:themeColor="accent1"/>
        </w:rPr>
      </w:pPr>
      <w:r>
        <w:rPr>
          <w:b/>
          <w:bCs/>
          <w:noProof/>
          <w:u w:val="single"/>
        </w:rPr>
        <w:t xml:space="preserve">AБ.1. </w:t>
      </w:r>
      <w:r>
        <w:rPr>
          <w:b/>
          <w:noProof/>
          <w:u w:val="single"/>
        </w:rPr>
        <w:tab/>
      </w:r>
      <w:r>
        <w:rPr>
          <w:b/>
          <w:bCs/>
          <w:noProof/>
          <w:u w:val="single"/>
        </w:rPr>
        <w:t>Описание на реформите и инвестициите за безвъзмездна финансова подкрепа</w:t>
      </w:r>
    </w:p>
    <w:p>
      <w:pPr>
        <w:pStyle w:val="Text1"/>
        <w:ind w:left="0"/>
        <w:rPr>
          <w:noProof/>
          <w:u w:val="single"/>
        </w:rPr>
      </w:pPr>
      <w:r>
        <w:rPr>
          <w:noProof/>
          <w:u w:val="single"/>
        </w:rPr>
        <w:t>Реформа 1 (C28.R1) – Мерки, предприети през 2020 г. и 2021 г. за смекчаване на последиците от пандемията от COVID-19</w:t>
      </w:r>
    </w:p>
    <w:p>
      <w:pPr>
        <w:pStyle w:val="Text1"/>
        <w:ind w:left="0"/>
        <w:rPr>
          <w:noProof/>
        </w:rPr>
      </w:pPr>
      <w:r>
        <w:rPr>
          <w:noProof/>
        </w:rPr>
        <w:t xml:space="preserve">През 2020 г. и 2021 г. Испания въведе няколко данъчни мерки за смекчаване на отрицателното въздействие на икономическата криза, причинена от избухването на COVID-19. Тези мерки включваха отсрочване на данъчните и митническите задължения, спиране и удължаване на данъчните срокове, възможности за опростен данък върху доходите на физическите лица, корпоративен данък за МСП и режими за ДДС, временно намаляване на ставката на ДДС за някои стоки, необходими за борба със здравната криза, и създаване на Фонд за несъстоятелност за нефинансови предприятия. Целта на тези мерки беше да се смекчат икономическите и социалните последици от пандемията. Тези мерки влизат в сила на 1 февруари 2020 г., като някои от тях продължават и през 2021 г. </w:t>
      </w:r>
    </w:p>
    <w:p>
      <w:pPr>
        <w:pStyle w:val="Text1"/>
        <w:ind w:left="0"/>
        <w:rPr>
          <w:noProof/>
        </w:rPr>
      </w:pPr>
      <w:r>
        <w:rPr>
          <w:noProof/>
        </w:rPr>
        <w:t>Изпълнението на мярката приключва до 31 март 2021 г.</w:t>
      </w:r>
    </w:p>
    <w:p>
      <w:pPr>
        <w:pStyle w:val="Text1"/>
        <w:ind w:left="0"/>
        <w:rPr>
          <w:noProof/>
          <w:u w:val="single"/>
        </w:rPr>
      </w:pPr>
      <w:r>
        <w:rPr>
          <w:noProof/>
          <w:u w:val="single"/>
        </w:rPr>
        <w:t>Реформа 2 (C28.R) – анализ на данъчните облекчения</w:t>
      </w:r>
    </w:p>
    <w:p>
      <w:pPr>
        <w:pStyle w:val="Text1"/>
        <w:ind w:left="0"/>
        <w:rPr>
          <w:noProof/>
          <w:color w:val="000000"/>
          <w:sz w:val="20"/>
          <w:szCs w:val="20"/>
        </w:rPr>
      </w:pPr>
      <w:r>
        <w:rPr>
          <w:noProof/>
        </w:rPr>
        <w:t>В преглед на разходите, извършен от независимия фискален орган (</w:t>
      </w:r>
      <w:r>
        <w:rPr>
          <w:i/>
          <w:noProof/>
        </w:rPr>
        <w:t>Autoridad Independiente de Responsabilidad Fiscal</w:t>
      </w:r>
      <w:r>
        <w:rPr>
          <w:noProof/>
        </w:rPr>
        <w:t>, AIReF), относно данъчните облекчения във връзка с данъка върху доходите на физическите лица, акцизите и ДДС бяха установени възможности за изменение на някои данъчни облекчения. През 2020 г. бяха изменени данъчните облекчения от схемите за данъка върху доходите на физическите лица и намалената ставка на ДДС за безалкохолните напитки и соковете, както и за някои напитки с добавени захари и/или подсладители. Изпълнението на допълнителни регулаторни реформи до 31 март 2023 г. произтича от препоръките на работна група, създадена за оценка на 15 данъчни облекчения. Тази работна група има за цел да отправи препоръки относно начините за по-нататъшно изменение или премахване на данъчните облекчения през следващите години, за да се повиши ефективността на данъчната система, да се увеличат приходите, да се подкрепи екологичният преход и да се насърчи справедливостта.</w:t>
      </w:r>
      <w:r>
        <w:rPr>
          <w:noProof/>
          <w:color w:val="000000"/>
          <w:sz w:val="20"/>
          <w:szCs w:val="20"/>
        </w:rPr>
        <w:t xml:space="preserve"> </w:t>
      </w:r>
    </w:p>
    <w:p>
      <w:pPr>
        <w:pStyle w:val="Text1"/>
        <w:ind w:left="0"/>
        <w:rPr>
          <w:noProof/>
        </w:rPr>
      </w:pPr>
      <w:r>
        <w:rPr>
          <w:noProof/>
        </w:rPr>
        <w:t>Изпълнението на мярката приключва до 31 март 2023 г.</w:t>
      </w:r>
    </w:p>
    <w:p>
      <w:pPr>
        <w:pStyle w:val="Text1"/>
        <w:ind w:left="0"/>
        <w:rPr>
          <w:noProof/>
          <w:u w:val="single"/>
        </w:rPr>
      </w:pPr>
      <w:r>
        <w:rPr>
          <w:noProof/>
          <w:u w:val="single"/>
        </w:rPr>
        <w:t>Реформа 3 (</w:t>
      </w:r>
      <w:r>
        <w:rPr>
          <w:bCs/>
          <w:noProof/>
          <w:u w:val="single"/>
        </w:rPr>
        <w:t>C28.R</w:t>
      </w:r>
      <w:r>
        <w:rPr>
          <w:noProof/>
          <w:u w:val="single"/>
        </w:rPr>
        <w:t>3) – създаване на експертна комисия за данъчна реформа</w:t>
      </w:r>
    </w:p>
    <w:p>
      <w:pPr>
        <w:pStyle w:val="Text1"/>
        <w:ind w:left="0"/>
        <w:rPr>
          <w:noProof/>
        </w:rPr>
      </w:pPr>
      <w:r>
        <w:rPr>
          <w:noProof/>
        </w:rPr>
        <w:t>На 12 април 2021 г. органите създават експертна комисия, която да разгледа характеристиките на оптималната данъчна система и да отправи препоръки за това как да се модернизира и адаптира настоящото данъчно облагане по последователен начин. По-специално, Комитетът от експерти обръща внимание на следните области:</w:t>
      </w:r>
    </w:p>
    <w:p>
      <w:pPr>
        <w:pStyle w:val="Text1"/>
        <w:numPr>
          <w:ilvl w:val="0"/>
          <w:numId w:val="120"/>
        </w:numPr>
        <w:rPr>
          <w:noProof/>
        </w:rPr>
      </w:pPr>
      <w:r>
        <w:rPr>
          <w:noProof/>
        </w:rPr>
        <w:t xml:space="preserve">екологично данъчно облагане; </w:t>
      </w:r>
    </w:p>
    <w:p>
      <w:pPr>
        <w:pStyle w:val="Text1"/>
        <w:numPr>
          <w:ilvl w:val="0"/>
          <w:numId w:val="120"/>
        </w:numPr>
        <w:rPr>
          <w:noProof/>
        </w:rPr>
      </w:pPr>
      <w:r>
        <w:rPr>
          <w:noProof/>
        </w:rPr>
        <w:t>корпоративно данъчно облагане;</w:t>
      </w:r>
    </w:p>
    <w:p>
      <w:pPr>
        <w:pStyle w:val="Text1"/>
        <w:numPr>
          <w:ilvl w:val="0"/>
          <w:numId w:val="120"/>
        </w:numPr>
        <w:rPr>
          <w:noProof/>
        </w:rPr>
      </w:pPr>
      <w:r>
        <w:rPr>
          <w:noProof/>
        </w:rPr>
        <w:t>данъчното облагане на цифровизираната икономика;</w:t>
      </w:r>
    </w:p>
    <w:p>
      <w:pPr>
        <w:pStyle w:val="Text1"/>
        <w:numPr>
          <w:ilvl w:val="0"/>
          <w:numId w:val="120"/>
        </w:numPr>
        <w:rPr>
          <w:noProof/>
        </w:rPr>
      </w:pPr>
      <w:r>
        <w:rPr>
          <w:noProof/>
        </w:rPr>
        <w:t>данъчно облагане на богатството, включително данъчно облагане на недвижимото имущество и конкретно прилагане на хармонизацията в тази област;</w:t>
      </w:r>
    </w:p>
    <w:p>
      <w:pPr>
        <w:pStyle w:val="Text1"/>
        <w:numPr>
          <w:ilvl w:val="0"/>
          <w:numId w:val="120"/>
        </w:numPr>
        <w:rPr>
          <w:noProof/>
        </w:rPr>
      </w:pPr>
      <w:r>
        <w:rPr>
          <w:noProof/>
        </w:rPr>
        <w:t>данъчно облагане на нововъзникващи икономически дейности; и</w:t>
      </w:r>
    </w:p>
    <w:p>
      <w:pPr>
        <w:pStyle w:val="Text1"/>
        <w:numPr>
          <w:ilvl w:val="0"/>
          <w:numId w:val="120"/>
        </w:numPr>
        <w:rPr>
          <w:noProof/>
        </w:rPr>
      </w:pPr>
      <w:r>
        <w:rPr>
          <w:noProof/>
        </w:rPr>
        <w:t>равенството между половете</w:t>
      </w:r>
    </w:p>
    <w:p>
      <w:pPr>
        <w:pStyle w:val="Text1"/>
        <w:ind w:left="0"/>
        <w:rPr>
          <w:noProof/>
          <w:szCs w:val="24"/>
        </w:rPr>
      </w:pPr>
      <w:r>
        <w:rPr>
          <w:noProof/>
        </w:rPr>
        <w:t xml:space="preserve">Реформата се придружава и от анализ на тяхното въздействие върху разпределението, като се обръща специално внимание на семействата с деца. Докладът включва най-малко следните елементи: </w:t>
      </w:r>
      <w:r>
        <w:rPr>
          <w:noProof/>
          <w:lang w:val="en-US"/>
        </w:rPr>
        <w:t>i</w:t>
      </w:r>
      <w:r>
        <w:rPr>
          <w:noProof/>
        </w:rPr>
        <w:t>) въздействие върху цялостната фискална прогресивност на данъчната система; ii) въздействие върху уязвимите групи; iii) въздействие върху семействата с деца; iv) данъчно облагане на големи корпорации; и v) разпределение на данъчното облагане между данъчното облагане на труда и на капитала.</w:t>
      </w:r>
    </w:p>
    <w:p>
      <w:pPr>
        <w:pStyle w:val="Text1"/>
        <w:ind w:left="0"/>
        <w:rPr>
          <w:noProof/>
          <w:spacing w:val="-2"/>
          <w:szCs w:val="24"/>
        </w:rPr>
      </w:pPr>
      <w:r>
        <w:rPr>
          <w:noProof/>
          <w:spacing w:val="-2"/>
        </w:rPr>
        <w:t xml:space="preserve">Експертният комитет публикува доклада си през февруари 2022 г. Измененията на данъчната система въз основа на препоръките в доклада влизат в сила до 31 март 2023 г. </w:t>
      </w:r>
    </w:p>
    <w:p>
      <w:pPr>
        <w:pStyle w:val="Text1"/>
        <w:ind w:left="0"/>
        <w:rPr>
          <w:noProof/>
        </w:rPr>
      </w:pPr>
      <w:r>
        <w:rPr>
          <w:noProof/>
        </w:rPr>
        <w:t>Изпълнението на мярката приключва до 31 март 2023 г.</w:t>
      </w:r>
    </w:p>
    <w:p>
      <w:pPr>
        <w:pStyle w:val="Text1"/>
        <w:ind w:left="0"/>
        <w:rPr>
          <w:noProof/>
          <w:szCs w:val="24"/>
          <w:u w:val="single"/>
        </w:rPr>
      </w:pPr>
      <w:r>
        <w:rPr>
          <w:noProof/>
          <w:szCs w:val="24"/>
          <w:u w:val="single"/>
        </w:rPr>
        <w:t>Реформа 4 (C28.R4) – Реформа на данъчните мерки, допринасящи за екологичния преход</w:t>
      </w:r>
    </w:p>
    <w:p>
      <w:pPr>
        <w:pStyle w:val="Text1"/>
        <w:ind w:left="0"/>
        <w:rPr>
          <w:noProof/>
          <w:szCs w:val="24"/>
        </w:rPr>
      </w:pPr>
      <w:r>
        <w:rPr>
          <w:noProof/>
        </w:rPr>
        <w:t xml:space="preserve">Тази реформа съдържа данъчни мерки, насочени към подпомагане на екологичния преход. Тези мерки включват: </w:t>
      </w:r>
    </w:p>
    <w:p>
      <w:pPr>
        <w:pStyle w:val="Text1"/>
        <w:numPr>
          <w:ilvl w:val="0"/>
          <w:numId w:val="121"/>
        </w:numPr>
        <w:rPr>
          <w:noProof/>
          <w:szCs w:val="24"/>
        </w:rPr>
      </w:pPr>
      <w:r>
        <w:rPr>
          <w:noProof/>
        </w:rPr>
        <w:t>въвеждане на данък върху депонирането на отпадъци в депа и инсталации за изгаряне;</w:t>
      </w:r>
    </w:p>
    <w:p>
      <w:pPr>
        <w:pStyle w:val="Text1"/>
        <w:numPr>
          <w:ilvl w:val="0"/>
          <w:numId w:val="121"/>
        </w:numPr>
        <w:rPr>
          <w:noProof/>
          <w:szCs w:val="24"/>
        </w:rPr>
      </w:pPr>
      <w:r>
        <w:rPr>
          <w:noProof/>
        </w:rPr>
        <w:t xml:space="preserve">въвеждане на данък върху пластмасовите опаковки за еднократна употреба; </w:t>
      </w:r>
    </w:p>
    <w:p>
      <w:pPr>
        <w:pStyle w:val="Text1"/>
        <w:numPr>
          <w:ilvl w:val="0"/>
          <w:numId w:val="121"/>
        </w:numPr>
        <w:rPr>
          <w:noProof/>
        </w:rPr>
      </w:pPr>
      <w:r>
        <w:rPr>
          <w:noProof/>
        </w:rPr>
        <w:t xml:space="preserve">изменението на данъка върху флуорсъдържащите парникови газове; </w:t>
      </w:r>
    </w:p>
    <w:p>
      <w:pPr>
        <w:pStyle w:val="Text1"/>
        <w:numPr>
          <w:ilvl w:val="0"/>
          <w:numId w:val="121"/>
        </w:numPr>
        <w:rPr>
          <w:noProof/>
          <w:szCs w:val="24"/>
        </w:rPr>
      </w:pPr>
      <w:r>
        <w:rPr>
          <w:noProof/>
        </w:rPr>
        <w:t>данъци или плащания, свързани с мобилността, като пътни такси и такси за регистрация на превозни средства; както и</w:t>
      </w:r>
    </w:p>
    <w:p>
      <w:pPr>
        <w:pStyle w:val="Text1"/>
        <w:numPr>
          <w:ilvl w:val="0"/>
          <w:numId w:val="121"/>
        </w:numPr>
        <w:rPr>
          <w:noProof/>
          <w:szCs w:val="24"/>
        </w:rPr>
      </w:pPr>
      <w:r>
        <w:rPr>
          <w:noProof/>
        </w:rPr>
        <w:t xml:space="preserve">преразглеждане на субсидиите за минерални масла, използвани като гориво. </w:t>
      </w:r>
    </w:p>
    <w:p>
      <w:pPr>
        <w:pStyle w:val="Text1"/>
        <w:ind w:left="0"/>
        <w:rPr>
          <w:noProof/>
          <w:szCs w:val="24"/>
        </w:rPr>
      </w:pPr>
      <w:r>
        <w:rPr>
          <w:noProof/>
        </w:rPr>
        <w:t xml:space="preserve">Изпълнението на мерките приключва до 30 юни 2022 г. </w:t>
      </w:r>
    </w:p>
    <w:p>
      <w:pPr>
        <w:pStyle w:val="Text1"/>
        <w:ind w:left="0"/>
        <w:rPr>
          <w:noProof/>
          <w:szCs w:val="24"/>
          <w:u w:val="single"/>
        </w:rPr>
      </w:pPr>
      <w:r>
        <w:rPr>
          <w:noProof/>
          <w:szCs w:val="24"/>
          <w:u w:val="single"/>
        </w:rPr>
        <w:t>Реформа 5 (C28.R5) – Одобряване на данъка върху цифровите услуги</w:t>
      </w:r>
    </w:p>
    <w:p>
      <w:pPr>
        <w:pStyle w:val="Text1"/>
        <w:ind w:left="0"/>
        <w:rPr>
          <w:noProof/>
        </w:rPr>
      </w:pPr>
      <w:r>
        <w:rPr>
          <w:noProof/>
        </w:rPr>
        <w:t xml:space="preserve">С тази реформа се въвежда налог въз основа на оборота на дружествата с нетен оборот над 750000000 EUR и на приходите от предоставянето на някои цифрови услуги, като например онлайн реклама и посреднически услуги в Испания. Таксата не зависи от това дали дружеството е местно лице или не на испанската територия. Налогът влиза в сила през първото тримесечие на 2021 г. Реформата включва също така доклад за оценка на въздействието на мярката, който се публикува до 31 март 2022 г. и 2023 г. </w:t>
      </w:r>
    </w:p>
    <w:p>
      <w:pPr>
        <w:pStyle w:val="Text1"/>
        <w:ind w:left="0"/>
        <w:rPr>
          <w:noProof/>
        </w:rPr>
      </w:pPr>
      <w:r>
        <w:rPr>
          <w:noProof/>
        </w:rPr>
        <w:t>Изпълнението на мярката приключва до 31 март 2021 г.</w:t>
      </w:r>
    </w:p>
    <w:p>
      <w:pPr>
        <w:pStyle w:val="Text1"/>
        <w:ind w:left="0"/>
        <w:rPr>
          <w:noProof/>
          <w:szCs w:val="24"/>
          <w:u w:val="single"/>
        </w:rPr>
      </w:pPr>
      <w:r>
        <w:rPr>
          <w:noProof/>
          <w:szCs w:val="24"/>
          <w:u w:val="single"/>
        </w:rPr>
        <w:t>Реформа 6 (C28.R6) – Одобряване на данъка върху финансовите сделки</w:t>
      </w:r>
    </w:p>
    <w:p>
      <w:pPr>
        <w:pStyle w:val="Text1"/>
        <w:ind w:left="0"/>
        <w:rPr>
          <w:noProof/>
          <w:szCs w:val="24"/>
        </w:rPr>
      </w:pPr>
      <w:r>
        <w:rPr>
          <w:noProof/>
        </w:rPr>
        <w:t xml:space="preserve">С тази мярка се въвежда налог въз основа на покупната стойност на акциите на регистрирани на борсата испански дружества с пазарна капитализация, по-голяма от 1000000000 EUR. Изпълнението на реформата влезе в сила през първото тримесечие на 2021 г. Реформата включва също така доклад за оценка на въздействието на мярката, който се публикува до 31 март 2022 г. и 2023 г. </w:t>
      </w:r>
    </w:p>
    <w:p>
      <w:pPr>
        <w:pStyle w:val="Text1"/>
        <w:ind w:left="0"/>
        <w:rPr>
          <w:noProof/>
          <w:szCs w:val="24"/>
        </w:rPr>
      </w:pPr>
      <w:r>
        <w:rPr>
          <w:noProof/>
        </w:rPr>
        <w:t>Изпълнението на мярката приключва до 31 март 2021 г.</w:t>
      </w:r>
    </w:p>
    <w:p>
      <w:pPr>
        <w:pStyle w:val="Text1"/>
        <w:keepNext/>
        <w:ind w:left="0"/>
        <w:rPr>
          <w:noProof/>
          <w:szCs w:val="24"/>
          <w:u w:val="single"/>
        </w:rPr>
      </w:pPr>
      <w:r>
        <w:rPr>
          <w:noProof/>
          <w:szCs w:val="24"/>
          <w:u w:val="single"/>
        </w:rPr>
        <w:t>Реформа 7 (C28.R7) – Краткосрочни данъчни мерки върху данъците на физическите лица</w:t>
      </w:r>
    </w:p>
    <w:p>
      <w:pPr>
        <w:pStyle w:val="Text1"/>
        <w:keepNext/>
        <w:ind w:left="0"/>
        <w:rPr>
          <w:noProof/>
        </w:rPr>
      </w:pPr>
      <w:r>
        <w:rPr>
          <w:noProof/>
        </w:rPr>
        <w:t>Реформата ще увеличи прогресивността и преразпределянето на данъка върху доходите на физическите лица чрез изменения в Закона за данъка върху доходите на физическите лица и Закона за данъка върху имуществото. По-специално, тя увеличава с 2 процентни пункта ставката по общата национална скала от 300 000 EUR като обща основа за оценка, а икономиите – с 3 процентни пункта от 200 000 EUR. Освен това ограничението за намаляване на индивидуалните пенсионни вноски от 8 000 EUR на 2 000 EUR се намалява, а настоящият таван на вноските, плащани от дружеството на неговия служител, се увеличава от 8 000 EUR на 10 000 EUR. Освен това, що се отнася до СДИ, реформата ще увеличи ставката, приложима за последната тарифна група с 1 процентен пункт, от 2,5 % на 3,5 % (за активи на стойност над 10 000 000 EUR). Изпълнението на реформата трябваше да приключи до 01 януари 2021 г.</w:t>
      </w:r>
    </w:p>
    <w:p>
      <w:pPr>
        <w:pStyle w:val="Text1"/>
        <w:ind w:left="0"/>
        <w:rPr>
          <w:noProof/>
          <w:szCs w:val="24"/>
        </w:rPr>
      </w:pPr>
      <w:r>
        <w:rPr>
          <w:noProof/>
        </w:rPr>
        <w:t>Изпълнението на мярката приключва до 31 март 2021 г.</w:t>
      </w:r>
    </w:p>
    <w:p>
      <w:pPr>
        <w:pStyle w:val="Text1"/>
        <w:ind w:left="0"/>
        <w:rPr>
          <w:noProof/>
          <w:szCs w:val="24"/>
          <w:u w:val="single"/>
        </w:rPr>
      </w:pPr>
      <w:r>
        <w:rPr>
          <w:noProof/>
          <w:szCs w:val="24"/>
          <w:u w:val="single"/>
        </w:rPr>
        <w:t>Реформа 8 (C28.R8) – Краткосрочно приемане на данъчни мерки в областта на корпоративното данъчно облагане</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С реформата се изменя Законът за корпоративното данъчно облагане, за да се увеличи приносът на този данък в подкрепа на публичните разходи, като същевременно се въвеждат опростявания на освобождаванията и приспаданията, за да се гарантира минимална ставка от 15 % за данъкоплатците. От друга страна, освобождаването на дивидентите и капиталовите печалби, генерирани от дяловото им участие в дъщерни дружества, както местни, така и чуждестранни на испанска територия, се намалява с 5 %. </w:t>
      </w:r>
    </w:p>
    <w:p>
      <w:pPr>
        <w:pStyle w:val="Text1"/>
        <w:ind w:left="0"/>
        <w:rPr>
          <w:noProof/>
          <w:szCs w:val="24"/>
        </w:rPr>
      </w:pPr>
      <w:r>
        <w:rPr>
          <w:noProof/>
        </w:rPr>
        <w:t>Изпълнението на мярката приключва до 31 март 2021 г.</w:t>
      </w:r>
    </w:p>
    <w:p>
      <w:pPr>
        <w:spacing w:before="120" w:after="120" w:line="240" w:lineRule="auto"/>
        <w:jc w:val="both"/>
        <w:rPr>
          <w:rFonts w:ascii="Times New Roman" w:hAnsi="Times New Roman" w:cs="Times New Roman"/>
          <w:noProof/>
          <w:sz w:val="24"/>
          <w:szCs w:val="24"/>
          <w:u w:val="single"/>
        </w:rPr>
      </w:pPr>
      <w:r>
        <w:rPr>
          <w:rFonts w:ascii="Times New Roman" w:hAnsi="Times New Roman"/>
          <w:noProof/>
          <w:sz w:val="24"/>
          <w:szCs w:val="24"/>
          <w:u w:val="single"/>
        </w:rPr>
        <w:t>Реформа 9 (C28.R9) – Краткосрочни данъчни мерки при косвените данъци</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Реформата разширява прилагането на стандартната ставка на ДДС, определена на 21 %, за безалкохолни напитки, сокове и газообразни напитки с добавена захар. Подобна мярка представлява социален ангажимент за насърчаване на отговорното потребление на тези категории напитки и е в съответствие с целта за финансиране на външните разходи на социалната държава в Испания, произтичащи в този случай от нездравословно хранене. Освен това данъчната ставка на застрахователните премии се увеличава с два процентни пункта до 8 %, като обаче остава в средно ниския диапазон по отношение на съседните държави. </w:t>
      </w:r>
    </w:p>
    <w:p>
      <w:pPr>
        <w:pStyle w:val="Text1"/>
        <w:ind w:left="0"/>
        <w:rPr>
          <w:noProof/>
          <w:szCs w:val="24"/>
        </w:rPr>
      </w:pPr>
      <w:r>
        <w:rPr>
          <w:noProof/>
        </w:rPr>
        <w:t>Изпълнението на мярката приключва до 31 март 2021 г.</w:t>
      </w:r>
    </w:p>
    <w:p>
      <w:pPr>
        <w:pStyle w:val="Text1"/>
        <w:ind w:left="709"/>
        <w:rPr>
          <w:b/>
          <w:noProof/>
          <w:szCs w:val="24"/>
          <w:u w:val="single"/>
        </w:rPr>
      </w:pPr>
      <w:r>
        <w:rPr>
          <w:b/>
          <w:bCs/>
          <w:noProof/>
          <w:szCs w:val="24"/>
          <w:u w:val="single"/>
        </w:rPr>
        <w:t xml:space="preserve">AБ.2. </w:t>
      </w:r>
      <w:r>
        <w:rPr>
          <w:b/>
          <w:noProof/>
          <w:szCs w:val="24"/>
          <w:u w:val="single"/>
        </w:rPr>
        <w:tab/>
      </w:r>
      <w:r>
        <w:rPr>
          <w:b/>
          <w:bCs/>
          <w:noProof/>
          <w:szCs w:val="24"/>
          <w:u w:val="single"/>
        </w:rPr>
        <w:t>Ключови етапи, цели, показатели и график за мониторинг и изпълнение на безвъзмездната финансова подкрепа</w:t>
      </w:r>
    </w:p>
    <w:p>
      <w:pPr>
        <w:spacing w:before="120" w:after="120" w:line="240" w:lineRule="auto"/>
        <w:rPr>
          <w:rFonts w:ascii="Times New Roman" w:hAnsi="Times New Roman" w:cs="Times New Roman"/>
          <w:noProof/>
          <w:color w:val="1F497D"/>
          <w:sz w:val="24"/>
          <w:szCs w:val="24"/>
        </w:rPr>
      </w:pPr>
      <w:r>
        <w:rPr>
          <w:rFonts w:ascii="Times New Roman" w:hAnsi="Times New Roman"/>
          <w:i/>
          <w:iCs/>
          <w:noProof/>
          <w:color w:val="000000"/>
          <w:sz w:val="24"/>
          <w:szCs w:val="24"/>
        </w:rPr>
        <w:t>Вж. таблицата по-долу.</w:t>
      </w:r>
      <w:r>
        <w:rPr>
          <w:rFonts w:ascii="Times New Roman" w:hAnsi="Times New Roman"/>
          <w:noProof/>
          <w:color w:val="1F497D"/>
          <w:sz w:val="24"/>
          <w:szCs w:val="24"/>
        </w:rPr>
        <w:t xml:space="preserve"> </w:t>
      </w:r>
      <w:r>
        <w:rPr>
          <w:rFonts w:ascii="Times New Roman" w:hAnsi="Times New Roman"/>
          <w:i/>
          <w:noProof/>
          <w:sz w:val="24"/>
          <w:szCs w:val="24"/>
        </w:rPr>
        <w:t>Датата на базовата линия за всички показатели е 1 февруари 2020 г., освен ако не е посочено друго в описанието на действието.</w:t>
      </w:r>
      <w:r>
        <w:rPr>
          <w:rFonts w:ascii="Times New Roman" w:hAnsi="Times New Roman"/>
          <w:i/>
          <w:iCs/>
          <w:noProof/>
          <w:color w:val="000000"/>
          <w:sz w:val="24"/>
          <w:szCs w:val="24"/>
        </w:rPr>
        <w:t xml:space="preserve"> Сумите в таблицата не включват ДДС.</w:t>
      </w:r>
      <w:r>
        <w:rPr>
          <w:rFonts w:ascii="Times New Roman" w:hAnsi="Times New Roman"/>
          <w:noProof/>
          <w:color w:val="1F497D"/>
          <w:sz w:val="24"/>
          <w:szCs w:val="24"/>
        </w:rPr>
        <w:t xml:space="preserve"> </w:t>
      </w:r>
    </w:p>
    <w:p>
      <w:pPr>
        <w:pStyle w:val="Text1"/>
        <w:ind w:left="0"/>
        <w:rPr>
          <w:noProof/>
          <w:lang w:val="en-IE"/>
        </w:rPr>
        <w:sectPr>
          <w:headerReference w:type="even" r:id="rId343"/>
          <w:headerReference w:type="default" r:id="rId344"/>
          <w:footerReference w:type="even" r:id="rId345"/>
          <w:footerReference w:type="default" r:id="rId346"/>
          <w:headerReference w:type="first" r:id="rId347"/>
          <w:footerReference w:type="first" r:id="rId348"/>
          <w:pgSz w:w="11907" w:h="16839"/>
          <w:pgMar w:top="1134" w:right="1417" w:bottom="1134" w:left="1417" w:header="709" w:footer="709" w:gutter="0"/>
          <w:cols w:space="720"/>
          <w:docGrid w:linePitch="360"/>
        </w:sectPr>
      </w:pPr>
    </w:p>
    <w:tbl>
      <w:tblPr>
        <w:tblW w:w="15085"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698"/>
        <w:gridCol w:w="839"/>
        <w:gridCol w:w="765"/>
        <w:gridCol w:w="2610"/>
        <w:gridCol w:w="1080"/>
        <w:gridCol w:w="810"/>
        <w:gridCol w:w="630"/>
        <w:gridCol w:w="360"/>
        <w:gridCol w:w="270"/>
        <w:gridCol w:w="720"/>
        <w:gridCol w:w="6244"/>
        <w:gridCol w:w="59"/>
      </w:tblGrid>
      <w:tr>
        <w:trPr>
          <w:gridAfter w:val="1"/>
          <w:wAfter w:w="59" w:type="dxa"/>
          <w:trHeight w:val="309"/>
          <w:tblHeader/>
        </w:trPr>
        <w:tc>
          <w:tcPr>
            <w:tcW w:w="698" w:type="dxa"/>
            <w:tcBorders>
              <w:bottom w:val="nil"/>
            </w:tcBorders>
            <w:shd w:val="clear" w:color="auto" w:fill="C6D9F1" w:themeFill="text2" w:themeFillTint="33"/>
            <w:noWrap/>
          </w:tcPr>
          <w:p>
            <w:pPr>
              <w:spacing w:after="0"/>
              <w:jc w:val="center"/>
              <w:rPr>
                <w:rFonts w:ascii="Times New Roman" w:hAnsi="Times New Roman" w:cs="Times New Roman"/>
                <w:b/>
                <w:noProof/>
                <w:color w:val="000000"/>
                <w:sz w:val="18"/>
                <w:szCs w:val="18"/>
              </w:rPr>
            </w:pPr>
            <w:r>
              <w:rPr>
                <w:rFonts w:ascii="Times New Roman" w:hAnsi="Times New Roman"/>
                <w:b/>
                <w:noProof/>
                <w:color w:val="000000"/>
                <w:sz w:val="18"/>
                <w:szCs w:val="18"/>
              </w:rPr>
              <w:t>Номер</w:t>
            </w:r>
          </w:p>
        </w:tc>
        <w:tc>
          <w:tcPr>
            <w:tcW w:w="839" w:type="dxa"/>
            <w:tcBorders>
              <w:bottom w:val="nil"/>
            </w:tcBorders>
            <w:shd w:val="clear" w:color="auto" w:fill="C6D9F1" w:themeFill="text2" w:themeFillTint="33"/>
            <w:noWrap/>
          </w:tcPr>
          <w:p>
            <w:pPr>
              <w:spacing w:after="0"/>
              <w:jc w:val="center"/>
              <w:rPr>
                <w:rFonts w:ascii="Times New Roman" w:hAnsi="Times New Roman" w:cs="Times New Roman"/>
                <w:b/>
                <w:noProof/>
                <w:color w:val="000000"/>
                <w:sz w:val="18"/>
                <w:szCs w:val="18"/>
              </w:rPr>
            </w:pPr>
            <w:r>
              <w:rPr>
                <w:rFonts w:ascii="Times New Roman" w:hAnsi="Times New Roman"/>
                <w:b/>
                <w:noProof/>
                <w:color w:val="000000"/>
                <w:sz w:val="18"/>
                <w:szCs w:val="18"/>
              </w:rPr>
              <w:t>Мярка</w:t>
            </w:r>
          </w:p>
        </w:tc>
        <w:tc>
          <w:tcPr>
            <w:tcW w:w="765" w:type="dxa"/>
            <w:tcBorders>
              <w:bottom w:val="nil"/>
            </w:tcBorders>
            <w:shd w:val="clear" w:color="auto" w:fill="C6D9F1" w:themeFill="text2" w:themeFillTint="33"/>
            <w:noWrap/>
          </w:tcPr>
          <w:p>
            <w:pPr>
              <w:spacing w:after="0"/>
              <w:jc w:val="center"/>
              <w:rPr>
                <w:rFonts w:ascii="Times New Roman" w:hAnsi="Times New Roman" w:cs="Times New Roman"/>
                <w:b/>
                <w:noProof/>
                <w:color w:val="000000"/>
                <w:sz w:val="18"/>
                <w:szCs w:val="18"/>
              </w:rPr>
            </w:pPr>
            <w:r>
              <w:rPr>
                <w:rFonts w:ascii="Times New Roman" w:hAnsi="Times New Roman"/>
                <w:b/>
                <w:noProof/>
                <w:color w:val="000000"/>
                <w:sz w:val="18"/>
                <w:szCs w:val="18"/>
              </w:rPr>
              <w:t>Ключов етап / Цел</w:t>
            </w:r>
          </w:p>
        </w:tc>
        <w:tc>
          <w:tcPr>
            <w:tcW w:w="2610" w:type="dxa"/>
            <w:tcBorders>
              <w:bottom w:val="nil"/>
            </w:tcBorders>
            <w:shd w:val="clear" w:color="auto" w:fill="C6D9F1" w:themeFill="text2" w:themeFillTint="33"/>
            <w:noWrap/>
          </w:tcPr>
          <w:p>
            <w:pPr>
              <w:spacing w:after="0"/>
              <w:jc w:val="center"/>
              <w:rPr>
                <w:rFonts w:ascii="Times New Roman" w:hAnsi="Times New Roman" w:cs="Times New Roman"/>
                <w:b/>
                <w:noProof/>
                <w:color w:val="000000"/>
                <w:sz w:val="18"/>
                <w:szCs w:val="18"/>
              </w:rPr>
            </w:pPr>
            <w:r>
              <w:rPr>
                <w:rFonts w:ascii="Times New Roman" w:hAnsi="Times New Roman"/>
                <w:b/>
                <w:noProof/>
                <w:color w:val="000000"/>
                <w:sz w:val="18"/>
                <w:szCs w:val="18"/>
              </w:rPr>
              <w:t>Наименование</w:t>
            </w:r>
          </w:p>
        </w:tc>
        <w:tc>
          <w:tcPr>
            <w:tcW w:w="1080" w:type="dxa"/>
            <w:tcBorders>
              <w:bottom w:val="nil"/>
            </w:tcBorders>
            <w:shd w:val="clear" w:color="auto" w:fill="C6D9F1" w:themeFill="text2" w:themeFillTint="33"/>
            <w:noWrap/>
          </w:tcPr>
          <w:p>
            <w:pPr>
              <w:spacing w:after="0"/>
              <w:jc w:val="center"/>
              <w:rPr>
                <w:rFonts w:ascii="Times New Roman" w:hAnsi="Times New Roman" w:cs="Times New Roman"/>
                <w:b/>
                <w:noProof/>
                <w:color w:val="000000"/>
                <w:sz w:val="18"/>
                <w:szCs w:val="18"/>
              </w:rPr>
            </w:pPr>
            <w:r>
              <w:rPr>
                <w:rFonts w:ascii="Times New Roman" w:hAnsi="Times New Roman"/>
                <w:b/>
                <w:noProof/>
                <w:color w:val="000000"/>
                <w:sz w:val="18"/>
                <w:szCs w:val="18"/>
              </w:rPr>
              <w:t>Качествени показатели за ключовите етапи</w:t>
            </w:r>
          </w:p>
        </w:tc>
        <w:tc>
          <w:tcPr>
            <w:tcW w:w="1800" w:type="dxa"/>
            <w:gridSpan w:val="3"/>
            <w:shd w:val="clear" w:color="auto" w:fill="C6D9F1" w:themeFill="text2" w:themeFillTint="33"/>
            <w:noWrap/>
          </w:tcPr>
          <w:p>
            <w:pPr>
              <w:spacing w:after="0"/>
              <w:jc w:val="center"/>
              <w:rPr>
                <w:rFonts w:ascii="Times New Roman" w:hAnsi="Times New Roman" w:cs="Times New Roman"/>
                <w:b/>
                <w:noProof/>
                <w:color w:val="000000"/>
                <w:sz w:val="18"/>
                <w:szCs w:val="18"/>
              </w:rPr>
            </w:pPr>
            <w:r>
              <w:rPr>
                <w:rFonts w:ascii="Times New Roman" w:hAnsi="Times New Roman"/>
                <w:b/>
                <w:noProof/>
                <w:color w:val="000000"/>
                <w:sz w:val="18"/>
                <w:szCs w:val="18"/>
              </w:rPr>
              <w:t>Количествени показатели за целите</w:t>
            </w:r>
          </w:p>
        </w:tc>
        <w:tc>
          <w:tcPr>
            <w:tcW w:w="990" w:type="dxa"/>
            <w:gridSpan w:val="2"/>
            <w:shd w:val="clear" w:color="auto" w:fill="C6D9F1" w:themeFill="text2" w:themeFillTint="33"/>
            <w:noWrap/>
          </w:tcPr>
          <w:p>
            <w:pPr>
              <w:spacing w:after="0"/>
              <w:jc w:val="center"/>
              <w:rPr>
                <w:rFonts w:ascii="Times New Roman" w:hAnsi="Times New Roman" w:cs="Times New Roman"/>
                <w:b/>
                <w:noProof/>
                <w:color w:val="000000"/>
                <w:sz w:val="18"/>
                <w:szCs w:val="18"/>
              </w:rPr>
            </w:pPr>
            <w:r>
              <w:rPr>
                <w:rFonts w:ascii="Times New Roman" w:hAnsi="Times New Roman"/>
                <w:b/>
                <w:noProof/>
                <w:color w:val="000000"/>
                <w:sz w:val="18"/>
                <w:szCs w:val="18"/>
              </w:rPr>
              <w:t>Време</w:t>
            </w:r>
          </w:p>
        </w:tc>
        <w:tc>
          <w:tcPr>
            <w:tcW w:w="6244" w:type="dxa"/>
            <w:tcBorders>
              <w:bottom w:val="nil"/>
            </w:tcBorders>
            <w:shd w:val="clear" w:color="auto" w:fill="C6D9F1" w:themeFill="text2" w:themeFillTint="33"/>
            <w:noWrap/>
          </w:tcPr>
          <w:p>
            <w:pPr>
              <w:spacing w:after="0"/>
              <w:jc w:val="center"/>
              <w:rPr>
                <w:rFonts w:ascii="Times New Roman" w:hAnsi="Times New Roman" w:cs="Times New Roman"/>
                <w:b/>
                <w:noProof/>
                <w:color w:val="000000"/>
                <w:sz w:val="18"/>
                <w:szCs w:val="18"/>
              </w:rPr>
            </w:pPr>
            <w:r>
              <w:rPr>
                <w:rFonts w:ascii="Times New Roman" w:hAnsi="Times New Roman"/>
                <w:b/>
                <w:noProof/>
                <w:sz w:val="18"/>
                <w:szCs w:val="18"/>
              </w:rPr>
              <w:t>Описание на всеки ключов етап и всяка цел</w:t>
            </w:r>
          </w:p>
        </w:tc>
      </w:tr>
      <w:tr>
        <w:trPr>
          <w:gridAfter w:val="1"/>
          <w:wAfter w:w="59" w:type="dxa"/>
          <w:trHeight w:val="309"/>
          <w:tblHeader/>
        </w:trPr>
        <w:tc>
          <w:tcPr>
            <w:tcW w:w="698" w:type="dxa"/>
            <w:tcBorders>
              <w:top w:val="nil"/>
            </w:tcBorders>
            <w:shd w:val="clear" w:color="auto" w:fill="C6D9F1" w:themeFill="text2" w:themeFillTint="33"/>
            <w:noWrap/>
          </w:tcPr>
          <w:p>
            <w:pPr>
              <w:spacing w:after="0"/>
              <w:jc w:val="center"/>
              <w:rPr>
                <w:rFonts w:ascii="Times New Roman" w:hAnsi="Times New Roman" w:cs="Times New Roman"/>
                <w:b/>
                <w:noProof/>
                <w:color w:val="000000"/>
                <w:sz w:val="18"/>
                <w:szCs w:val="18"/>
              </w:rPr>
            </w:pPr>
          </w:p>
        </w:tc>
        <w:tc>
          <w:tcPr>
            <w:tcW w:w="839" w:type="dxa"/>
            <w:tcBorders>
              <w:top w:val="nil"/>
            </w:tcBorders>
            <w:shd w:val="clear" w:color="auto" w:fill="C6D9F1" w:themeFill="text2" w:themeFillTint="33"/>
            <w:noWrap/>
          </w:tcPr>
          <w:p>
            <w:pPr>
              <w:spacing w:after="0"/>
              <w:jc w:val="center"/>
              <w:rPr>
                <w:rFonts w:ascii="Times New Roman" w:hAnsi="Times New Roman" w:cs="Times New Roman"/>
                <w:b/>
                <w:noProof/>
                <w:color w:val="000000"/>
                <w:sz w:val="18"/>
                <w:szCs w:val="18"/>
              </w:rPr>
            </w:pPr>
          </w:p>
        </w:tc>
        <w:tc>
          <w:tcPr>
            <w:tcW w:w="765" w:type="dxa"/>
            <w:tcBorders>
              <w:top w:val="nil"/>
            </w:tcBorders>
            <w:shd w:val="clear" w:color="auto" w:fill="C6D9F1" w:themeFill="text2" w:themeFillTint="33"/>
            <w:noWrap/>
          </w:tcPr>
          <w:p>
            <w:pPr>
              <w:spacing w:after="0"/>
              <w:jc w:val="center"/>
              <w:rPr>
                <w:rFonts w:ascii="Times New Roman" w:hAnsi="Times New Roman" w:cs="Times New Roman"/>
                <w:b/>
                <w:noProof/>
                <w:color w:val="000000"/>
                <w:sz w:val="18"/>
                <w:szCs w:val="18"/>
              </w:rPr>
            </w:pPr>
          </w:p>
        </w:tc>
        <w:tc>
          <w:tcPr>
            <w:tcW w:w="2610" w:type="dxa"/>
            <w:tcBorders>
              <w:top w:val="nil"/>
            </w:tcBorders>
            <w:shd w:val="clear" w:color="auto" w:fill="C6D9F1" w:themeFill="text2" w:themeFillTint="33"/>
            <w:noWrap/>
          </w:tcPr>
          <w:p>
            <w:pPr>
              <w:spacing w:after="0"/>
              <w:rPr>
                <w:rFonts w:ascii="Times New Roman" w:hAnsi="Times New Roman" w:cs="Times New Roman"/>
                <w:b/>
                <w:noProof/>
                <w:color w:val="000000"/>
                <w:sz w:val="18"/>
                <w:szCs w:val="18"/>
              </w:rPr>
            </w:pPr>
          </w:p>
        </w:tc>
        <w:tc>
          <w:tcPr>
            <w:tcW w:w="1080" w:type="dxa"/>
            <w:tcBorders>
              <w:top w:val="nil"/>
            </w:tcBorders>
            <w:shd w:val="clear" w:color="auto" w:fill="C6D9F1" w:themeFill="text2" w:themeFillTint="33"/>
            <w:noWrap/>
          </w:tcPr>
          <w:p>
            <w:pPr>
              <w:spacing w:after="0"/>
              <w:jc w:val="center"/>
              <w:rPr>
                <w:rFonts w:ascii="Times New Roman" w:hAnsi="Times New Roman" w:cs="Times New Roman"/>
                <w:b/>
                <w:noProof/>
                <w:color w:val="000000"/>
                <w:sz w:val="18"/>
                <w:szCs w:val="18"/>
              </w:rPr>
            </w:pPr>
          </w:p>
        </w:tc>
        <w:tc>
          <w:tcPr>
            <w:tcW w:w="810" w:type="dxa"/>
            <w:shd w:val="clear" w:color="auto" w:fill="C6D9F1" w:themeFill="text2" w:themeFillTint="33"/>
            <w:noWrap/>
          </w:tcPr>
          <w:p>
            <w:pPr>
              <w:spacing w:after="0"/>
              <w:jc w:val="center"/>
              <w:rPr>
                <w:rFonts w:ascii="Times New Roman" w:hAnsi="Times New Roman" w:cs="Times New Roman"/>
                <w:b/>
                <w:noProof/>
                <w:color w:val="000000"/>
                <w:sz w:val="18"/>
                <w:szCs w:val="18"/>
              </w:rPr>
            </w:pPr>
            <w:r>
              <w:rPr>
                <w:rFonts w:ascii="Times New Roman" w:hAnsi="Times New Roman"/>
                <w:b/>
                <w:noProof/>
                <w:color w:val="000000"/>
                <w:sz w:val="18"/>
                <w:szCs w:val="18"/>
              </w:rPr>
              <w:t>Мерна единица</w:t>
            </w:r>
          </w:p>
        </w:tc>
        <w:tc>
          <w:tcPr>
            <w:tcW w:w="630" w:type="dxa"/>
            <w:shd w:val="clear" w:color="auto" w:fill="C6D9F1" w:themeFill="text2" w:themeFillTint="33"/>
            <w:noWrap/>
          </w:tcPr>
          <w:p>
            <w:pPr>
              <w:spacing w:after="0"/>
              <w:jc w:val="center"/>
              <w:rPr>
                <w:rFonts w:ascii="Times New Roman" w:hAnsi="Times New Roman" w:cs="Times New Roman"/>
                <w:b/>
                <w:noProof/>
                <w:color w:val="000000"/>
                <w:sz w:val="18"/>
                <w:szCs w:val="18"/>
              </w:rPr>
            </w:pPr>
            <w:r>
              <w:rPr>
                <w:rFonts w:ascii="Times New Roman" w:hAnsi="Times New Roman"/>
                <w:b/>
                <w:noProof/>
                <w:color w:val="000000"/>
                <w:sz w:val="18"/>
                <w:szCs w:val="18"/>
              </w:rPr>
              <w:t>Базова линия</w:t>
            </w:r>
          </w:p>
        </w:tc>
        <w:tc>
          <w:tcPr>
            <w:tcW w:w="360" w:type="dxa"/>
            <w:shd w:val="clear" w:color="auto" w:fill="C6D9F1" w:themeFill="text2" w:themeFillTint="33"/>
            <w:noWrap/>
          </w:tcPr>
          <w:p>
            <w:pPr>
              <w:spacing w:after="0"/>
              <w:jc w:val="center"/>
              <w:rPr>
                <w:rFonts w:ascii="Times New Roman" w:hAnsi="Times New Roman" w:cs="Times New Roman"/>
                <w:b/>
                <w:noProof/>
                <w:color w:val="000000"/>
                <w:spacing w:val="-6"/>
                <w:sz w:val="18"/>
                <w:szCs w:val="18"/>
              </w:rPr>
            </w:pPr>
            <w:r>
              <w:rPr>
                <w:rFonts w:ascii="Times New Roman" w:hAnsi="Times New Roman"/>
                <w:b/>
                <w:noProof/>
                <w:color w:val="000000"/>
                <w:spacing w:val="-6"/>
                <w:sz w:val="18"/>
                <w:szCs w:val="18"/>
              </w:rPr>
              <w:t>Цел</w:t>
            </w:r>
          </w:p>
        </w:tc>
        <w:tc>
          <w:tcPr>
            <w:tcW w:w="270" w:type="dxa"/>
            <w:shd w:val="clear" w:color="auto" w:fill="C6D9F1" w:themeFill="text2" w:themeFillTint="33"/>
            <w:noWrap/>
          </w:tcPr>
          <w:p>
            <w:pPr>
              <w:spacing w:after="0"/>
              <w:jc w:val="center"/>
              <w:rPr>
                <w:rFonts w:ascii="Times New Roman" w:hAnsi="Times New Roman" w:cs="Times New Roman"/>
                <w:b/>
                <w:noProof/>
                <w:color w:val="000000"/>
                <w:sz w:val="18"/>
                <w:szCs w:val="18"/>
              </w:rPr>
            </w:pPr>
            <w:r>
              <w:rPr>
                <w:rFonts w:ascii="Times New Roman" w:hAnsi="Times New Roman"/>
                <w:b/>
                <w:noProof/>
                <w:color w:val="000000"/>
                <w:sz w:val="18"/>
                <w:szCs w:val="18"/>
              </w:rPr>
              <w:t>T</w:t>
            </w:r>
          </w:p>
        </w:tc>
        <w:tc>
          <w:tcPr>
            <w:tcW w:w="720" w:type="dxa"/>
            <w:shd w:val="clear" w:color="auto" w:fill="C6D9F1" w:themeFill="text2" w:themeFillTint="33"/>
            <w:noWrap/>
          </w:tcPr>
          <w:p>
            <w:pPr>
              <w:spacing w:after="0"/>
              <w:jc w:val="center"/>
              <w:rPr>
                <w:rFonts w:ascii="Times New Roman" w:hAnsi="Times New Roman" w:cs="Times New Roman"/>
                <w:b/>
                <w:noProof/>
                <w:color w:val="000000"/>
                <w:sz w:val="18"/>
                <w:szCs w:val="18"/>
              </w:rPr>
            </w:pPr>
            <w:r>
              <w:rPr>
                <w:rFonts w:ascii="Times New Roman" w:hAnsi="Times New Roman"/>
                <w:b/>
                <w:noProof/>
                <w:color w:val="000000"/>
                <w:sz w:val="18"/>
                <w:szCs w:val="18"/>
              </w:rPr>
              <w:t>Година</w:t>
            </w:r>
          </w:p>
        </w:tc>
        <w:tc>
          <w:tcPr>
            <w:tcW w:w="6244" w:type="dxa"/>
            <w:tcBorders>
              <w:top w:val="nil"/>
            </w:tcBorders>
            <w:shd w:val="clear" w:color="auto" w:fill="C6D9F1" w:themeFill="text2" w:themeFillTint="33"/>
            <w:noWrap/>
          </w:tcPr>
          <w:p>
            <w:pPr>
              <w:spacing w:after="0"/>
              <w:rPr>
                <w:rFonts w:ascii="Times New Roman" w:hAnsi="Times New Roman" w:cs="Times New Roman"/>
                <w:b/>
                <w:noProof/>
                <w:color w:val="000000"/>
                <w:sz w:val="18"/>
                <w:szCs w:val="18"/>
                <w:lang w:val="en-IE"/>
              </w:rPr>
            </w:pPr>
          </w:p>
        </w:tc>
      </w:tr>
      <w:tr>
        <w:trPr>
          <w:trHeight w:val="309"/>
        </w:trPr>
        <w:tc>
          <w:tcPr>
            <w:tcW w:w="698"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385</w:t>
            </w:r>
          </w:p>
        </w:tc>
        <w:tc>
          <w:tcPr>
            <w:tcW w:w="839"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C28.R1</w:t>
            </w:r>
          </w:p>
        </w:tc>
        <w:tc>
          <w:tcPr>
            <w:tcW w:w="765"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2610" w:type="dxa"/>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szCs w:val="18"/>
              </w:rPr>
              <w:t>Фискални мерки, приети през 2020 г. и 2021 г. за смекчаване на последиците от пандемията от COVID-19.</w:t>
            </w:r>
          </w:p>
        </w:tc>
        <w:tc>
          <w:tcPr>
            <w:tcW w:w="1080"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Разпоредби на законите и кралски декрет-закони, с които се посочва тяхното влизане в сила </w:t>
            </w:r>
          </w:p>
        </w:tc>
        <w:tc>
          <w:tcPr>
            <w:tcW w:w="810"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630" w:type="dxa"/>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360" w:type="dxa"/>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270"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T1</w:t>
            </w:r>
          </w:p>
        </w:tc>
        <w:tc>
          <w:tcPr>
            <w:tcW w:w="720"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2021</w:t>
            </w:r>
          </w:p>
        </w:tc>
        <w:tc>
          <w:tcPr>
            <w:tcW w:w="6303" w:type="dxa"/>
            <w:gridSpan w:val="2"/>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szCs w:val="18"/>
              </w:rPr>
              <w:t>Влизане в сила на данъчните мерки, приети през 2020 г. и 2021 г. за смекчаване на неблагоприятните икономически и социални последици от пандемията от COVID-19:</w:t>
            </w:r>
            <w:r>
              <w:rPr>
                <w:rFonts w:ascii="Times New Roman" w:hAnsi="Times New Roman"/>
                <w:noProof/>
                <w:color w:val="000000"/>
                <w:sz w:val="18"/>
                <w:szCs w:val="18"/>
              </w:rPr>
              <w:br/>
              <w:t>1. Преходни наредби: Различни кралски укази-закони, одобрени от правителството от началото на пандемията от COVID— 19.</w:t>
            </w:r>
            <w:r>
              <w:rPr>
                <w:rFonts w:ascii="Times New Roman" w:hAnsi="Times New Roman"/>
                <w:noProof/>
                <w:color w:val="000000"/>
                <w:sz w:val="18"/>
                <w:szCs w:val="18"/>
              </w:rPr>
              <w:br/>
              <w:t>2. Изменение на държавните разпоредби:</w:t>
            </w:r>
            <w:r>
              <w:rPr>
                <w:rFonts w:ascii="Times New Roman" w:hAnsi="Times New Roman"/>
                <w:noProof/>
                <w:color w:val="000000"/>
                <w:sz w:val="18"/>
                <w:szCs w:val="18"/>
              </w:rPr>
              <w:br/>
              <w:t>- Кралски законодателен указ 1/1993 от 24 септември, с който се одобрява консолидираният текст на Закона за данъка върху имуществените преводи и документираните правни актове.</w:t>
            </w:r>
            <w:r>
              <w:rPr>
                <w:rFonts w:ascii="Times New Roman" w:hAnsi="Times New Roman"/>
                <w:noProof/>
                <w:color w:val="000000"/>
                <w:sz w:val="18"/>
                <w:szCs w:val="18"/>
              </w:rPr>
              <w:br/>
              <w:t>- Закон 37/1992 от 28 декември за данъка върху добавената стойност.</w:t>
            </w:r>
            <w:r>
              <w:rPr>
                <w:rFonts w:ascii="Times New Roman" w:hAnsi="Times New Roman"/>
                <w:noProof/>
                <w:color w:val="000000"/>
                <w:sz w:val="18"/>
                <w:szCs w:val="18"/>
              </w:rPr>
              <w:br/>
              <w:t>- Закон 49/2002 от 23 декември относно данъчния режим на организациите с нестопанска цел и относно данъчните стимули за патронаж.</w:t>
            </w:r>
            <w:r>
              <w:rPr>
                <w:rFonts w:ascii="Times New Roman" w:hAnsi="Times New Roman"/>
                <w:noProof/>
                <w:color w:val="000000"/>
                <w:sz w:val="18"/>
                <w:szCs w:val="18"/>
              </w:rPr>
              <w:br/>
              <w:t>- Закон 58/2003 от 17 декември за общия данък.</w:t>
            </w:r>
            <w:r>
              <w:rPr>
                <w:rFonts w:ascii="Times New Roman" w:hAnsi="Times New Roman"/>
                <w:noProof/>
                <w:color w:val="000000"/>
                <w:sz w:val="18"/>
                <w:szCs w:val="18"/>
              </w:rPr>
              <w:br/>
              <w:t>- Закон 35/2006 от 28 ноември за данъка върху доходите на физическите лица</w:t>
            </w:r>
          </w:p>
        </w:tc>
      </w:tr>
      <w:tr>
        <w:trPr>
          <w:trHeight w:val="309"/>
        </w:trPr>
        <w:tc>
          <w:tcPr>
            <w:tcW w:w="698"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386</w:t>
            </w:r>
          </w:p>
        </w:tc>
        <w:tc>
          <w:tcPr>
            <w:tcW w:w="839"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C28.R2</w:t>
            </w:r>
          </w:p>
        </w:tc>
        <w:tc>
          <w:tcPr>
            <w:tcW w:w="765"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2610" w:type="dxa"/>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szCs w:val="18"/>
              </w:rPr>
              <w:t>Преглед и изменения на данъчните облекчения</w:t>
            </w:r>
          </w:p>
        </w:tc>
        <w:tc>
          <w:tcPr>
            <w:tcW w:w="1080"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Разпоредби за реформите, в които се посочва влизането им в сила, и публикуване на уебсайта за финансите на препоръките на работната група</w:t>
            </w:r>
          </w:p>
        </w:tc>
        <w:tc>
          <w:tcPr>
            <w:tcW w:w="810"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630" w:type="dxa"/>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360" w:type="dxa"/>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270"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T1</w:t>
            </w:r>
          </w:p>
        </w:tc>
        <w:tc>
          <w:tcPr>
            <w:tcW w:w="720"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2023</w:t>
            </w:r>
          </w:p>
        </w:tc>
        <w:tc>
          <w:tcPr>
            <w:tcW w:w="6303" w:type="dxa"/>
            <w:gridSpan w:val="2"/>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Влизане в сила на регулаторните реформи, необходими за изпълнение на препоръките на работната група за изменение или премахване на 15 данъчни облекчения. Данъчните облекчения се подбират от гледна точка на тяхното количествено и качествено значение и се оценяват съгласно методологията AIReF. Регулаторните реформи имат за цел да направят данъчната система по-ефективна, да увеличат приходите, да подпомогнат екологичния преход и да насърчат справедливостта. </w:t>
            </w:r>
          </w:p>
        </w:tc>
      </w:tr>
      <w:tr>
        <w:trPr>
          <w:trHeight w:val="309"/>
        </w:trPr>
        <w:tc>
          <w:tcPr>
            <w:tcW w:w="698"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387</w:t>
            </w:r>
          </w:p>
        </w:tc>
        <w:tc>
          <w:tcPr>
            <w:tcW w:w="839"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C28.R3</w:t>
            </w:r>
          </w:p>
        </w:tc>
        <w:tc>
          <w:tcPr>
            <w:tcW w:w="765"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2610" w:type="dxa"/>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szCs w:val="18"/>
              </w:rPr>
              <w:t>Назначаване на Комитета от експерти от държавния секретар на финансите.</w:t>
            </w:r>
          </w:p>
        </w:tc>
        <w:tc>
          <w:tcPr>
            <w:tcW w:w="1080"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Публикуване на уебстраница</w:t>
            </w:r>
          </w:p>
        </w:tc>
        <w:tc>
          <w:tcPr>
            <w:tcW w:w="810"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630" w:type="dxa"/>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360" w:type="dxa"/>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270"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T2</w:t>
            </w:r>
          </w:p>
        </w:tc>
        <w:tc>
          <w:tcPr>
            <w:tcW w:w="720"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2021</w:t>
            </w:r>
          </w:p>
        </w:tc>
        <w:tc>
          <w:tcPr>
            <w:tcW w:w="6303" w:type="dxa"/>
            <w:gridSpan w:val="2"/>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szCs w:val="18"/>
              </w:rPr>
              <w:t>Назначаване на експертна комисия, която да ръководи реформата на данъчната система. Комитетът отговаря за извършването на технически анализ на необходимите реформи, като взема предвид настоящия сценарий, както и очакваната ситуация в средносрочен и дългосрочен план, като обръща специално внимание на следните области: екологично данъчно облагане, корпоративно данъчно облагане, данъчно облагане на цифровата икономика, данъчно облагане на богатството и конкретна хармонизация в тази област, данъчно облагане на нововъзникващи икономически дейности.</w:t>
            </w:r>
          </w:p>
        </w:tc>
      </w:tr>
      <w:tr>
        <w:trPr>
          <w:trHeight w:val="309"/>
        </w:trPr>
        <w:tc>
          <w:tcPr>
            <w:tcW w:w="698"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388</w:t>
            </w:r>
          </w:p>
        </w:tc>
        <w:tc>
          <w:tcPr>
            <w:tcW w:w="839"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C28.R3</w:t>
            </w:r>
          </w:p>
        </w:tc>
        <w:tc>
          <w:tcPr>
            <w:tcW w:w="765"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2610" w:type="dxa"/>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szCs w:val="18"/>
              </w:rPr>
              <w:t>Влизане в сила на реформите, произтичащи от препоръките на Комитета</w:t>
            </w:r>
          </w:p>
        </w:tc>
        <w:tc>
          <w:tcPr>
            <w:tcW w:w="1080"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Разпоредби на реформите, указващи влизането им в сила </w:t>
            </w:r>
          </w:p>
        </w:tc>
        <w:tc>
          <w:tcPr>
            <w:tcW w:w="810"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630" w:type="dxa"/>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360" w:type="dxa"/>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270"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T1</w:t>
            </w:r>
          </w:p>
        </w:tc>
        <w:tc>
          <w:tcPr>
            <w:tcW w:w="720"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2023</w:t>
            </w:r>
          </w:p>
        </w:tc>
        <w:tc>
          <w:tcPr>
            <w:tcW w:w="6303" w:type="dxa"/>
            <w:gridSpan w:val="2"/>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szCs w:val="18"/>
              </w:rPr>
              <w:t>Влизане в сила на реформите, произтичащи от препоръките на Комитета на експертите, свързани с различните елементи на испанската данъчна система, с цел да се доближи съотношението на държавните приходи към БВП на Испания към средното за ЕС, да се гарантира минимално корпоративно подоходно облагане, да се направи данъчната система по-ефективна, да се модернизира и адаптира към новите тенденции, включително перспективата за равенство между половете, като се постави акцент върху екологичното данъчно облагане, корпоративното данъчно облагане, данъчното облагане на цифровизираната икономика, хармонизирането на данъчното облагане на богатството и данъчното облагане на нововъзникващи икономически дейности. Реформите се придружават и от анализ на въздействието им върху разпределението, като се обръща специално внимание на семействата с деца.</w:t>
            </w:r>
          </w:p>
        </w:tc>
      </w:tr>
      <w:tr>
        <w:trPr>
          <w:trHeight w:val="309"/>
        </w:trPr>
        <w:tc>
          <w:tcPr>
            <w:tcW w:w="698"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389</w:t>
            </w:r>
          </w:p>
        </w:tc>
        <w:tc>
          <w:tcPr>
            <w:tcW w:w="839"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C28.R4</w:t>
            </w:r>
          </w:p>
        </w:tc>
        <w:tc>
          <w:tcPr>
            <w:tcW w:w="765"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2610" w:type="dxa"/>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szCs w:val="18"/>
              </w:rPr>
              <w:t>Данъци върху пластмасовите изделия и отпадъците за еднократна употреба</w:t>
            </w:r>
          </w:p>
        </w:tc>
        <w:tc>
          <w:tcPr>
            <w:tcW w:w="1080"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Разпоредба от закона, в която се посочва влизането му в сила </w:t>
            </w:r>
          </w:p>
        </w:tc>
        <w:tc>
          <w:tcPr>
            <w:tcW w:w="810"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630" w:type="dxa"/>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360" w:type="dxa"/>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270"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T3</w:t>
            </w:r>
          </w:p>
        </w:tc>
        <w:tc>
          <w:tcPr>
            <w:tcW w:w="720"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2021 г.</w:t>
            </w:r>
          </w:p>
        </w:tc>
        <w:tc>
          <w:tcPr>
            <w:tcW w:w="6303" w:type="dxa"/>
            <w:gridSpan w:val="2"/>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szCs w:val="18"/>
              </w:rPr>
              <w:t>Влизане в сила на Закона за регулиране на данъците върху пластмасите и депонирането и изгарянето на отпадъци с цел насърчаване на кръговата икономика и намаляване на използването на пластмаси за еднократна употреба.</w:t>
            </w:r>
          </w:p>
        </w:tc>
      </w:tr>
      <w:tr>
        <w:trPr>
          <w:trHeight w:val="309"/>
        </w:trPr>
        <w:tc>
          <w:tcPr>
            <w:tcW w:w="698"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390</w:t>
            </w:r>
          </w:p>
        </w:tc>
        <w:tc>
          <w:tcPr>
            <w:tcW w:w="839"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C28.R4</w:t>
            </w:r>
          </w:p>
        </w:tc>
        <w:tc>
          <w:tcPr>
            <w:tcW w:w="765"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2610" w:type="dxa"/>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szCs w:val="18"/>
              </w:rPr>
              <w:t>Анализ на данъка за регистрация на превозни средства и данъка за движение по пътищата</w:t>
            </w:r>
          </w:p>
        </w:tc>
        <w:tc>
          <w:tcPr>
            <w:tcW w:w="1080"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Публикуване на уебстраница</w:t>
            </w:r>
          </w:p>
        </w:tc>
        <w:tc>
          <w:tcPr>
            <w:tcW w:w="810"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630" w:type="dxa"/>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360" w:type="dxa"/>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270"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T1</w:t>
            </w:r>
          </w:p>
        </w:tc>
        <w:tc>
          <w:tcPr>
            <w:tcW w:w="720"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2022</w:t>
            </w:r>
          </w:p>
        </w:tc>
        <w:tc>
          <w:tcPr>
            <w:tcW w:w="6303" w:type="dxa"/>
            <w:gridSpan w:val="2"/>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Реформата предвижда анализ на данъка за регистрация на превозните средства, данъка за движение по пътищата или плащания като пътни такси. Въз основа на този анализ се обмисля преразглеждане на закона с цел насърчаване на по-устойчив автомобилен транспорт и намаляване на емисиите на парникови газове. </w:t>
            </w:r>
          </w:p>
        </w:tc>
      </w:tr>
      <w:tr>
        <w:trPr>
          <w:trHeight w:val="309"/>
        </w:trPr>
        <w:tc>
          <w:tcPr>
            <w:tcW w:w="698"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391</w:t>
            </w:r>
          </w:p>
        </w:tc>
        <w:tc>
          <w:tcPr>
            <w:tcW w:w="839"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C28.R4</w:t>
            </w:r>
          </w:p>
        </w:tc>
        <w:tc>
          <w:tcPr>
            <w:tcW w:w="765"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2610" w:type="dxa"/>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Влизане в сила на реформата на данъка върху флуорираните газове </w:t>
            </w:r>
          </w:p>
        </w:tc>
        <w:tc>
          <w:tcPr>
            <w:tcW w:w="1080"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Разпоредба от закона, в която се посочва влизането му в сила </w:t>
            </w:r>
          </w:p>
        </w:tc>
        <w:tc>
          <w:tcPr>
            <w:tcW w:w="810"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630" w:type="dxa"/>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360" w:type="dxa"/>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270"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T2</w:t>
            </w:r>
          </w:p>
        </w:tc>
        <w:tc>
          <w:tcPr>
            <w:tcW w:w="720"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2022 г.</w:t>
            </w:r>
          </w:p>
        </w:tc>
        <w:tc>
          <w:tcPr>
            <w:tcW w:w="6303" w:type="dxa"/>
            <w:gridSpan w:val="2"/>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Влизане в сила на реформата на данъка върху флуорсъдържащите газове, за да се предотврати тяхното използване и да се намали избягването на данъци. </w:t>
            </w:r>
          </w:p>
        </w:tc>
      </w:tr>
      <w:tr>
        <w:trPr>
          <w:trHeight w:val="309"/>
        </w:trPr>
        <w:tc>
          <w:tcPr>
            <w:tcW w:w="698"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392</w:t>
            </w:r>
          </w:p>
        </w:tc>
        <w:tc>
          <w:tcPr>
            <w:tcW w:w="839"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C28.R5</w:t>
            </w:r>
          </w:p>
        </w:tc>
        <w:tc>
          <w:tcPr>
            <w:tcW w:w="765"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2610" w:type="dxa"/>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szCs w:val="18"/>
              </w:rPr>
              <w:t>Данък върху цифровите услуги</w:t>
            </w:r>
          </w:p>
        </w:tc>
        <w:tc>
          <w:tcPr>
            <w:tcW w:w="1080"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Разпоредба от закона, в която се посочва влизането му в сила </w:t>
            </w:r>
          </w:p>
        </w:tc>
        <w:tc>
          <w:tcPr>
            <w:tcW w:w="810"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630" w:type="dxa"/>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360" w:type="dxa"/>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270"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T1</w:t>
            </w:r>
          </w:p>
        </w:tc>
        <w:tc>
          <w:tcPr>
            <w:tcW w:w="720"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2021</w:t>
            </w:r>
          </w:p>
        </w:tc>
        <w:tc>
          <w:tcPr>
            <w:tcW w:w="6303" w:type="dxa"/>
            <w:gridSpan w:val="2"/>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Влизане в сила на Закона за някои данъци върху цифровите услуги </w:t>
            </w:r>
            <w:r>
              <w:rPr>
                <w:rFonts w:ascii="Times New Roman" w:hAnsi="Times New Roman"/>
                <w:i/>
                <w:noProof/>
                <w:color w:val="000000"/>
                <w:sz w:val="18"/>
                <w:szCs w:val="18"/>
              </w:rPr>
              <w:t>(Ley 4/2020, de 15 de octubre, del Impuesto sobre Determinados Servicios Digitales</w:t>
            </w:r>
            <w:r>
              <w:rPr>
                <w:rFonts w:ascii="Times New Roman" w:hAnsi="Times New Roman"/>
                <w:noProof/>
                <w:color w:val="000000"/>
                <w:sz w:val="18"/>
                <w:szCs w:val="18"/>
              </w:rPr>
              <w:t>), за да се генерират нови източници на приходи за правителството въз основа на нововъзникващите стопански сектори, като същевременно данъчната система се развива по съгласуван начин и когато е уместно в международен контекст.</w:t>
            </w:r>
          </w:p>
        </w:tc>
      </w:tr>
      <w:tr>
        <w:trPr>
          <w:trHeight w:val="309"/>
        </w:trPr>
        <w:tc>
          <w:tcPr>
            <w:tcW w:w="698"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393</w:t>
            </w:r>
          </w:p>
        </w:tc>
        <w:tc>
          <w:tcPr>
            <w:tcW w:w="839"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C28.R6</w:t>
            </w:r>
          </w:p>
        </w:tc>
        <w:tc>
          <w:tcPr>
            <w:tcW w:w="765"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2610" w:type="dxa"/>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szCs w:val="18"/>
              </w:rPr>
              <w:t>Данък върху финансовите сделки</w:t>
            </w:r>
          </w:p>
        </w:tc>
        <w:tc>
          <w:tcPr>
            <w:tcW w:w="1080"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Разпоредба от закона, в която се посочва влизането му в сила </w:t>
            </w:r>
          </w:p>
        </w:tc>
        <w:tc>
          <w:tcPr>
            <w:tcW w:w="810"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630" w:type="dxa"/>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360" w:type="dxa"/>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270"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T1</w:t>
            </w:r>
          </w:p>
        </w:tc>
        <w:tc>
          <w:tcPr>
            <w:tcW w:w="720"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2021</w:t>
            </w:r>
          </w:p>
        </w:tc>
        <w:tc>
          <w:tcPr>
            <w:tcW w:w="6303" w:type="dxa"/>
            <w:gridSpan w:val="2"/>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szCs w:val="18"/>
              </w:rPr>
              <w:t>Влизане в сила на Закона за данъка върху финансовите сделки (</w:t>
            </w:r>
            <w:r>
              <w:rPr>
                <w:rFonts w:ascii="Times New Roman" w:hAnsi="Times New Roman"/>
                <w:i/>
                <w:noProof/>
                <w:color w:val="000000"/>
                <w:sz w:val="18"/>
                <w:szCs w:val="18"/>
              </w:rPr>
              <w:t>Ley 5/2020, de 15 de octubre, del Impuesto sobre las Transacciones Financieras</w:t>
            </w:r>
            <w:r>
              <w:rPr>
                <w:rFonts w:ascii="Times New Roman" w:hAnsi="Times New Roman"/>
                <w:noProof/>
                <w:color w:val="000000"/>
                <w:sz w:val="18"/>
                <w:szCs w:val="18"/>
              </w:rPr>
              <w:t>), за да се генерират нови източници на приходи за правителството, като същевременно данъчната система се развива по съгласуван начин и когато е уместно в международен контекст.</w:t>
            </w:r>
          </w:p>
        </w:tc>
      </w:tr>
      <w:tr>
        <w:trPr>
          <w:trHeight w:val="309"/>
        </w:trPr>
        <w:tc>
          <w:tcPr>
            <w:tcW w:w="698"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394</w:t>
            </w:r>
          </w:p>
        </w:tc>
        <w:tc>
          <w:tcPr>
            <w:tcW w:w="839"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C28.R7</w:t>
            </w:r>
          </w:p>
        </w:tc>
        <w:tc>
          <w:tcPr>
            <w:tcW w:w="765"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2610" w:type="dxa"/>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szCs w:val="18"/>
              </w:rPr>
              <w:t>Изменения на данъка върху доходите на физическите лица и данъка върху имуществото през 2021 г.</w:t>
            </w:r>
          </w:p>
        </w:tc>
        <w:tc>
          <w:tcPr>
            <w:tcW w:w="1080"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Разпоредба на Закона за бюджета, в която се посочва влизането му в сила </w:t>
            </w:r>
          </w:p>
        </w:tc>
        <w:tc>
          <w:tcPr>
            <w:tcW w:w="810"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630" w:type="dxa"/>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360" w:type="dxa"/>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270"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T1</w:t>
            </w:r>
          </w:p>
        </w:tc>
        <w:tc>
          <w:tcPr>
            <w:tcW w:w="720"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2021</w:t>
            </w:r>
          </w:p>
        </w:tc>
        <w:tc>
          <w:tcPr>
            <w:tcW w:w="6303" w:type="dxa"/>
            <w:gridSpan w:val="2"/>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szCs w:val="18"/>
              </w:rPr>
              <w:t>Влизане в сила на измененията, въведени със Закона за бюджета за 2021 г., и на разпоредбите за развитие, свързани с данъка върху доходите на физическите лица и данъка върху имуществото, за да се намали държавният дефицит и да се направи данъчното облагане на доходите на физическите лица по-прогресивно.</w:t>
            </w:r>
          </w:p>
        </w:tc>
      </w:tr>
      <w:tr>
        <w:trPr>
          <w:trHeight w:val="309"/>
        </w:trPr>
        <w:tc>
          <w:tcPr>
            <w:tcW w:w="698"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395</w:t>
            </w:r>
          </w:p>
        </w:tc>
        <w:tc>
          <w:tcPr>
            <w:tcW w:w="839"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C28.R8</w:t>
            </w:r>
          </w:p>
        </w:tc>
        <w:tc>
          <w:tcPr>
            <w:tcW w:w="765"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2610" w:type="dxa"/>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szCs w:val="18"/>
              </w:rPr>
              <w:t>Промени в корпоративното подоходно облагане през 2021 г.</w:t>
            </w:r>
          </w:p>
        </w:tc>
        <w:tc>
          <w:tcPr>
            <w:tcW w:w="1080"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Разпоредба на Закона за бюджета, в която се посочва влизането му в сила </w:t>
            </w:r>
          </w:p>
        </w:tc>
        <w:tc>
          <w:tcPr>
            <w:tcW w:w="810"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630" w:type="dxa"/>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360" w:type="dxa"/>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270"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T1</w:t>
            </w:r>
          </w:p>
        </w:tc>
        <w:tc>
          <w:tcPr>
            <w:tcW w:w="720"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2021</w:t>
            </w:r>
          </w:p>
        </w:tc>
        <w:tc>
          <w:tcPr>
            <w:tcW w:w="6303" w:type="dxa"/>
            <w:gridSpan w:val="2"/>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szCs w:val="18"/>
              </w:rPr>
              <w:t>Влизане в сила на измененията, въведени със Закона за бюджета за 2021 г., и на разпоредбите за развитие, свързани с корпоративното подоходно облагане, с цел увеличаване на приходите от корпоративен данък.</w:t>
            </w:r>
          </w:p>
        </w:tc>
      </w:tr>
      <w:tr>
        <w:trPr>
          <w:trHeight w:val="309"/>
        </w:trPr>
        <w:tc>
          <w:tcPr>
            <w:tcW w:w="698"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396</w:t>
            </w:r>
          </w:p>
        </w:tc>
        <w:tc>
          <w:tcPr>
            <w:tcW w:w="839"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C28.R9</w:t>
            </w:r>
          </w:p>
        </w:tc>
        <w:tc>
          <w:tcPr>
            <w:tcW w:w="765"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2610" w:type="dxa"/>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szCs w:val="18"/>
              </w:rPr>
              <w:t>Изменения на косвените данъци през 2021 г.</w:t>
            </w:r>
          </w:p>
        </w:tc>
        <w:tc>
          <w:tcPr>
            <w:tcW w:w="1080"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Разпоредба на Закона за бюджета, в която се посочва влизането му в сила </w:t>
            </w:r>
          </w:p>
        </w:tc>
        <w:tc>
          <w:tcPr>
            <w:tcW w:w="810"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630" w:type="dxa"/>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360" w:type="dxa"/>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270"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T1</w:t>
            </w:r>
          </w:p>
        </w:tc>
        <w:tc>
          <w:tcPr>
            <w:tcW w:w="720"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2021</w:t>
            </w:r>
          </w:p>
        </w:tc>
        <w:tc>
          <w:tcPr>
            <w:tcW w:w="6303" w:type="dxa"/>
            <w:gridSpan w:val="2"/>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szCs w:val="18"/>
              </w:rPr>
              <w:t>Влизане в сила на измененията, въведени със Закона за бюджета за 2021 г., и на разпоредбите за развитие, свързани с косвените данъци, с цел насърчаване на по-здравословни хранителни режими чрез намаляване на потреблението на някои захарни напитки и увеличаване на приходите на централното държавно управление чрез увеличаване на данъка върху застрахователните премии.</w:t>
            </w:r>
          </w:p>
        </w:tc>
      </w:tr>
    </w:tbl>
    <w:p>
      <w:pPr>
        <w:pStyle w:val="SectionTitle"/>
        <w:jc w:val="left"/>
        <w:rPr>
          <w:noProof/>
        </w:rPr>
        <w:sectPr>
          <w:headerReference w:type="even" r:id="rId349"/>
          <w:headerReference w:type="default" r:id="rId350"/>
          <w:footerReference w:type="even" r:id="rId351"/>
          <w:footerReference w:type="default" r:id="rId352"/>
          <w:headerReference w:type="first" r:id="rId353"/>
          <w:footerReference w:type="first" r:id="rId354"/>
          <w:pgSz w:w="16839" w:h="11907" w:orient="landscape"/>
          <w:pgMar w:top="1417" w:right="1134" w:bottom="1417" w:left="1134" w:header="709" w:footer="709" w:gutter="0"/>
          <w:cols w:space="720"/>
          <w:docGrid w:linePitch="360"/>
        </w:sectPr>
      </w:pPr>
    </w:p>
    <w:p>
      <w:pPr>
        <w:pStyle w:val="Heading1"/>
        <w:rPr>
          <w:noProof/>
        </w:rPr>
      </w:pPr>
      <w:r>
        <w:rPr>
          <w:noProof/>
        </w:rPr>
        <w:t>АВ. КОМПОНЕНТ 29: Подобряване на ефективността на публичните разходи</w:t>
      </w:r>
    </w:p>
    <w:p>
      <w:pPr>
        <w:pStyle w:val="Text1"/>
        <w:ind w:left="0"/>
        <w:rPr>
          <w:noProof/>
        </w:rPr>
      </w:pPr>
      <w:r>
        <w:rPr>
          <w:noProof/>
        </w:rPr>
        <w:t xml:space="preserve">Реформите в компонент 29 от испанския план за възстановяване и устойчивост имат за цел i) подобряване на ефективността на публичните разходи чрез укрепване на рамката и практиките за преглед на разходите и ii) привеждане на бюджета на централното правителство в съответствие с целите за устойчиво развитие и принципите на „зелено“ бюджетиране. </w:t>
      </w:r>
    </w:p>
    <w:p>
      <w:pPr>
        <w:pStyle w:val="Text1"/>
        <w:ind w:left="0"/>
        <w:rPr>
          <w:noProof/>
        </w:rPr>
      </w:pPr>
      <w:r>
        <w:rPr>
          <w:noProof/>
        </w:rPr>
        <w:t xml:space="preserve">Целта на компонента на плана е да се подобри качеството на публичните разходи, по-специално чрез преразглеждане на техния състав и пренасочване на използването им, да се подпомогне икономическият растеж и създаването на работни места и в крайна сметка да се повиши стабилността на публичните финанси и публичният дълг да станат по-устойчиви в средносрочен план. Реформите са насочени и към преодоляване на предизвикателствата, породени от новата икономическа и социална реалност.  </w:t>
      </w:r>
    </w:p>
    <w:p>
      <w:pPr>
        <w:pStyle w:val="Text1"/>
        <w:ind w:left="0"/>
        <w:rPr>
          <w:noProof/>
        </w:rPr>
      </w:pPr>
      <w:r>
        <w:rPr>
          <w:noProof/>
        </w:rPr>
        <w:t>Компонентът е насочен към специфичната за всяка държава препоръка относно – когато икономическите условия позволяват това – провеждането на фискални политики, насочени към постигане на разумни средносрочни бюджетни позиции и осигуряване на устойчивост на дълга, като същевременно се насърчават инвестициите (специфичната за държавата препоръка 1 2020 г.).</w:t>
      </w:r>
    </w:p>
    <w:p>
      <w:pPr>
        <w:pStyle w:val="Text1"/>
        <w:ind w:left="0"/>
        <w:rPr>
          <w:noProof/>
        </w:rPr>
      </w:pPr>
      <w:r>
        <w:rPr>
          <w:noProof/>
          <w:color w:val="000000" w:themeColor="text1"/>
        </w:rPr>
        <w:t>Очаква се, че нито една мярка в този компонент не вреди в значителна степен на екологичните цели по смисъла на член 17 от Регламент (ЕС) 2020/852, като се вземат предвид описанието на мерките и стъпките за смекчаване на последиците, определени в плана за възстановяване и устойчивост в съответствие с Техническите насоки за спазването на „принципа за ненанасяне на съществена вреда“ (2021/C58/01).</w:t>
      </w:r>
    </w:p>
    <w:p>
      <w:pPr>
        <w:pStyle w:val="Text1"/>
        <w:ind w:left="709"/>
        <w:rPr>
          <w:noProof/>
        </w:rPr>
      </w:pPr>
      <w:r>
        <w:rPr>
          <w:b/>
          <w:bCs/>
          <w:noProof/>
          <w:u w:val="single"/>
        </w:rPr>
        <w:t xml:space="preserve">AВ.1. </w:t>
      </w:r>
      <w:r>
        <w:rPr>
          <w:b/>
          <w:noProof/>
          <w:u w:val="single"/>
        </w:rPr>
        <w:tab/>
      </w:r>
      <w:r>
        <w:rPr>
          <w:b/>
          <w:bCs/>
          <w:noProof/>
          <w:u w:val="single"/>
        </w:rPr>
        <w:t>Описание на реформите и инвестициите за безвъзмездна финансова подкрепа</w:t>
      </w:r>
    </w:p>
    <w:p>
      <w:pPr>
        <w:pStyle w:val="Text1"/>
        <w:ind w:left="0"/>
        <w:rPr>
          <w:noProof/>
          <w:u w:val="single"/>
        </w:rPr>
      </w:pPr>
      <w:r>
        <w:rPr>
          <w:noProof/>
          <w:u w:val="single"/>
        </w:rPr>
        <w:t>Реформа 1 (C29.R1) – Преглед и оценка на публичните разходи</w:t>
      </w:r>
    </w:p>
    <w:p>
      <w:pPr>
        <w:pStyle w:val="Text1"/>
        <w:ind w:left="0"/>
        <w:rPr>
          <w:noProof/>
        </w:rPr>
      </w:pPr>
      <w:r>
        <w:rPr>
          <w:noProof/>
        </w:rPr>
        <w:t>Целта на тази реформа е да се създаде постоянна рамка, която да гарантира подобряване на качеството на публичните разходи, да укрепи фискалната стабилност и устойчивостта на публичните финанси. Тази реформа съдържа четири поделемента:</w:t>
      </w:r>
    </w:p>
    <w:p>
      <w:pPr>
        <w:pStyle w:val="Text1"/>
        <w:numPr>
          <w:ilvl w:val="0"/>
          <w:numId w:val="122"/>
        </w:numPr>
        <w:rPr>
          <w:noProof/>
        </w:rPr>
      </w:pPr>
      <w:r>
        <w:rPr>
          <w:noProof/>
        </w:rPr>
        <w:t xml:space="preserve">Включване в процеса на вземане на решения на препоръките от прегледа на разходите за периода 2018—2020 г. (фаза I и етап II): За да се постигне ефективно проследяване на препоръките от фази I и II, на бюджетните звена, на които са дадени препоръки, се дава срок за отговор на тези препоръки в съответствие с принципа „изпълнение или обяснение“. От Министерството на финансите се очаква да бъде натоварено да наблюдава последващите действия и да изготвя годишен доклад за изпълнението на препоръките. </w:t>
      </w:r>
    </w:p>
    <w:p>
      <w:pPr>
        <w:pStyle w:val="Text1"/>
        <w:numPr>
          <w:ilvl w:val="0"/>
          <w:numId w:val="122"/>
        </w:numPr>
        <w:rPr>
          <w:noProof/>
        </w:rPr>
      </w:pPr>
      <w:r>
        <w:rPr>
          <w:noProof/>
        </w:rPr>
        <w:t xml:space="preserve">Стартиране на етап III от прегледа на разходите за 2021 г.: Планира се третата фаза на прегледа на разходите да се съсредоточи върху финансовите инструменти и управлението на общинските отпадъци; </w:t>
      </w:r>
    </w:p>
    <w:p>
      <w:pPr>
        <w:pStyle w:val="Text1"/>
        <w:numPr>
          <w:ilvl w:val="0"/>
          <w:numId w:val="122"/>
        </w:numPr>
        <w:rPr>
          <w:noProof/>
        </w:rPr>
      </w:pPr>
      <w:r>
        <w:rPr>
          <w:noProof/>
        </w:rPr>
        <w:t>Нов процес на преглед и оценка на публичните разходи (за 2022—2026 г.): Бъдещите прегледи на разходите в този цикъл ще се извършват от независимия фискален орган (</w:t>
      </w:r>
      <w:r>
        <w:rPr>
          <w:i/>
          <w:noProof/>
        </w:rPr>
        <w:t>Autoridad Independiente de Responsabilidad Fiscal</w:t>
      </w:r>
      <w:r>
        <w:rPr>
          <w:noProof/>
        </w:rPr>
        <w:t xml:space="preserve">, AIReF). Фокусът, обхватът и графикът на тези бъдещи прегледи се определят от Съвета на министрите след консултации с AIReF. Целта е през 2022—2026 г. да се публикува годишен доклад; </w:t>
      </w:r>
    </w:p>
    <w:p>
      <w:pPr>
        <w:pStyle w:val="Text1"/>
        <w:numPr>
          <w:ilvl w:val="0"/>
          <w:numId w:val="122"/>
        </w:numPr>
        <w:rPr>
          <w:noProof/>
        </w:rPr>
      </w:pPr>
      <w:r>
        <w:rPr>
          <w:noProof/>
        </w:rPr>
        <w:t>Укрепване на капацитета на оценителя (AIReF): Уставът на AIReF се изменя, за да се създаде ново звено, отговарящо за прегледите на публичните разходи.</w:t>
      </w:r>
    </w:p>
    <w:p>
      <w:pPr>
        <w:pStyle w:val="Text1"/>
        <w:ind w:left="0"/>
        <w:rPr>
          <w:noProof/>
        </w:rPr>
      </w:pPr>
      <w:r>
        <w:rPr>
          <w:noProof/>
        </w:rPr>
        <w:t xml:space="preserve">Реформа 1 може да се разглежда като подкрепяща съгласуваността и други реформи в испанския план за възстановяване и устойчивост, по-специално в компоненти 6, 17, 18, 21, 23 и 28, където препоръките въз основа на етапи I и II от прегледа на разходите са включени в тези приоритети за реформи. </w:t>
      </w:r>
    </w:p>
    <w:p>
      <w:pPr>
        <w:pStyle w:val="Text1"/>
        <w:ind w:left="0"/>
        <w:rPr>
          <w:noProof/>
        </w:rPr>
      </w:pPr>
      <w:r>
        <w:rPr>
          <w:noProof/>
        </w:rPr>
        <w:t>Очаква се тази реформа да приключи до 30 юни 2023 г.</w:t>
      </w:r>
    </w:p>
    <w:p>
      <w:pPr>
        <w:pStyle w:val="Text1"/>
        <w:ind w:left="0"/>
        <w:rPr>
          <w:noProof/>
          <w:u w:val="single"/>
        </w:rPr>
      </w:pPr>
      <w:r>
        <w:rPr>
          <w:noProof/>
          <w:u w:val="single"/>
        </w:rPr>
        <w:t>Реформа 2 (C29.R2) – Привеждане на бюджета на централното правителство в съответствие с целите за устойчиво развитие на Програмата до 2030 г.</w:t>
      </w:r>
    </w:p>
    <w:p>
      <w:pPr>
        <w:pStyle w:val="Text1"/>
        <w:ind w:left="0"/>
        <w:rPr>
          <w:noProof/>
        </w:rPr>
      </w:pPr>
      <w:r>
        <w:rPr>
          <w:noProof/>
        </w:rPr>
        <w:t xml:space="preserve">Целта на тази реформа е да приведе държавния бюджет в съответствие с целите за устойчиво развитие (ЦУР), които са в основата на целия план. Реформата се състои в публикуването на доклад в контекста на процеса на държавния бюджет, който в съответствие с предварително определена методика отразява привеждането на публичните инвестиции в съответствие с ЦУР. Тази реформа се основава на методологията и рамката за мониторинг, които понастоящем се разработват с подкрепата на Инструмента на ЕС за техническа подкрепа. </w:t>
      </w:r>
    </w:p>
    <w:p>
      <w:pPr>
        <w:pStyle w:val="Text1"/>
        <w:ind w:left="0"/>
        <w:rPr>
          <w:noProof/>
        </w:rPr>
      </w:pPr>
      <w:r>
        <w:rPr>
          <w:noProof/>
        </w:rPr>
        <w:t>Изпълнението на мярката приключва до 30 септември 2021 г.</w:t>
      </w:r>
    </w:p>
    <w:p>
      <w:pPr>
        <w:pStyle w:val="Text1"/>
        <w:ind w:left="0"/>
        <w:rPr>
          <w:noProof/>
          <w:u w:val="single"/>
        </w:rPr>
      </w:pPr>
      <w:r>
        <w:rPr>
          <w:noProof/>
          <w:u w:val="single"/>
        </w:rPr>
        <w:t>Реформа 3 (C29.R3) – привеждане в съответствие на бюджета на централното правителство с „зелено“ бюджетиране</w:t>
      </w:r>
    </w:p>
    <w:p>
      <w:pPr>
        <w:pStyle w:val="Text1"/>
        <w:ind w:left="0"/>
        <w:rPr>
          <w:noProof/>
        </w:rPr>
      </w:pPr>
      <w:r>
        <w:rPr>
          <w:noProof/>
        </w:rPr>
        <w:t>Целта на тази реформа е да приведе държавния бюджет в съответствие с референтната рамка на ЕС за екологосъобразно бюджетиране в средносрочен план. Тя укрепва реформата 2 и в по-общ план зелените стремежи на плана. Реформата се състои в публикуването на два доклада в контекста на бюджетната процедура на централното правителство, в които се посочват съответно зелените и кафявите разходи спрямо годишните закони за бюджета за 2023 г. и 2024 г. Тази реформа се основава на методологията и рамката за мониторинг, които понастоящем се разработват с подкрепата на Инструмента на ЕС за техническа подкрепа.</w:t>
      </w:r>
    </w:p>
    <w:p>
      <w:pPr>
        <w:pStyle w:val="Text1"/>
        <w:ind w:left="0"/>
        <w:rPr>
          <w:noProof/>
        </w:rPr>
      </w:pPr>
      <w:r>
        <w:rPr>
          <w:noProof/>
        </w:rPr>
        <w:t>Изпълнението на мярката приключва до 30 септември 2023 г.</w:t>
      </w:r>
    </w:p>
    <w:p>
      <w:pPr>
        <w:pStyle w:val="Text1"/>
        <w:ind w:left="709"/>
        <w:rPr>
          <w:b/>
          <w:bCs/>
          <w:noProof/>
          <w:szCs w:val="24"/>
          <w:u w:val="single"/>
        </w:rPr>
      </w:pPr>
      <w:r>
        <w:rPr>
          <w:b/>
          <w:bCs/>
          <w:noProof/>
          <w:szCs w:val="24"/>
          <w:u w:val="single"/>
        </w:rPr>
        <w:t xml:space="preserve">AВ.2. </w:t>
      </w:r>
      <w:r>
        <w:rPr>
          <w:b/>
          <w:noProof/>
          <w:szCs w:val="24"/>
          <w:u w:val="single"/>
        </w:rPr>
        <w:tab/>
      </w:r>
      <w:r>
        <w:rPr>
          <w:b/>
          <w:bCs/>
          <w:noProof/>
          <w:szCs w:val="24"/>
          <w:u w:val="single"/>
        </w:rPr>
        <w:t>Ключови етапи, цели, показатели и график за мониторинг и изпълнение на безвъзмездната финансова подкрепа</w:t>
      </w:r>
    </w:p>
    <w:p>
      <w:pPr>
        <w:spacing w:before="120" w:after="120" w:line="240" w:lineRule="auto"/>
        <w:rPr>
          <w:rFonts w:ascii="Times New Roman" w:hAnsi="Times New Roman" w:cs="Times New Roman"/>
          <w:noProof/>
          <w:color w:val="1F497D"/>
          <w:sz w:val="24"/>
          <w:szCs w:val="24"/>
        </w:rPr>
      </w:pPr>
      <w:r>
        <w:rPr>
          <w:rFonts w:ascii="Times New Roman" w:hAnsi="Times New Roman"/>
          <w:i/>
          <w:iCs/>
          <w:noProof/>
          <w:color w:val="000000"/>
          <w:sz w:val="24"/>
          <w:szCs w:val="24"/>
        </w:rPr>
        <w:t>Вж. таблицата по-долу.</w:t>
      </w:r>
      <w:r>
        <w:rPr>
          <w:rFonts w:ascii="Times New Roman" w:hAnsi="Times New Roman"/>
          <w:noProof/>
          <w:color w:val="1F497D"/>
          <w:sz w:val="24"/>
          <w:szCs w:val="24"/>
        </w:rPr>
        <w:t xml:space="preserve"> </w:t>
      </w:r>
      <w:r>
        <w:rPr>
          <w:rFonts w:ascii="Times New Roman" w:hAnsi="Times New Roman"/>
          <w:i/>
          <w:noProof/>
          <w:sz w:val="24"/>
          <w:szCs w:val="24"/>
        </w:rPr>
        <w:t>Датата на базовата линия за всички показатели е 1 февруари 2020 г., освен ако не е посочено друго в описанието на действието.</w:t>
      </w:r>
      <w:r>
        <w:rPr>
          <w:rFonts w:ascii="Times New Roman" w:hAnsi="Times New Roman"/>
          <w:i/>
          <w:iCs/>
          <w:noProof/>
          <w:color w:val="000000"/>
          <w:sz w:val="24"/>
          <w:szCs w:val="24"/>
        </w:rPr>
        <w:t xml:space="preserve"> Сумите в таблицата не включват ДДС.</w:t>
      </w:r>
      <w:r>
        <w:rPr>
          <w:rFonts w:ascii="Times New Roman" w:hAnsi="Times New Roman"/>
          <w:noProof/>
          <w:color w:val="1F497D"/>
          <w:sz w:val="24"/>
          <w:szCs w:val="24"/>
        </w:rPr>
        <w:t xml:space="preserve"> </w:t>
      </w:r>
    </w:p>
    <w:p>
      <w:pPr>
        <w:pStyle w:val="Text1"/>
        <w:ind w:left="0"/>
        <w:rPr>
          <w:b/>
          <w:bCs/>
          <w:noProof/>
          <w:u w:val="single"/>
          <w:lang w:val="en-IE"/>
        </w:rPr>
      </w:pPr>
    </w:p>
    <w:p>
      <w:pPr>
        <w:pStyle w:val="Text1"/>
        <w:ind w:left="709"/>
        <w:rPr>
          <w:noProof/>
          <w:lang w:val="en-IE"/>
        </w:rPr>
        <w:sectPr>
          <w:headerReference w:type="even" r:id="rId355"/>
          <w:headerReference w:type="default" r:id="rId356"/>
          <w:footerReference w:type="even" r:id="rId357"/>
          <w:footerReference w:type="default" r:id="rId358"/>
          <w:headerReference w:type="first" r:id="rId359"/>
          <w:footerReference w:type="first" r:id="rId360"/>
          <w:pgSz w:w="11907" w:h="16839"/>
          <w:pgMar w:top="1134" w:right="1417" w:bottom="1134" w:left="1417" w:header="709" w:footer="709" w:gutter="0"/>
          <w:cols w:space="720"/>
          <w:docGrid w:linePitch="360"/>
        </w:sectPr>
      </w:pPr>
    </w:p>
    <w:tbl>
      <w:tblPr>
        <w:tblW w:w="15310"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09"/>
        <w:gridCol w:w="851"/>
        <w:gridCol w:w="850"/>
        <w:gridCol w:w="2142"/>
        <w:gridCol w:w="1544"/>
        <w:gridCol w:w="796"/>
        <w:gridCol w:w="630"/>
        <w:gridCol w:w="558"/>
        <w:gridCol w:w="432"/>
        <w:gridCol w:w="702"/>
        <w:gridCol w:w="6096"/>
      </w:tblGrid>
      <w:tr>
        <w:trPr>
          <w:trHeight w:val="309"/>
          <w:tblHeader/>
        </w:trPr>
        <w:tc>
          <w:tcPr>
            <w:tcW w:w="709" w:type="dxa"/>
            <w:tcBorders>
              <w:bottom w:val="nil"/>
            </w:tcBorders>
            <w:shd w:val="clear" w:color="auto" w:fill="C6D9F1" w:themeFill="text2" w:themeFillTint="33"/>
            <w:noWrap/>
            <w:vAlign w:val="center"/>
          </w:tcPr>
          <w:p>
            <w:pPr>
              <w:spacing w:after="0"/>
              <w:jc w:val="center"/>
              <w:rPr>
                <w:rFonts w:ascii="Times New Roman" w:hAnsi="Times New Roman" w:cs="Times New Roman"/>
                <w:b/>
                <w:noProof/>
                <w:color w:val="000000"/>
                <w:sz w:val="18"/>
                <w:szCs w:val="18"/>
              </w:rPr>
            </w:pPr>
            <w:r>
              <w:rPr>
                <w:rFonts w:ascii="Times New Roman" w:hAnsi="Times New Roman"/>
                <w:b/>
                <w:noProof/>
                <w:color w:val="000000"/>
                <w:sz w:val="18"/>
                <w:szCs w:val="18"/>
              </w:rPr>
              <w:t>Номер</w:t>
            </w:r>
          </w:p>
        </w:tc>
        <w:tc>
          <w:tcPr>
            <w:tcW w:w="851" w:type="dxa"/>
            <w:tcBorders>
              <w:bottom w:val="nil"/>
            </w:tcBorders>
            <w:shd w:val="clear" w:color="auto" w:fill="C6D9F1" w:themeFill="text2" w:themeFillTint="33"/>
            <w:noWrap/>
            <w:vAlign w:val="center"/>
          </w:tcPr>
          <w:p>
            <w:pPr>
              <w:spacing w:after="0"/>
              <w:jc w:val="center"/>
              <w:rPr>
                <w:rFonts w:ascii="Times New Roman" w:hAnsi="Times New Roman" w:cs="Times New Roman"/>
                <w:b/>
                <w:noProof/>
                <w:color w:val="000000"/>
                <w:sz w:val="18"/>
                <w:szCs w:val="18"/>
              </w:rPr>
            </w:pPr>
            <w:r>
              <w:rPr>
                <w:rFonts w:ascii="Times New Roman" w:hAnsi="Times New Roman"/>
                <w:b/>
                <w:noProof/>
                <w:color w:val="000000"/>
                <w:sz w:val="18"/>
                <w:szCs w:val="18"/>
              </w:rPr>
              <w:t>Мярка</w:t>
            </w:r>
          </w:p>
        </w:tc>
        <w:tc>
          <w:tcPr>
            <w:tcW w:w="850" w:type="dxa"/>
            <w:tcBorders>
              <w:bottom w:val="nil"/>
            </w:tcBorders>
            <w:shd w:val="clear" w:color="auto" w:fill="C6D9F1" w:themeFill="text2" w:themeFillTint="33"/>
            <w:noWrap/>
            <w:vAlign w:val="center"/>
          </w:tcPr>
          <w:p>
            <w:pPr>
              <w:spacing w:after="0"/>
              <w:jc w:val="center"/>
              <w:rPr>
                <w:rFonts w:ascii="Times New Roman" w:hAnsi="Times New Roman" w:cs="Times New Roman"/>
                <w:b/>
                <w:noProof/>
                <w:color w:val="000000"/>
                <w:sz w:val="18"/>
                <w:szCs w:val="18"/>
              </w:rPr>
            </w:pPr>
            <w:r>
              <w:rPr>
                <w:rFonts w:ascii="Times New Roman" w:hAnsi="Times New Roman"/>
                <w:b/>
                <w:noProof/>
                <w:color w:val="000000"/>
                <w:sz w:val="18"/>
                <w:szCs w:val="18"/>
              </w:rPr>
              <w:t>Ключов етап / Цел</w:t>
            </w:r>
          </w:p>
        </w:tc>
        <w:tc>
          <w:tcPr>
            <w:tcW w:w="2142" w:type="dxa"/>
            <w:tcBorders>
              <w:bottom w:val="nil"/>
            </w:tcBorders>
            <w:shd w:val="clear" w:color="auto" w:fill="C6D9F1" w:themeFill="text2" w:themeFillTint="33"/>
            <w:noWrap/>
            <w:vAlign w:val="center"/>
          </w:tcPr>
          <w:p>
            <w:pPr>
              <w:spacing w:after="0"/>
              <w:jc w:val="center"/>
              <w:rPr>
                <w:rFonts w:ascii="Times New Roman" w:hAnsi="Times New Roman" w:cs="Times New Roman"/>
                <w:b/>
                <w:noProof/>
                <w:color w:val="000000"/>
                <w:sz w:val="18"/>
                <w:szCs w:val="18"/>
              </w:rPr>
            </w:pPr>
            <w:r>
              <w:rPr>
                <w:rFonts w:ascii="Times New Roman" w:hAnsi="Times New Roman"/>
                <w:b/>
                <w:noProof/>
                <w:color w:val="000000"/>
                <w:sz w:val="18"/>
                <w:szCs w:val="18"/>
              </w:rPr>
              <w:t>Наименование</w:t>
            </w:r>
          </w:p>
        </w:tc>
        <w:tc>
          <w:tcPr>
            <w:tcW w:w="1544" w:type="dxa"/>
            <w:tcBorders>
              <w:bottom w:val="nil"/>
            </w:tcBorders>
            <w:shd w:val="clear" w:color="auto" w:fill="C6D9F1" w:themeFill="text2" w:themeFillTint="33"/>
            <w:noWrap/>
            <w:vAlign w:val="center"/>
          </w:tcPr>
          <w:p>
            <w:pPr>
              <w:spacing w:after="0"/>
              <w:jc w:val="center"/>
              <w:rPr>
                <w:rFonts w:ascii="Times New Roman" w:hAnsi="Times New Roman" w:cs="Times New Roman"/>
                <w:b/>
                <w:noProof/>
                <w:color w:val="000000"/>
                <w:sz w:val="18"/>
                <w:szCs w:val="18"/>
              </w:rPr>
            </w:pPr>
            <w:r>
              <w:rPr>
                <w:rFonts w:ascii="Times New Roman" w:hAnsi="Times New Roman"/>
                <w:b/>
                <w:noProof/>
                <w:color w:val="000000"/>
                <w:sz w:val="18"/>
                <w:szCs w:val="18"/>
              </w:rPr>
              <w:t>Качествени показатели за ключовите етапи</w:t>
            </w:r>
          </w:p>
        </w:tc>
        <w:tc>
          <w:tcPr>
            <w:tcW w:w="1984" w:type="dxa"/>
            <w:gridSpan w:val="3"/>
            <w:shd w:val="clear" w:color="auto" w:fill="C6D9F1" w:themeFill="text2" w:themeFillTint="33"/>
            <w:noWrap/>
            <w:vAlign w:val="center"/>
          </w:tcPr>
          <w:p>
            <w:pPr>
              <w:spacing w:after="0"/>
              <w:jc w:val="center"/>
              <w:rPr>
                <w:rFonts w:ascii="Times New Roman" w:hAnsi="Times New Roman" w:cs="Times New Roman"/>
                <w:b/>
                <w:noProof/>
                <w:color w:val="000000"/>
                <w:sz w:val="18"/>
                <w:szCs w:val="18"/>
              </w:rPr>
            </w:pPr>
            <w:r>
              <w:rPr>
                <w:rFonts w:ascii="Times New Roman" w:hAnsi="Times New Roman"/>
                <w:b/>
                <w:noProof/>
                <w:color w:val="000000"/>
                <w:sz w:val="18"/>
                <w:szCs w:val="18"/>
              </w:rPr>
              <w:t>Количествени показатели за целите</w:t>
            </w:r>
          </w:p>
        </w:tc>
        <w:tc>
          <w:tcPr>
            <w:tcW w:w="1134" w:type="dxa"/>
            <w:gridSpan w:val="2"/>
            <w:shd w:val="clear" w:color="auto" w:fill="C6D9F1" w:themeFill="text2" w:themeFillTint="33"/>
            <w:noWrap/>
            <w:vAlign w:val="center"/>
          </w:tcPr>
          <w:p>
            <w:pPr>
              <w:spacing w:after="0"/>
              <w:jc w:val="center"/>
              <w:rPr>
                <w:rFonts w:ascii="Times New Roman" w:hAnsi="Times New Roman" w:cs="Times New Roman"/>
                <w:b/>
                <w:noProof/>
                <w:color w:val="000000"/>
                <w:sz w:val="18"/>
                <w:szCs w:val="18"/>
              </w:rPr>
            </w:pPr>
            <w:r>
              <w:rPr>
                <w:rFonts w:ascii="Times New Roman" w:hAnsi="Times New Roman"/>
                <w:b/>
                <w:noProof/>
                <w:color w:val="000000"/>
                <w:sz w:val="18"/>
                <w:szCs w:val="18"/>
              </w:rPr>
              <w:t>Време</w:t>
            </w:r>
          </w:p>
        </w:tc>
        <w:tc>
          <w:tcPr>
            <w:tcW w:w="6096" w:type="dxa"/>
            <w:tcBorders>
              <w:bottom w:val="nil"/>
            </w:tcBorders>
            <w:shd w:val="clear" w:color="auto" w:fill="C6D9F1" w:themeFill="text2" w:themeFillTint="33"/>
            <w:noWrap/>
            <w:vAlign w:val="center"/>
          </w:tcPr>
          <w:p>
            <w:pPr>
              <w:spacing w:after="0"/>
              <w:jc w:val="center"/>
              <w:rPr>
                <w:rFonts w:ascii="Times New Roman" w:hAnsi="Times New Roman" w:cs="Times New Roman"/>
                <w:b/>
                <w:noProof/>
                <w:color w:val="000000"/>
                <w:sz w:val="18"/>
                <w:szCs w:val="18"/>
              </w:rPr>
            </w:pPr>
            <w:r>
              <w:rPr>
                <w:rFonts w:ascii="Times New Roman" w:hAnsi="Times New Roman"/>
                <w:b/>
                <w:noProof/>
                <w:sz w:val="18"/>
                <w:szCs w:val="18"/>
              </w:rPr>
              <w:t>Описание на всеки ключов етап и всяка цел</w:t>
            </w:r>
          </w:p>
        </w:tc>
      </w:tr>
      <w:tr>
        <w:trPr>
          <w:trHeight w:val="309"/>
          <w:tblHeader/>
        </w:trPr>
        <w:tc>
          <w:tcPr>
            <w:tcW w:w="709" w:type="dxa"/>
            <w:tcBorders>
              <w:top w:val="nil"/>
            </w:tcBorders>
            <w:shd w:val="clear" w:color="auto" w:fill="C6D9F1" w:themeFill="text2" w:themeFillTint="33"/>
            <w:noWrap/>
          </w:tcPr>
          <w:p>
            <w:pPr>
              <w:spacing w:after="0"/>
              <w:jc w:val="center"/>
              <w:rPr>
                <w:rFonts w:ascii="Times New Roman" w:hAnsi="Times New Roman" w:cs="Times New Roman"/>
                <w:b/>
                <w:noProof/>
                <w:color w:val="000000"/>
                <w:sz w:val="18"/>
                <w:szCs w:val="18"/>
              </w:rPr>
            </w:pPr>
          </w:p>
        </w:tc>
        <w:tc>
          <w:tcPr>
            <w:tcW w:w="851" w:type="dxa"/>
            <w:tcBorders>
              <w:top w:val="nil"/>
            </w:tcBorders>
            <w:shd w:val="clear" w:color="auto" w:fill="C6D9F1" w:themeFill="text2" w:themeFillTint="33"/>
            <w:noWrap/>
          </w:tcPr>
          <w:p>
            <w:pPr>
              <w:spacing w:after="0"/>
              <w:jc w:val="center"/>
              <w:rPr>
                <w:rFonts w:ascii="Times New Roman" w:hAnsi="Times New Roman" w:cs="Times New Roman"/>
                <w:b/>
                <w:noProof/>
                <w:color w:val="000000"/>
                <w:sz w:val="18"/>
                <w:szCs w:val="18"/>
              </w:rPr>
            </w:pPr>
          </w:p>
        </w:tc>
        <w:tc>
          <w:tcPr>
            <w:tcW w:w="850" w:type="dxa"/>
            <w:tcBorders>
              <w:top w:val="nil"/>
            </w:tcBorders>
            <w:shd w:val="clear" w:color="auto" w:fill="C6D9F1" w:themeFill="text2" w:themeFillTint="33"/>
            <w:noWrap/>
          </w:tcPr>
          <w:p>
            <w:pPr>
              <w:spacing w:after="0"/>
              <w:jc w:val="center"/>
              <w:rPr>
                <w:rFonts w:ascii="Times New Roman" w:hAnsi="Times New Roman" w:cs="Times New Roman"/>
                <w:b/>
                <w:noProof/>
                <w:color w:val="000000"/>
                <w:sz w:val="18"/>
                <w:szCs w:val="18"/>
              </w:rPr>
            </w:pPr>
          </w:p>
        </w:tc>
        <w:tc>
          <w:tcPr>
            <w:tcW w:w="2142" w:type="dxa"/>
            <w:tcBorders>
              <w:top w:val="nil"/>
            </w:tcBorders>
            <w:shd w:val="clear" w:color="auto" w:fill="C6D9F1" w:themeFill="text2" w:themeFillTint="33"/>
            <w:noWrap/>
          </w:tcPr>
          <w:p>
            <w:pPr>
              <w:spacing w:after="0"/>
              <w:rPr>
                <w:rFonts w:ascii="Times New Roman" w:hAnsi="Times New Roman" w:cs="Times New Roman"/>
                <w:b/>
                <w:noProof/>
                <w:color w:val="000000"/>
                <w:sz w:val="18"/>
                <w:szCs w:val="18"/>
              </w:rPr>
            </w:pPr>
          </w:p>
        </w:tc>
        <w:tc>
          <w:tcPr>
            <w:tcW w:w="1544" w:type="dxa"/>
            <w:tcBorders>
              <w:top w:val="nil"/>
            </w:tcBorders>
            <w:shd w:val="clear" w:color="auto" w:fill="C6D9F1" w:themeFill="text2" w:themeFillTint="33"/>
            <w:noWrap/>
          </w:tcPr>
          <w:p>
            <w:pPr>
              <w:spacing w:after="0"/>
              <w:jc w:val="center"/>
              <w:rPr>
                <w:rFonts w:ascii="Times New Roman" w:hAnsi="Times New Roman" w:cs="Times New Roman"/>
                <w:b/>
                <w:noProof/>
                <w:color w:val="000000"/>
                <w:sz w:val="18"/>
                <w:szCs w:val="18"/>
              </w:rPr>
            </w:pPr>
          </w:p>
        </w:tc>
        <w:tc>
          <w:tcPr>
            <w:tcW w:w="796" w:type="dxa"/>
            <w:shd w:val="clear" w:color="auto" w:fill="C6D9F1" w:themeFill="text2" w:themeFillTint="33"/>
            <w:noWrap/>
            <w:vAlign w:val="center"/>
          </w:tcPr>
          <w:p>
            <w:pPr>
              <w:spacing w:after="0"/>
              <w:jc w:val="center"/>
              <w:rPr>
                <w:rFonts w:ascii="Times New Roman" w:hAnsi="Times New Roman" w:cs="Times New Roman"/>
                <w:b/>
                <w:noProof/>
                <w:color w:val="000000"/>
                <w:sz w:val="18"/>
                <w:szCs w:val="18"/>
              </w:rPr>
            </w:pPr>
            <w:r>
              <w:rPr>
                <w:rFonts w:ascii="Times New Roman" w:hAnsi="Times New Roman"/>
                <w:b/>
                <w:noProof/>
                <w:color w:val="000000"/>
                <w:sz w:val="18"/>
                <w:szCs w:val="18"/>
              </w:rPr>
              <w:t>Мерна единица</w:t>
            </w:r>
          </w:p>
        </w:tc>
        <w:tc>
          <w:tcPr>
            <w:tcW w:w="630" w:type="dxa"/>
            <w:shd w:val="clear" w:color="auto" w:fill="C6D9F1" w:themeFill="text2" w:themeFillTint="33"/>
            <w:noWrap/>
            <w:vAlign w:val="center"/>
          </w:tcPr>
          <w:p>
            <w:pPr>
              <w:spacing w:after="0"/>
              <w:jc w:val="center"/>
              <w:rPr>
                <w:rFonts w:ascii="Times New Roman" w:hAnsi="Times New Roman" w:cs="Times New Roman"/>
                <w:b/>
                <w:noProof/>
                <w:color w:val="000000"/>
                <w:sz w:val="18"/>
                <w:szCs w:val="18"/>
              </w:rPr>
            </w:pPr>
            <w:r>
              <w:rPr>
                <w:rFonts w:ascii="Times New Roman" w:hAnsi="Times New Roman"/>
                <w:b/>
                <w:noProof/>
                <w:color w:val="000000"/>
                <w:sz w:val="18"/>
                <w:szCs w:val="18"/>
              </w:rPr>
              <w:t>Базова линия</w:t>
            </w:r>
          </w:p>
        </w:tc>
        <w:tc>
          <w:tcPr>
            <w:tcW w:w="558" w:type="dxa"/>
            <w:shd w:val="clear" w:color="auto" w:fill="C6D9F1" w:themeFill="text2" w:themeFillTint="33"/>
            <w:noWrap/>
            <w:vAlign w:val="center"/>
          </w:tcPr>
          <w:p>
            <w:pPr>
              <w:spacing w:after="0"/>
              <w:jc w:val="center"/>
              <w:rPr>
                <w:rFonts w:ascii="Times New Roman" w:hAnsi="Times New Roman" w:cs="Times New Roman"/>
                <w:b/>
                <w:noProof/>
                <w:color w:val="000000"/>
                <w:sz w:val="18"/>
                <w:szCs w:val="18"/>
              </w:rPr>
            </w:pPr>
            <w:r>
              <w:rPr>
                <w:rFonts w:ascii="Times New Roman" w:hAnsi="Times New Roman"/>
                <w:b/>
                <w:noProof/>
                <w:color w:val="000000"/>
                <w:sz w:val="18"/>
                <w:szCs w:val="18"/>
              </w:rPr>
              <w:t>Цел</w:t>
            </w:r>
          </w:p>
        </w:tc>
        <w:tc>
          <w:tcPr>
            <w:tcW w:w="432" w:type="dxa"/>
            <w:shd w:val="clear" w:color="auto" w:fill="C6D9F1" w:themeFill="text2" w:themeFillTint="33"/>
            <w:noWrap/>
            <w:vAlign w:val="center"/>
          </w:tcPr>
          <w:p>
            <w:pPr>
              <w:spacing w:after="0"/>
              <w:jc w:val="center"/>
              <w:rPr>
                <w:rFonts w:ascii="Times New Roman" w:hAnsi="Times New Roman" w:cs="Times New Roman"/>
                <w:b/>
                <w:noProof/>
                <w:color w:val="000000"/>
                <w:sz w:val="18"/>
                <w:szCs w:val="18"/>
              </w:rPr>
            </w:pPr>
            <w:r>
              <w:rPr>
                <w:rFonts w:ascii="Times New Roman" w:hAnsi="Times New Roman"/>
                <w:b/>
                <w:noProof/>
                <w:color w:val="000000"/>
                <w:sz w:val="18"/>
                <w:szCs w:val="18"/>
              </w:rPr>
              <w:t>T</w:t>
            </w:r>
          </w:p>
        </w:tc>
        <w:tc>
          <w:tcPr>
            <w:tcW w:w="702" w:type="dxa"/>
            <w:shd w:val="clear" w:color="auto" w:fill="C6D9F1" w:themeFill="text2" w:themeFillTint="33"/>
            <w:noWrap/>
            <w:vAlign w:val="center"/>
          </w:tcPr>
          <w:p>
            <w:pPr>
              <w:spacing w:after="0"/>
              <w:jc w:val="center"/>
              <w:rPr>
                <w:rFonts w:ascii="Times New Roman" w:hAnsi="Times New Roman" w:cs="Times New Roman"/>
                <w:b/>
                <w:noProof/>
                <w:color w:val="000000"/>
                <w:sz w:val="18"/>
                <w:szCs w:val="18"/>
              </w:rPr>
            </w:pPr>
            <w:r>
              <w:rPr>
                <w:rFonts w:ascii="Times New Roman" w:hAnsi="Times New Roman"/>
                <w:b/>
                <w:noProof/>
                <w:color w:val="000000"/>
                <w:sz w:val="18"/>
                <w:szCs w:val="18"/>
              </w:rPr>
              <w:t>Година</w:t>
            </w:r>
          </w:p>
        </w:tc>
        <w:tc>
          <w:tcPr>
            <w:tcW w:w="6096" w:type="dxa"/>
            <w:tcBorders>
              <w:top w:val="nil"/>
            </w:tcBorders>
            <w:shd w:val="clear" w:color="auto" w:fill="C6D9F1" w:themeFill="text2" w:themeFillTint="33"/>
            <w:noWrap/>
          </w:tcPr>
          <w:p>
            <w:pPr>
              <w:spacing w:after="0"/>
              <w:rPr>
                <w:rFonts w:ascii="Times New Roman" w:hAnsi="Times New Roman" w:cs="Times New Roman"/>
                <w:b/>
                <w:noProof/>
                <w:color w:val="000000"/>
                <w:sz w:val="18"/>
                <w:szCs w:val="18"/>
                <w:lang w:val="en-IE"/>
              </w:rPr>
            </w:pPr>
          </w:p>
        </w:tc>
      </w:tr>
      <w:tr>
        <w:trPr>
          <w:trHeight w:val="309"/>
        </w:trPr>
        <w:tc>
          <w:tcPr>
            <w:tcW w:w="709"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397</w:t>
            </w:r>
          </w:p>
        </w:tc>
        <w:tc>
          <w:tcPr>
            <w:tcW w:w="851"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C29.R1</w:t>
            </w:r>
          </w:p>
        </w:tc>
        <w:tc>
          <w:tcPr>
            <w:tcW w:w="850"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2142" w:type="dxa"/>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szCs w:val="18"/>
              </w:rPr>
              <w:t>Създаване на постоянен екип в Министерството на финансите за активен мониторинг на изпълнението на резултатите от прегледите на разходите и одобряване на Наредбата за изготвяне на годишния бюджетен закон</w:t>
            </w:r>
          </w:p>
        </w:tc>
        <w:tc>
          <w:tcPr>
            <w:tcW w:w="1544"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Разпоредби на законодателството, посочващи влизането му в сила. Ред на изготвяне на годишния бюджетен закон</w:t>
            </w:r>
          </w:p>
        </w:tc>
        <w:tc>
          <w:tcPr>
            <w:tcW w:w="796"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630" w:type="dxa"/>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558" w:type="dxa"/>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432"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T2</w:t>
            </w:r>
          </w:p>
        </w:tc>
        <w:tc>
          <w:tcPr>
            <w:tcW w:w="702"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2021</w:t>
            </w:r>
          </w:p>
        </w:tc>
        <w:tc>
          <w:tcPr>
            <w:tcW w:w="6096" w:type="dxa"/>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szCs w:val="18"/>
              </w:rPr>
              <w:t>Влизане в сила на i) създаване в рамките на Министерството на финансите (в държавния секретариат за бюджета и разходите) на постоянен екип за активен мониторинг на изпълнението на резултатите от прегледите на разходите, като се насърчава принципът „изпълнение или обяснение“; и ii) ангажимента на Министерството на финансите да публикува годишен доклад с отговори на всички препоръки за преглед на разходите, отправени от AIReF. Заповедта за изготвяне на годишния бюджетен закон включва ангажимента на централната администрация и социалната сигурност да наблюдават и проследяват чрез бюджетния цикъл препоръките от прегледите на разходите, включително мерките, които са били изпълнени или се предвижда да бъдат изпълнени през следващата година.</w:t>
            </w:r>
          </w:p>
        </w:tc>
      </w:tr>
      <w:tr>
        <w:trPr>
          <w:trHeight w:val="309"/>
        </w:trPr>
        <w:tc>
          <w:tcPr>
            <w:tcW w:w="709"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398</w:t>
            </w:r>
          </w:p>
        </w:tc>
        <w:tc>
          <w:tcPr>
            <w:tcW w:w="851"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C29.R1</w:t>
            </w:r>
          </w:p>
        </w:tc>
        <w:tc>
          <w:tcPr>
            <w:tcW w:w="850"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2142" w:type="dxa"/>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szCs w:val="18"/>
              </w:rPr>
              <w:t>Етап III от прегледа на разходите</w:t>
            </w:r>
          </w:p>
        </w:tc>
        <w:tc>
          <w:tcPr>
            <w:tcW w:w="1544"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Одобрение от Министерския съвет</w:t>
            </w:r>
          </w:p>
        </w:tc>
        <w:tc>
          <w:tcPr>
            <w:tcW w:w="796"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630" w:type="dxa"/>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558" w:type="dxa"/>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432"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T2</w:t>
            </w:r>
          </w:p>
        </w:tc>
        <w:tc>
          <w:tcPr>
            <w:tcW w:w="702"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2021</w:t>
            </w:r>
          </w:p>
        </w:tc>
        <w:tc>
          <w:tcPr>
            <w:tcW w:w="6096" w:type="dxa"/>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Министерският съвет взема решение относно стартирането на етап III от прегледа на разходите през 2021 г. Третият етап от прегледа на разходите обхваща най-малко две области:  финансови инструменти и управление на битовите отпадъци. Прегледът на разходите се извършва от AIReF. </w:t>
            </w:r>
          </w:p>
        </w:tc>
      </w:tr>
      <w:tr>
        <w:trPr>
          <w:trHeight w:val="309"/>
        </w:trPr>
        <w:tc>
          <w:tcPr>
            <w:tcW w:w="709" w:type="dxa"/>
            <w:shd w:val="clear" w:color="auto" w:fill="C6EFCE"/>
            <w:noWrap/>
          </w:tcPr>
          <w:p>
            <w:pPr>
              <w:spacing w:after="0"/>
              <w:jc w:val="center"/>
              <w:rPr>
                <w:rFonts w:ascii="Times New Roman" w:hAnsi="Times New Roman" w:cs="Times New Roman"/>
                <w:noProof/>
                <w:color w:val="000000"/>
                <w:sz w:val="18"/>
                <w:szCs w:val="18"/>
              </w:rPr>
            </w:pPr>
            <w:r>
              <w:rPr>
                <w:rFonts w:ascii="Times New Roman" w:hAnsi="Times New Roman"/>
                <w:noProof/>
                <w:color w:val="000000"/>
                <w:sz w:val="18"/>
                <w:szCs w:val="18"/>
              </w:rPr>
              <w:t>399</w:t>
            </w:r>
          </w:p>
        </w:tc>
        <w:tc>
          <w:tcPr>
            <w:tcW w:w="851" w:type="dxa"/>
            <w:shd w:val="clear" w:color="auto" w:fill="C6EFCE"/>
            <w:noWrap/>
          </w:tcPr>
          <w:p>
            <w:pPr>
              <w:spacing w:after="0"/>
              <w:jc w:val="center"/>
              <w:rPr>
                <w:rFonts w:ascii="Times New Roman" w:hAnsi="Times New Roman" w:cs="Times New Roman"/>
                <w:noProof/>
                <w:color w:val="000000"/>
                <w:sz w:val="18"/>
                <w:szCs w:val="18"/>
              </w:rPr>
            </w:pPr>
            <w:r>
              <w:rPr>
                <w:rFonts w:ascii="Times New Roman" w:hAnsi="Times New Roman"/>
                <w:noProof/>
                <w:color w:val="000000"/>
                <w:sz w:val="18"/>
                <w:szCs w:val="18"/>
              </w:rPr>
              <w:t>C29.R1</w:t>
            </w:r>
          </w:p>
        </w:tc>
        <w:tc>
          <w:tcPr>
            <w:tcW w:w="850" w:type="dxa"/>
            <w:shd w:val="clear" w:color="auto" w:fill="C6EFCE"/>
            <w:noWrap/>
          </w:tcPr>
          <w:p>
            <w:pPr>
              <w:spacing w:after="0"/>
              <w:jc w:val="center"/>
              <w:rPr>
                <w:rFonts w:ascii="Times New Roman" w:hAnsi="Times New Roman" w:cs="Times New Roman"/>
                <w:noProof/>
                <w:color w:val="000000"/>
                <w:sz w:val="18"/>
                <w:szCs w:val="18"/>
              </w:rPr>
            </w:pPr>
            <w:r>
              <w:rPr>
                <w:rFonts w:ascii="Times New Roman" w:hAnsi="Times New Roman"/>
                <w:noProof/>
                <w:color w:val="000000"/>
                <w:sz w:val="18"/>
                <w:szCs w:val="18"/>
              </w:rPr>
              <w:t>M</w:t>
            </w:r>
          </w:p>
        </w:tc>
        <w:tc>
          <w:tcPr>
            <w:tcW w:w="2142" w:type="dxa"/>
            <w:shd w:val="clear" w:color="auto" w:fill="C6EFCE"/>
            <w:noWrap/>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Създаване на постоянно звено в рамките на AIReF, което да отговаря за извършването на прегледите на разходите, възложени от правителството.</w:t>
            </w:r>
          </w:p>
        </w:tc>
        <w:tc>
          <w:tcPr>
            <w:tcW w:w="1544" w:type="dxa"/>
            <w:shd w:val="clear" w:color="auto" w:fill="C6EFCE"/>
            <w:noWrap/>
          </w:tcPr>
          <w:p>
            <w:pPr>
              <w:spacing w:after="0"/>
              <w:jc w:val="center"/>
              <w:rPr>
                <w:rFonts w:ascii="Times New Roman" w:hAnsi="Times New Roman" w:cs="Times New Roman"/>
                <w:noProof/>
                <w:color w:val="000000"/>
                <w:sz w:val="18"/>
                <w:szCs w:val="18"/>
              </w:rPr>
            </w:pPr>
            <w:r>
              <w:rPr>
                <w:rFonts w:ascii="Times New Roman" w:hAnsi="Times New Roman"/>
                <w:noProof/>
                <w:color w:val="000000"/>
                <w:sz w:val="18"/>
                <w:szCs w:val="18"/>
              </w:rPr>
              <w:t>Разпоредби на РСР, в които се посочва влизането му в сила</w:t>
            </w:r>
          </w:p>
        </w:tc>
        <w:tc>
          <w:tcPr>
            <w:tcW w:w="796" w:type="dxa"/>
            <w:shd w:val="clear" w:color="auto" w:fill="C6EFCE"/>
            <w:noWrap/>
          </w:tcPr>
          <w:p>
            <w:pPr>
              <w:spacing w:after="0"/>
              <w:jc w:val="center"/>
              <w:rPr>
                <w:rFonts w:ascii="Times New Roman" w:hAnsi="Times New Roman" w:cs="Times New Roman"/>
                <w:noProof/>
                <w:color w:val="000000"/>
                <w:sz w:val="18"/>
                <w:szCs w:val="18"/>
              </w:rPr>
            </w:pPr>
            <w:r>
              <w:rPr>
                <w:rFonts w:ascii="Times New Roman" w:hAnsi="Times New Roman"/>
                <w:noProof/>
                <w:color w:val="000000"/>
                <w:sz w:val="18"/>
                <w:szCs w:val="18"/>
              </w:rPr>
              <w:t xml:space="preserve"> </w:t>
            </w:r>
          </w:p>
        </w:tc>
        <w:tc>
          <w:tcPr>
            <w:tcW w:w="630" w:type="dxa"/>
            <w:shd w:val="clear" w:color="auto" w:fill="C6EFCE"/>
            <w:noWrap/>
          </w:tcPr>
          <w:p>
            <w:pPr>
              <w:spacing w:after="0"/>
              <w:jc w:val="right"/>
              <w:rPr>
                <w:rFonts w:ascii="Times New Roman" w:hAnsi="Times New Roman" w:cs="Times New Roman"/>
                <w:noProof/>
                <w:color w:val="000000"/>
                <w:sz w:val="18"/>
                <w:szCs w:val="18"/>
              </w:rPr>
            </w:pPr>
            <w:r>
              <w:rPr>
                <w:rFonts w:ascii="Times New Roman" w:hAnsi="Times New Roman"/>
                <w:noProof/>
                <w:color w:val="000000"/>
                <w:sz w:val="18"/>
                <w:szCs w:val="18"/>
              </w:rPr>
              <w:t xml:space="preserve"> </w:t>
            </w:r>
          </w:p>
        </w:tc>
        <w:tc>
          <w:tcPr>
            <w:tcW w:w="558" w:type="dxa"/>
            <w:shd w:val="clear" w:color="auto" w:fill="C6EFCE"/>
            <w:noWrap/>
          </w:tcPr>
          <w:p>
            <w:pPr>
              <w:spacing w:after="0"/>
              <w:jc w:val="right"/>
              <w:rPr>
                <w:rFonts w:ascii="Times New Roman" w:hAnsi="Times New Roman" w:cs="Times New Roman"/>
                <w:noProof/>
                <w:color w:val="000000"/>
                <w:sz w:val="18"/>
                <w:szCs w:val="18"/>
              </w:rPr>
            </w:pPr>
            <w:r>
              <w:rPr>
                <w:rFonts w:ascii="Times New Roman" w:hAnsi="Times New Roman"/>
                <w:noProof/>
                <w:color w:val="000000"/>
                <w:sz w:val="18"/>
                <w:szCs w:val="18"/>
              </w:rPr>
              <w:t xml:space="preserve"> </w:t>
            </w:r>
          </w:p>
        </w:tc>
        <w:tc>
          <w:tcPr>
            <w:tcW w:w="432" w:type="dxa"/>
            <w:shd w:val="clear" w:color="auto" w:fill="C6EFCE"/>
            <w:noWrap/>
          </w:tcPr>
          <w:p>
            <w:pPr>
              <w:spacing w:after="0"/>
              <w:jc w:val="center"/>
              <w:rPr>
                <w:rFonts w:ascii="Times New Roman" w:hAnsi="Times New Roman" w:cs="Times New Roman"/>
                <w:noProof/>
                <w:color w:val="000000"/>
                <w:sz w:val="18"/>
                <w:szCs w:val="18"/>
              </w:rPr>
            </w:pPr>
            <w:r>
              <w:rPr>
                <w:rFonts w:ascii="Times New Roman" w:hAnsi="Times New Roman"/>
                <w:noProof/>
                <w:color w:val="000000"/>
                <w:sz w:val="18"/>
                <w:szCs w:val="18"/>
              </w:rPr>
              <w:t>T2</w:t>
            </w:r>
          </w:p>
        </w:tc>
        <w:tc>
          <w:tcPr>
            <w:tcW w:w="702" w:type="dxa"/>
            <w:shd w:val="clear" w:color="auto" w:fill="C6EFCE"/>
            <w:noWrap/>
          </w:tcPr>
          <w:p>
            <w:pPr>
              <w:spacing w:after="0"/>
              <w:jc w:val="center"/>
              <w:rPr>
                <w:rFonts w:ascii="Times New Roman" w:hAnsi="Times New Roman" w:cs="Times New Roman"/>
                <w:noProof/>
                <w:color w:val="000000"/>
                <w:sz w:val="18"/>
                <w:szCs w:val="18"/>
              </w:rPr>
            </w:pPr>
            <w:r>
              <w:rPr>
                <w:rFonts w:ascii="Times New Roman" w:hAnsi="Times New Roman"/>
                <w:noProof/>
                <w:color w:val="000000"/>
                <w:sz w:val="18"/>
                <w:szCs w:val="18"/>
              </w:rPr>
              <w:t>2021</w:t>
            </w:r>
          </w:p>
        </w:tc>
        <w:tc>
          <w:tcPr>
            <w:tcW w:w="6096" w:type="dxa"/>
            <w:shd w:val="clear" w:color="auto" w:fill="C6EFCE"/>
            <w:noWrap/>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 xml:space="preserve">Влизане в сила на изменението на Кралски указ 215/2014 на Устройствения статут на AIReF със създаването на постоянно звено, което да отговаря за извършването на прегледите на разходите, възложени от правителството. </w:t>
            </w:r>
          </w:p>
        </w:tc>
      </w:tr>
      <w:tr>
        <w:trPr>
          <w:trHeight w:val="309"/>
        </w:trPr>
        <w:tc>
          <w:tcPr>
            <w:tcW w:w="709"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400</w:t>
            </w:r>
          </w:p>
        </w:tc>
        <w:tc>
          <w:tcPr>
            <w:tcW w:w="851"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C29.R1</w:t>
            </w:r>
          </w:p>
        </w:tc>
        <w:tc>
          <w:tcPr>
            <w:tcW w:w="850"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2142" w:type="dxa"/>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szCs w:val="18"/>
              </w:rPr>
              <w:t>Одобряване от Министерския съвет на новия цикъл (2022—26 г.) на прегледите на разходите, които ще бъдат възложени на AIReF.</w:t>
            </w:r>
          </w:p>
        </w:tc>
        <w:tc>
          <w:tcPr>
            <w:tcW w:w="1544"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Разпоредба от споразумението на Министерския съвет, в което се посочва влизането му в сила</w:t>
            </w:r>
          </w:p>
        </w:tc>
        <w:tc>
          <w:tcPr>
            <w:tcW w:w="796"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 </w:t>
            </w:r>
          </w:p>
        </w:tc>
        <w:tc>
          <w:tcPr>
            <w:tcW w:w="630" w:type="dxa"/>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szCs w:val="18"/>
              </w:rPr>
              <w:t> </w:t>
            </w:r>
          </w:p>
        </w:tc>
        <w:tc>
          <w:tcPr>
            <w:tcW w:w="558" w:type="dxa"/>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szCs w:val="18"/>
              </w:rPr>
              <w:t> </w:t>
            </w:r>
          </w:p>
        </w:tc>
        <w:tc>
          <w:tcPr>
            <w:tcW w:w="432"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702"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2021</w:t>
            </w:r>
          </w:p>
        </w:tc>
        <w:tc>
          <w:tcPr>
            <w:tcW w:w="6096" w:type="dxa"/>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Новият цикъл за преглед на многогодишните публични разходи обхваща периода 2022—2026 г. С цел правилно планиране на прилагането и събиране на необходимата информация за всеки етап от прегледа на разходите, след консултация с AIReF, Министерският съвет взема решение и публикува най-малко областите на политиката, съответните публични субекти и периодите, обхванати от анализа, както и съответните методологични аспекти. </w:t>
            </w:r>
          </w:p>
        </w:tc>
      </w:tr>
      <w:tr>
        <w:trPr>
          <w:trHeight w:val="390"/>
        </w:trPr>
        <w:tc>
          <w:tcPr>
            <w:tcW w:w="709"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401</w:t>
            </w:r>
          </w:p>
        </w:tc>
        <w:tc>
          <w:tcPr>
            <w:tcW w:w="851"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C29.R1</w:t>
            </w:r>
          </w:p>
        </w:tc>
        <w:tc>
          <w:tcPr>
            <w:tcW w:w="850"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T</w:t>
            </w:r>
          </w:p>
        </w:tc>
        <w:tc>
          <w:tcPr>
            <w:tcW w:w="2142" w:type="dxa"/>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szCs w:val="18"/>
              </w:rPr>
              <w:t>Публикуване на мониторингов доклад</w:t>
            </w:r>
          </w:p>
        </w:tc>
        <w:tc>
          <w:tcPr>
            <w:tcW w:w="1544"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Публикуване на уебсайта на Министерството на финансите</w:t>
            </w:r>
          </w:p>
        </w:tc>
        <w:tc>
          <w:tcPr>
            <w:tcW w:w="796"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630" w:type="dxa"/>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558" w:type="dxa"/>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432"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T1</w:t>
            </w:r>
          </w:p>
        </w:tc>
        <w:tc>
          <w:tcPr>
            <w:tcW w:w="702"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2022</w:t>
            </w:r>
          </w:p>
        </w:tc>
        <w:tc>
          <w:tcPr>
            <w:tcW w:w="6096" w:type="dxa"/>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szCs w:val="18"/>
              </w:rPr>
              <w:t>Ежегодно публикуване на мониторингов доклад. В доклада се изброяват препоръките, издадени от AIReF, и се описват подробно регулаторните промени или другите мерки, предприети за тяхното преодоляване. Когато разходните центрове, до които са отправени препоръките, не са съгласни с тях, се включва подходяща обосновка.</w:t>
            </w:r>
          </w:p>
        </w:tc>
      </w:tr>
      <w:tr>
        <w:trPr>
          <w:trHeight w:val="309"/>
        </w:trPr>
        <w:tc>
          <w:tcPr>
            <w:tcW w:w="709"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402</w:t>
            </w:r>
          </w:p>
        </w:tc>
        <w:tc>
          <w:tcPr>
            <w:tcW w:w="851"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C29.R1</w:t>
            </w:r>
          </w:p>
        </w:tc>
        <w:tc>
          <w:tcPr>
            <w:tcW w:w="850"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2142" w:type="dxa"/>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szCs w:val="18"/>
              </w:rPr>
              <w:t>Етап III от прегледа на разходите</w:t>
            </w:r>
          </w:p>
        </w:tc>
        <w:tc>
          <w:tcPr>
            <w:tcW w:w="1544"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Публикуване на докладите на уебсайта на AIReF</w:t>
            </w:r>
          </w:p>
        </w:tc>
        <w:tc>
          <w:tcPr>
            <w:tcW w:w="796"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 </w:t>
            </w:r>
          </w:p>
        </w:tc>
        <w:tc>
          <w:tcPr>
            <w:tcW w:w="630" w:type="dxa"/>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szCs w:val="18"/>
              </w:rPr>
              <w:t> </w:t>
            </w:r>
          </w:p>
        </w:tc>
        <w:tc>
          <w:tcPr>
            <w:tcW w:w="558" w:type="dxa"/>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szCs w:val="18"/>
              </w:rPr>
              <w:t> </w:t>
            </w:r>
          </w:p>
        </w:tc>
        <w:tc>
          <w:tcPr>
            <w:tcW w:w="432"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T2</w:t>
            </w:r>
          </w:p>
        </w:tc>
        <w:tc>
          <w:tcPr>
            <w:tcW w:w="702"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2023</w:t>
            </w:r>
          </w:p>
        </w:tc>
        <w:tc>
          <w:tcPr>
            <w:tcW w:w="6096" w:type="dxa"/>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szCs w:val="18"/>
              </w:rPr>
              <w:t>Публикуване на докладите от третата фаза на прегледа на разходите от AIReF.</w:t>
            </w:r>
          </w:p>
        </w:tc>
      </w:tr>
      <w:tr>
        <w:trPr>
          <w:trHeight w:val="309"/>
        </w:trPr>
        <w:tc>
          <w:tcPr>
            <w:tcW w:w="709"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403</w:t>
            </w:r>
          </w:p>
        </w:tc>
        <w:tc>
          <w:tcPr>
            <w:tcW w:w="851"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C29.R2</w:t>
            </w:r>
          </w:p>
        </w:tc>
        <w:tc>
          <w:tcPr>
            <w:tcW w:w="850"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2142" w:type="dxa"/>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szCs w:val="18"/>
              </w:rPr>
              <w:t>Доклад за привеждане в съответствие на бюджета с ЦУР</w:t>
            </w:r>
          </w:p>
        </w:tc>
        <w:tc>
          <w:tcPr>
            <w:tcW w:w="1544"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Публикуване като допълнителна документация в годишния закон за бюджета</w:t>
            </w:r>
          </w:p>
        </w:tc>
        <w:tc>
          <w:tcPr>
            <w:tcW w:w="796"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630" w:type="dxa"/>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558" w:type="dxa"/>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432"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T3</w:t>
            </w:r>
          </w:p>
        </w:tc>
        <w:tc>
          <w:tcPr>
            <w:tcW w:w="702"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2021</w:t>
            </w:r>
          </w:p>
        </w:tc>
        <w:tc>
          <w:tcPr>
            <w:tcW w:w="6096" w:type="dxa"/>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szCs w:val="18"/>
              </w:rPr>
              <w:t>Публикуване на доклада, придружаващ проектозакона за бюджета за 2022 г. относно привеждането му в съответствие с целите за устойчиво развитие.</w:t>
            </w:r>
          </w:p>
        </w:tc>
      </w:tr>
      <w:tr>
        <w:trPr>
          <w:trHeight w:val="309"/>
        </w:trPr>
        <w:tc>
          <w:tcPr>
            <w:tcW w:w="709"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404</w:t>
            </w:r>
          </w:p>
        </w:tc>
        <w:tc>
          <w:tcPr>
            <w:tcW w:w="851"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C29.R3</w:t>
            </w:r>
          </w:p>
        </w:tc>
        <w:tc>
          <w:tcPr>
            <w:tcW w:w="850"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2142" w:type="dxa"/>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szCs w:val="18"/>
              </w:rPr>
              <w:t>Доклад за привеждане в съответствие на екологосъобразното бюджетиране</w:t>
            </w:r>
          </w:p>
        </w:tc>
        <w:tc>
          <w:tcPr>
            <w:tcW w:w="1544"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Публикуване като допълнителна документация в годишния закон за бюджета</w:t>
            </w:r>
          </w:p>
        </w:tc>
        <w:tc>
          <w:tcPr>
            <w:tcW w:w="796"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630" w:type="dxa"/>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558" w:type="dxa"/>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432"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T3</w:t>
            </w:r>
          </w:p>
        </w:tc>
        <w:tc>
          <w:tcPr>
            <w:tcW w:w="702"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2022</w:t>
            </w:r>
          </w:p>
        </w:tc>
        <w:tc>
          <w:tcPr>
            <w:tcW w:w="6096" w:type="dxa"/>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szCs w:val="18"/>
              </w:rPr>
              <w:t>Доклад относно Зеления бюджет (зелено измерение), придружаващ Закона за годишния бюджет за 2023 г. Докладът очертава екологичните разходи в годишния закон за бюджета и се изготвя в съответствие с методологията и рамката за мониторинг, разработени с подкрепата на Инструмента на ЕС за техническа подкрепа.</w:t>
            </w:r>
          </w:p>
        </w:tc>
      </w:tr>
      <w:tr>
        <w:trPr>
          <w:trHeight w:val="309"/>
        </w:trPr>
        <w:tc>
          <w:tcPr>
            <w:tcW w:w="709" w:type="dxa"/>
            <w:shd w:val="clear" w:color="auto" w:fill="C6EFCE"/>
            <w:noWrap/>
          </w:tcPr>
          <w:p>
            <w:pPr>
              <w:spacing w:after="0"/>
              <w:jc w:val="center"/>
              <w:rPr>
                <w:rFonts w:ascii="Times New Roman" w:hAnsi="Times New Roman" w:cs="Times New Roman"/>
                <w:noProof/>
                <w:color w:val="000000"/>
                <w:sz w:val="18"/>
                <w:szCs w:val="18"/>
              </w:rPr>
            </w:pPr>
            <w:r>
              <w:rPr>
                <w:rFonts w:ascii="Times New Roman" w:hAnsi="Times New Roman"/>
                <w:noProof/>
                <w:color w:val="000000"/>
                <w:sz w:val="18"/>
                <w:szCs w:val="18"/>
              </w:rPr>
              <w:t>405</w:t>
            </w:r>
          </w:p>
        </w:tc>
        <w:tc>
          <w:tcPr>
            <w:tcW w:w="851" w:type="dxa"/>
            <w:shd w:val="clear" w:color="auto" w:fill="C6EFCE"/>
            <w:noWrap/>
          </w:tcPr>
          <w:p>
            <w:pPr>
              <w:spacing w:after="0"/>
              <w:jc w:val="center"/>
              <w:rPr>
                <w:rFonts w:ascii="Times New Roman" w:hAnsi="Times New Roman" w:cs="Times New Roman"/>
                <w:noProof/>
                <w:color w:val="000000"/>
                <w:sz w:val="18"/>
                <w:szCs w:val="18"/>
              </w:rPr>
            </w:pPr>
            <w:r>
              <w:rPr>
                <w:rFonts w:ascii="Times New Roman" w:hAnsi="Times New Roman"/>
                <w:noProof/>
                <w:color w:val="000000"/>
                <w:sz w:val="18"/>
                <w:szCs w:val="18"/>
              </w:rPr>
              <w:t>C29.R3</w:t>
            </w:r>
          </w:p>
        </w:tc>
        <w:tc>
          <w:tcPr>
            <w:tcW w:w="850" w:type="dxa"/>
            <w:shd w:val="clear" w:color="auto" w:fill="C6EFCE"/>
            <w:noWrap/>
          </w:tcPr>
          <w:p>
            <w:pPr>
              <w:spacing w:after="0"/>
              <w:jc w:val="center"/>
              <w:rPr>
                <w:rFonts w:ascii="Times New Roman" w:hAnsi="Times New Roman" w:cs="Times New Roman"/>
                <w:noProof/>
                <w:color w:val="000000"/>
                <w:sz w:val="18"/>
                <w:szCs w:val="18"/>
              </w:rPr>
            </w:pPr>
            <w:r>
              <w:rPr>
                <w:rFonts w:ascii="Times New Roman" w:hAnsi="Times New Roman"/>
                <w:noProof/>
                <w:color w:val="000000"/>
                <w:sz w:val="18"/>
                <w:szCs w:val="18"/>
              </w:rPr>
              <w:t>M</w:t>
            </w:r>
          </w:p>
        </w:tc>
        <w:tc>
          <w:tcPr>
            <w:tcW w:w="2142" w:type="dxa"/>
            <w:shd w:val="clear" w:color="auto" w:fill="C6EFCE"/>
            <w:noWrap/>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Доклад за привеждане в съответствие на екологосъобразното бюджетиране</w:t>
            </w:r>
          </w:p>
        </w:tc>
        <w:tc>
          <w:tcPr>
            <w:tcW w:w="1544" w:type="dxa"/>
            <w:shd w:val="clear" w:color="auto" w:fill="C6EFCE"/>
            <w:noWrap/>
          </w:tcPr>
          <w:p>
            <w:pPr>
              <w:spacing w:after="0"/>
              <w:jc w:val="center"/>
              <w:rPr>
                <w:rFonts w:ascii="Times New Roman" w:hAnsi="Times New Roman" w:cs="Times New Roman"/>
                <w:noProof/>
                <w:color w:val="000000"/>
                <w:sz w:val="18"/>
                <w:szCs w:val="18"/>
              </w:rPr>
            </w:pPr>
            <w:r>
              <w:rPr>
                <w:rFonts w:ascii="Times New Roman" w:hAnsi="Times New Roman"/>
                <w:noProof/>
                <w:color w:val="000000"/>
                <w:sz w:val="18"/>
                <w:szCs w:val="18"/>
              </w:rPr>
              <w:t>Публикуване като допълнителна документация в годишния закон за бюджета</w:t>
            </w:r>
          </w:p>
        </w:tc>
        <w:tc>
          <w:tcPr>
            <w:tcW w:w="796" w:type="dxa"/>
            <w:shd w:val="clear" w:color="auto" w:fill="C6EFCE"/>
            <w:noWrap/>
          </w:tcPr>
          <w:p>
            <w:pPr>
              <w:spacing w:after="0"/>
              <w:jc w:val="center"/>
              <w:rPr>
                <w:rFonts w:ascii="Times New Roman" w:hAnsi="Times New Roman" w:cs="Times New Roman"/>
                <w:noProof/>
                <w:color w:val="000000"/>
                <w:sz w:val="18"/>
                <w:szCs w:val="18"/>
              </w:rPr>
            </w:pPr>
            <w:r>
              <w:rPr>
                <w:rFonts w:ascii="Times New Roman" w:hAnsi="Times New Roman"/>
                <w:noProof/>
                <w:color w:val="000000"/>
                <w:sz w:val="18"/>
                <w:szCs w:val="18"/>
              </w:rPr>
              <w:t xml:space="preserve"> </w:t>
            </w:r>
          </w:p>
        </w:tc>
        <w:tc>
          <w:tcPr>
            <w:tcW w:w="630" w:type="dxa"/>
            <w:shd w:val="clear" w:color="auto" w:fill="C6EFCE"/>
            <w:noWrap/>
          </w:tcPr>
          <w:p>
            <w:pPr>
              <w:spacing w:after="0"/>
              <w:jc w:val="right"/>
              <w:rPr>
                <w:rFonts w:ascii="Times New Roman" w:hAnsi="Times New Roman" w:cs="Times New Roman"/>
                <w:noProof/>
                <w:color w:val="000000"/>
                <w:sz w:val="18"/>
                <w:szCs w:val="18"/>
              </w:rPr>
            </w:pPr>
            <w:r>
              <w:rPr>
                <w:rFonts w:ascii="Times New Roman" w:hAnsi="Times New Roman"/>
                <w:noProof/>
                <w:color w:val="000000"/>
                <w:sz w:val="18"/>
                <w:szCs w:val="18"/>
              </w:rPr>
              <w:t xml:space="preserve"> </w:t>
            </w:r>
          </w:p>
        </w:tc>
        <w:tc>
          <w:tcPr>
            <w:tcW w:w="558" w:type="dxa"/>
            <w:shd w:val="clear" w:color="auto" w:fill="C6EFCE"/>
            <w:noWrap/>
          </w:tcPr>
          <w:p>
            <w:pPr>
              <w:spacing w:after="0"/>
              <w:jc w:val="right"/>
              <w:rPr>
                <w:rFonts w:ascii="Times New Roman" w:hAnsi="Times New Roman" w:cs="Times New Roman"/>
                <w:noProof/>
                <w:color w:val="000000"/>
                <w:sz w:val="18"/>
                <w:szCs w:val="18"/>
              </w:rPr>
            </w:pPr>
            <w:r>
              <w:rPr>
                <w:rFonts w:ascii="Times New Roman" w:hAnsi="Times New Roman"/>
                <w:noProof/>
                <w:color w:val="000000"/>
                <w:sz w:val="18"/>
                <w:szCs w:val="18"/>
              </w:rPr>
              <w:t xml:space="preserve"> </w:t>
            </w:r>
          </w:p>
        </w:tc>
        <w:tc>
          <w:tcPr>
            <w:tcW w:w="432" w:type="dxa"/>
            <w:shd w:val="clear" w:color="auto" w:fill="C6EFCE"/>
            <w:noWrap/>
          </w:tcPr>
          <w:p>
            <w:pPr>
              <w:spacing w:after="0"/>
              <w:jc w:val="center"/>
              <w:rPr>
                <w:rFonts w:ascii="Times New Roman" w:hAnsi="Times New Roman" w:cs="Times New Roman"/>
                <w:noProof/>
                <w:color w:val="000000"/>
                <w:sz w:val="18"/>
                <w:szCs w:val="18"/>
              </w:rPr>
            </w:pPr>
            <w:r>
              <w:rPr>
                <w:rFonts w:ascii="Times New Roman" w:hAnsi="Times New Roman"/>
                <w:noProof/>
                <w:color w:val="000000"/>
                <w:sz w:val="18"/>
                <w:szCs w:val="18"/>
              </w:rPr>
              <w:t>T3</w:t>
            </w:r>
          </w:p>
        </w:tc>
        <w:tc>
          <w:tcPr>
            <w:tcW w:w="702" w:type="dxa"/>
            <w:shd w:val="clear" w:color="auto" w:fill="C6EFCE"/>
            <w:noWrap/>
          </w:tcPr>
          <w:p>
            <w:pPr>
              <w:spacing w:after="0"/>
              <w:jc w:val="center"/>
              <w:rPr>
                <w:rFonts w:ascii="Times New Roman" w:hAnsi="Times New Roman" w:cs="Times New Roman"/>
                <w:noProof/>
                <w:color w:val="000000"/>
                <w:sz w:val="18"/>
                <w:szCs w:val="18"/>
              </w:rPr>
            </w:pPr>
            <w:r>
              <w:rPr>
                <w:rFonts w:ascii="Times New Roman" w:hAnsi="Times New Roman"/>
                <w:noProof/>
                <w:color w:val="000000"/>
                <w:sz w:val="18"/>
                <w:szCs w:val="18"/>
              </w:rPr>
              <w:t>2023</w:t>
            </w:r>
          </w:p>
        </w:tc>
        <w:tc>
          <w:tcPr>
            <w:tcW w:w="6096" w:type="dxa"/>
            <w:shd w:val="clear" w:color="auto" w:fill="C6EFCE"/>
            <w:noWrap/>
          </w:tcPr>
          <w:p>
            <w:pPr>
              <w:spacing w:after="0"/>
              <w:rPr>
                <w:rFonts w:ascii="Times New Roman" w:hAnsi="Times New Roman" w:cs="Times New Roman"/>
                <w:noProof/>
                <w:color w:val="000000"/>
                <w:sz w:val="18"/>
                <w:szCs w:val="18"/>
              </w:rPr>
            </w:pPr>
            <w:r>
              <w:rPr>
                <w:rFonts w:ascii="Times New Roman" w:hAnsi="Times New Roman"/>
                <w:noProof/>
                <w:color w:val="000000"/>
                <w:sz w:val="18"/>
                <w:szCs w:val="18"/>
              </w:rPr>
              <w:t>Доклад относно „Зеления бюджет„(кафяво измерение), придружаващ Закона за годишния бюджет за 2024 г. Докладът посочва „кафявите“ разходи в годишния закон за бюджета и се изготвя в съответствие с методологията и рамката за мониторинг, разработени с подкрепата на Инструмента на ЕС за техническа подкрепа.</w:t>
            </w:r>
          </w:p>
        </w:tc>
      </w:tr>
    </w:tbl>
    <w:p>
      <w:pPr>
        <w:pStyle w:val="SectionTitle"/>
        <w:rPr>
          <w:noProof/>
          <w:sz w:val="2"/>
          <w:szCs w:val="2"/>
        </w:rPr>
        <w:sectPr>
          <w:headerReference w:type="even" r:id="rId361"/>
          <w:headerReference w:type="default" r:id="rId362"/>
          <w:footerReference w:type="even" r:id="rId363"/>
          <w:footerReference w:type="default" r:id="rId364"/>
          <w:headerReference w:type="first" r:id="rId365"/>
          <w:footerReference w:type="first" r:id="rId366"/>
          <w:pgSz w:w="16839" w:h="11907" w:orient="landscape"/>
          <w:pgMar w:top="1417" w:right="1134" w:bottom="1417" w:left="1134" w:header="709" w:footer="709" w:gutter="0"/>
          <w:cols w:space="720"/>
          <w:docGrid w:linePitch="360"/>
        </w:sectPr>
      </w:pPr>
    </w:p>
    <w:p>
      <w:pPr>
        <w:pStyle w:val="Heading1"/>
        <w:rPr>
          <w:noProof/>
        </w:rPr>
      </w:pPr>
      <w:r>
        <w:rPr>
          <w:noProof/>
        </w:rPr>
        <w:t>АГ. КОМПОНЕНТ 30: Пенсии</w:t>
      </w:r>
    </w:p>
    <w:p>
      <w:pPr>
        <w:pStyle w:val="Text1"/>
        <w:ind w:left="0"/>
        <w:rPr>
          <w:rStyle w:val="IntenseEmphasis"/>
          <w:i w:val="0"/>
          <w:noProof/>
          <w:szCs w:val="24"/>
        </w:rPr>
      </w:pPr>
      <w:r>
        <w:rPr>
          <w:noProof/>
        </w:rPr>
        <w:t>Целта на компонента на испанския план за възстановяване и устойчивост е да се реформира пенсионната система с цел i) да се гарантира финансовата устойчивост на системата в краткосрочен, средносрочен и дългосрочен план, ii) да се запази покупателната способност на пенсиите, iii) да се запази адекватността на пенсиите, iv) пенсионерите да бъдат защитени от бедност и v) да се осигури равнопоставеност между поколенията. Мерките за реформи се основават на широкия парламентарен консенсус относно приемането на препоръките на Пакта от Толедо</w:t>
      </w:r>
      <w:r>
        <w:rPr>
          <w:rStyle w:val="FootnoteReference"/>
          <w:noProof/>
          <w:szCs w:val="24"/>
          <w:lang w:val="en-IE"/>
        </w:rPr>
        <w:footnoteReference w:id="104"/>
      </w:r>
      <w:r>
        <w:rPr>
          <w:noProof/>
        </w:rPr>
        <w:t>. Мерките, които все още са предмет на социален диалог, включват: i) отделяне на източниците на финансиране, ii) преразгледан механизъм за индексиране на пенсионните обезщетения, iii) стимули за късно пенсиониране и регулаторни промени по отношение на ранното пенсиониране, iv) промени в осигурителния период за изчисляване на пенсията за осигурителен стаж и възраст, v) нова система от вноски за самостоятелно заетите лица въз основа на реалните доходи и vi) развитие на професионалните пенсионни схеми чрез колективно договаряне.</w:t>
      </w:r>
    </w:p>
    <w:p>
      <w:pPr>
        <w:pStyle w:val="Text1"/>
        <w:ind w:left="0"/>
        <w:rPr>
          <w:rStyle w:val="IntenseEmphasis"/>
          <w:i w:val="0"/>
          <w:noProof/>
          <w:color w:val="000000" w:themeColor="text1"/>
          <w:spacing w:val="-2"/>
        </w:rPr>
      </w:pPr>
      <w:r>
        <w:rPr>
          <w:rStyle w:val="IntenseEmphasis"/>
          <w:i w:val="0"/>
          <w:noProof/>
          <w:color w:val="000000" w:themeColor="text1"/>
          <w:spacing w:val="-2"/>
        </w:rPr>
        <w:t xml:space="preserve">Компонентът е насочен към специфичните за всяка държава препоръки за запазване на устойчивостта на пенсионната система (специфичната за държавата препоръка 1 2019 г.) и за провеждане на фискални политики, когато икономическите условия позволяват това, насочени към постигане на благоразумни средносрочни бюджетни позиции и гарантиране на устойчивостта на дълга, като същевременно се насърчават инвестициите (специфичната за държавата препоръка 1 2020 г.). </w:t>
      </w:r>
    </w:p>
    <w:p>
      <w:pPr>
        <w:pStyle w:val="Text1"/>
        <w:ind w:left="0"/>
        <w:rPr>
          <w:noProof/>
          <w:color w:val="000000" w:themeColor="text1"/>
        </w:rPr>
      </w:pPr>
      <w:r>
        <w:rPr>
          <w:noProof/>
          <w:color w:val="000000" w:themeColor="text1"/>
        </w:rPr>
        <w:t>Очаква се, че нито една мярка в този компонент не вреди в значителна степен на екологичните цели по смисъла на член 17 от Регламент (ЕС) 2020/852, като се вземат предвид описанието на мерките и стъпките за смекчаване на последиците, определени в плана за възстановяване и устойчивост в съответствие с Техническите насоки за спазването на „принципа за ненанасяне на съществена вреда“ (2021/C58/01).</w:t>
      </w:r>
    </w:p>
    <w:p>
      <w:pPr>
        <w:pStyle w:val="Text1"/>
        <w:ind w:left="709"/>
        <w:rPr>
          <w:b/>
          <w:bCs/>
          <w:noProof/>
          <w:szCs w:val="24"/>
          <w:u w:val="single"/>
        </w:rPr>
      </w:pPr>
      <w:r>
        <w:rPr>
          <w:b/>
          <w:bCs/>
          <w:noProof/>
          <w:szCs w:val="24"/>
          <w:u w:val="single"/>
        </w:rPr>
        <w:t xml:space="preserve">AГ.1. </w:t>
      </w:r>
      <w:r>
        <w:rPr>
          <w:b/>
          <w:noProof/>
          <w:szCs w:val="24"/>
          <w:u w:val="single"/>
        </w:rPr>
        <w:tab/>
      </w:r>
      <w:r>
        <w:rPr>
          <w:b/>
          <w:bCs/>
          <w:noProof/>
          <w:szCs w:val="24"/>
          <w:u w:val="single"/>
        </w:rPr>
        <w:t>Описание на реформите и инвестициите за безвъзмездна финансова подкрепа</w:t>
      </w:r>
    </w:p>
    <w:p>
      <w:pPr>
        <w:pStyle w:val="Text1"/>
        <w:ind w:left="0"/>
        <w:rPr>
          <w:noProof/>
          <w:szCs w:val="24"/>
        </w:rPr>
      </w:pPr>
      <w:r>
        <w:rPr>
          <w:iCs/>
          <w:noProof/>
          <w:color w:val="000000" w:themeColor="text1"/>
          <w:szCs w:val="24"/>
          <w:u w:val="single"/>
        </w:rPr>
        <w:t>Реформа 1 (C30.R1) – Разпределяне на източниците на финансиране на социалната сигурност</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Целта на реформата е да се промени финансирането на пенсионната система в съответствие с препоръките на Пакта от Толедо, така че зависещите от вноски обезщетения да се финансират чрез социални вноски, а независещите от вноски обезщетения да се изплащат от държавния бюджет. Реформата се състои в това държавата да поеме финансирането на редица разходни позиции, които понастоящем се покриват от социалноосигурителни вноски. Реформата засилва връзката между вноските и правата и подобрява финансовата устойчивост на социалноосигурителната система.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Разходните позиции, които преди са били финансирани чрез социалноосигурителни вноски, но съгласно тази реформа се считат за независещи от вноски и се финансират от държавния бюджет, се състоят от i) част от политиките за заетост, независещи от вноски, ii) намаления на социалноосигурителните вноски за насърчаване на заетостта, iii) помощи за раждане и отглеждане на дете, iv) разходи, свързани с ранно пенсиониране, v) добавка за майчинство, v) пенсии за членове на семейството, vi) мерки за подпомагане („имплицитни субсидии“) за специални схеми и vii) разходи за допълване на пенсионните вноски.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Реформата започна чрез разпоредби в общия държавен бюджет за 2021 г. и ще бъде осъществена постепенно чрез трансфери от държавния бюджет към бюджета за социална сигурност.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Мярката се изпълнява до 31 декември 2023 г.</w:t>
      </w:r>
    </w:p>
    <w:p>
      <w:pPr>
        <w:pStyle w:val="Text1"/>
        <w:ind w:left="0"/>
        <w:rPr>
          <w:iCs/>
          <w:noProof/>
          <w:color w:val="000000" w:themeColor="text1"/>
          <w:szCs w:val="24"/>
          <w:u w:val="single"/>
        </w:rPr>
      </w:pPr>
      <w:r>
        <w:rPr>
          <w:noProof/>
          <w:u w:val="single"/>
        </w:rPr>
        <w:t>Реформа 2 (C30.R2) – запазване на покупателната способност на пенсиите, привеждане на действителната пенсионна възраст в съответствие със законоустановената пенсионна възраст, адаптиране на изчислителния период за изчисляване на пенсията за осигурителен стаж и възраст към новите кариери и замяна на коефициента на устойчивост с механизъм за равенство между поколенията</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Целите на реформата са i) да се гарантира покупателната способност на пенсионерите, ii) да се увеличи участието на пазара на труда на възраст, близка до законоустановената пенсионна възраст, iii) да се отложи пенсионирането, iv) да се засили прогресивността на системата за плащане на вноски, v) да се адаптира настоящият регламент към прекъсващите се кариери и други форми на нетипична заетост и vi) да се преодолее въздействието на предстоящите демографски промени, без да се влошава адекватността на настоящите и бъдещите пенсии. Реформата се състои от четири отделни регулаторни реформи в съответствие с препоръките на Пакта от Толедо, които ще бъдат приети на два етапа. </w:t>
      </w:r>
    </w:p>
    <w:p>
      <w:pPr>
        <w:spacing w:before="120" w:after="120" w:line="240" w:lineRule="auto"/>
        <w:rPr>
          <w:rFonts w:ascii="Times New Roman" w:hAnsi="Times New Roman" w:cs="Times New Roman"/>
          <w:noProof/>
          <w:sz w:val="24"/>
          <w:szCs w:val="24"/>
        </w:rPr>
      </w:pPr>
      <w:r>
        <w:rPr>
          <w:rFonts w:ascii="Times New Roman" w:hAnsi="Times New Roman"/>
          <w:noProof/>
          <w:sz w:val="24"/>
          <w:szCs w:val="24"/>
        </w:rPr>
        <w:t>Реформите, които трябва да влязат в сила до 31 декември 2021 г, са:</w:t>
      </w:r>
    </w:p>
    <w:p>
      <w:pPr>
        <w:pStyle w:val="ListParagraph"/>
        <w:numPr>
          <w:ilvl w:val="0"/>
          <w:numId w:val="123"/>
        </w:num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Нов механизъм за индексиране, който обвързва пенсионните обезщетения с инфлацията, с цел да се гарантира постоянна покупателна способност на пенсионерите. </w:t>
      </w:r>
    </w:p>
    <w:p>
      <w:pPr>
        <w:pStyle w:val="ListParagraph"/>
        <w:numPr>
          <w:ilvl w:val="0"/>
          <w:numId w:val="123"/>
        </w:num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Привеждане на действителната пенсионна възраст в съответствие със законоустановената пенсионна възраст с цел увеличаване на участието на пазара на труда на възраст, близка до законоустановената пенсионна възраст, и отлагане на пенсионирането. Мярката се състои от следните регулаторни промени:</w:t>
      </w:r>
    </w:p>
    <w:p>
      <w:pPr>
        <w:pStyle w:val="ListParagraph"/>
        <w:numPr>
          <w:ilvl w:val="1"/>
          <w:numId w:val="123"/>
        </w:num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 Създаване на нови стимули за забавяне на пенсионирането (увеличаване на икономическите стимули за забавяне на пенсионирането и насърчаване на съвместимостта между работата и пенсиите). По-специално работниците, които отлагат пенсионирането си, имат право да избират измежду: увеличаване на размера на пенсията за всяка пълна година с допълнителни вноски, кредитирана между законоустановената пенсионна възраст и действителното пенсиониране; еднократно плащане; и комбинация от първите две.</w:t>
      </w:r>
    </w:p>
    <w:p>
      <w:pPr>
        <w:pStyle w:val="ListParagraph"/>
        <w:numPr>
          <w:ilvl w:val="1"/>
          <w:numId w:val="123"/>
        </w:num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Засилване на възпиращите фактори при регулирането на елементите за ранно пенсиониране на настоящото регулиране на ранното пенсиониране. Процентът на намаление за ранно пенсиониране се изменя, за да се увеличи действителната възраст за пенсиониране и да се премахне преференциалното третиране на тези пенсионери с максимална осигурителна основа. Разпоредбите за колективно договаряне, които налагат достъп до пенсия при стандартната пенсионна възраст, трябва да бъдат забранени.</w:t>
      </w:r>
    </w:p>
    <w:p>
      <w:pPr>
        <w:spacing w:before="120" w:after="120" w:line="240" w:lineRule="auto"/>
        <w:rPr>
          <w:rFonts w:ascii="Times New Roman" w:hAnsi="Times New Roman" w:cs="Times New Roman"/>
          <w:noProof/>
          <w:sz w:val="24"/>
          <w:szCs w:val="24"/>
        </w:rPr>
      </w:pPr>
      <w:r>
        <w:rPr>
          <w:rFonts w:ascii="Times New Roman" w:hAnsi="Times New Roman"/>
          <w:noProof/>
          <w:sz w:val="24"/>
          <w:szCs w:val="24"/>
        </w:rPr>
        <w:t>Реформите, които трябва да влязат в сила до 31 декември 2022 г., са:</w:t>
      </w:r>
    </w:p>
    <w:p>
      <w:pPr>
        <w:pStyle w:val="ListParagraph"/>
        <w:numPr>
          <w:ilvl w:val="0"/>
          <w:numId w:val="123"/>
        </w:num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Адаптиране на осигурителния стаж за изчисляване на пенсията за осигурителен стаж и възраст с цел да се засили прогресивността на системата и да се адаптира действащата нормативна уредба към прекъсванията в кариерата и други форми на нетипична заетост. </w:t>
      </w:r>
    </w:p>
    <w:p>
      <w:pPr>
        <w:pStyle w:val="ListParagraph"/>
        <w:numPr>
          <w:ilvl w:val="0"/>
          <w:numId w:val="123"/>
        </w:num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Замяна на фактора за устойчивост с механизъм, който гарантира равенство между поколенията и бюджетна устойчивост. Целта на мярката е да се преодолее въздействието на предстоящите демографски промени, без да се влошава адекватността на настоящите и бъдещите пенсии.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Мярката се изпълнява до 31 декември 2022 г.</w:t>
      </w:r>
    </w:p>
    <w:p>
      <w:pPr>
        <w:keepNext/>
        <w:spacing w:before="120" w:after="120" w:line="240" w:lineRule="auto"/>
        <w:rPr>
          <w:rFonts w:ascii="Times New Roman" w:hAnsi="Times New Roman" w:cs="Times New Roman"/>
          <w:noProof/>
          <w:color w:val="000000" w:themeColor="text1"/>
          <w:sz w:val="24"/>
          <w:szCs w:val="24"/>
          <w:u w:val="single"/>
        </w:rPr>
      </w:pPr>
      <w:r>
        <w:rPr>
          <w:rFonts w:ascii="Times New Roman" w:hAnsi="Times New Roman"/>
          <w:noProof/>
          <w:color w:val="000000" w:themeColor="text1"/>
          <w:sz w:val="24"/>
          <w:szCs w:val="24"/>
          <w:u w:val="single"/>
        </w:rPr>
        <w:t>Реформа 3 (C30.R3) – Реформа на системата за социалноосигурителни вноски за самостоятелно заетите лица</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Целта на реформата е да се уеднакви третирането на работниците и самостоятелно заетите лица, да се увеличат вноските в пенсионната система и да се гарантира, че самостоятелно заетите лица получават адекватен пенсионен доход. Реформата изменя режима на вноските на самостоятелно заетите лица. В съответствие с препоръките на Пакта от Толедо реформата ще основе вноските на самостоятелно заетите лица на реалния доход, вместо на базата от собствени вноски. Окончателната вноска се изчислява въз основа на доходите от професионална дейност на самостоятелно заето лице, предоставени от данъчните органи. Реформата се осъществява постепенно чрез увеличаване на минималната основа за вноските, за да се даде възможност за адаптиране към новия режим.</w:t>
      </w:r>
    </w:p>
    <w:p>
      <w:pPr>
        <w:spacing w:before="120" w:after="120" w:line="240" w:lineRule="auto"/>
        <w:rPr>
          <w:rFonts w:ascii="Times New Roman" w:hAnsi="Times New Roman" w:cs="Times New Roman"/>
          <w:noProof/>
          <w:sz w:val="24"/>
          <w:szCs w:val="24"/>
        </w:rPr>
      </w:pPr>
      <w:r>
        <w:rPr>
          <w:rFonts w:ascii="Times New Roman" w:hAnsi="Times New Roman"/>
          <w:noProof/>
          <w:sz w:val="24"/>
          <w:szCs w:val="24"/>
        </w:rPr>
        <w:t>Мярката се изпълнява до 30 юни 2022 г.</w:t>
      </w:r>
    </w:p>
    <w:p>
      <w:pPr>
        <w:keepNext/>
        <w:spacing w:before="120" w:after="120" w:line="240" w:lineRule="auto"/>
        <w:rPr>
          <w:rFonts w:ascii="Times New Roman" w:hAnsi="Times New Roman" w:cs="Times New Roman"/>
          <w:noProof/>
          <w:sz w:val="24"/>
          <w:szCs w:val="24"/>
        </w:rPr>
      </w:pPr>
      <w:r>
        <w:rPr>
          <w:rFonts w:ascii="Times New Roman" w:hAnsi="Times New Roman"/>
          <w:noProof/>
          <w:color w:val="000000" w:themeColor="text1"/>
          <w:sz w:val="24"/>
          <w:szCs w:val="24"/>
          <w:u w:val="single"/>
        </w:rPr>
        <w:t>Реформа 4 (C30.R4) – Рационализиране на добавките за майчинство</w:t>
      </w:r>
    </w:p>
    <w:p>
      <w:pPr>
        <w:keepNext/>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Целта на реформата е да се компенсират родителите, предимно майките, за разходите за раждане и грижи за децата, за да се намали разликата в пенсиите на мъжете и жените. Реформата преструктурира добавката за майчинство и вече е приета (Кралски указ 3/2021 от 2 февруари). Предишната добавка за майчинство, която е в сила от 2016 г., беше счетена за дискриминационна за мъжете от Съда на Европейския съюз в решението му от 12 декември 2019 г. Очаква се реформираната добавка за отпуск по майчинство да бъде в съответствие с решението на съда и да предотврати дискриминацията. Новата добавка се основава на анализ на начините за осигуряване, за да се установи кой от двамата родители е бил в най-неравностойно положение в своята кариера, зависеща от вноски в резултат на раждането на дете, като се предвижда, че в отсъствието на родител в особено неблагоприятно положение майката получава добавката.</w:t>
      </w:r>
    </w:p>
    <w:p>
      <w:pPr>
        <w:spacing w:before="120" w:after="120" w:line="240" w:lineRule="auto"/>
        <w:rPr>
          <w:rFonts w:ascii="Times New Roman" w:hAnsi="Times New Roman"/>
          <w:noProof/>
          <w:sz w:val="24"/>
          <w:szCs w:val="24"/>
        </w:rPr>
      </w:pPr>
      <w:r>
        <w:rPr>
          <w:rFonts w:ascii="Times New Roman" w:hAnsi="Times New Roman"/>
          <w:noProof/>
          <w:sz w:val="24"/>
          <w:szCs w:val="24"/>
        </w:rPr>
        <w:t>Мярката се изпълнява до 31 март 2021 г.</w:t>
      </w:r>
    </w:p>
    <w:p>
      <w:pPr>
        <w:rPr>
          <w:rFonts w:ascii="Times New Roman" w:hAnsi="Times New Roman"/>
          <w:noProof/>
          <w:sz w:val="24"/>
          <w:szCs w:val="24"/>
        </w:rPr>
      </w:pPr>
      <w:r>
        <w:rPr>
          <w:rFonts w:ascii="Times New Roman" w:hAnsi="Times New Roman"/>
          <w:noProof/>
          <w:sz w:val="24"/>
          <w:szCs w:val="24"/>
        </w:rPr>
        <w:br w:type="page"/>
      </w:r>
    </w:p>
    <w:p>
      <w:pPr>
        <w:spacing w:before="120" w:after="120" w:line="240" w:lineRule="auto"/>
        <w:rPr>
          <w:rFonts w:ascii="Times New Roman" w:hAnsi="Times New Roman" w:cs="Times New Roman"/>
          <w:noProof/>
          <w:color w:val="000000" w:themeColor="text1"/>
          <w:sz w:val="24"/>
          <w:szCs w:val="24"/>
          <w:u w:val="single"/>
        </w:rPr>
      </w:pPr>
      <w:r>
        <w:rPr>
          <w:rFonts w:ascii="Times New Roman" w:hAnsi="Times New Roman"/>
          <w:noProof/>
          <w:color w:val="000000" w:themeColor="text1"/>
          <w:sz w:val="24"/>
          <w:szCs w:val="24"/>
          <w:u w:val="single"/>
        </w:rPr>
        <w:t>Реформа 5 (C30.R5) – Преглед на настоящата система за допълнително пенсионно осигуряване</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Реформата преразглежда регулаторната рамка за системата за допълнително пенсионно осигуряване с цел да се увеличи покритието на професионалните пенсионни схеми, договорени чрез колективно договаряне, за предпочитане на секторно равнище. Новата правна рамка за професионалните пенсионни схеми има за цел да обхване работниците без професионални пенсионни схеми в техните дружества и самостоятелно заетите лица, които понастоящем нямат достъп до тези схеми по втория стълб. </w:t>
      </w:r>
    </w:p>
    <w:p>
      <w:pPr>
        <w:spacing w:before="120" w:after="120" w:line="240" w:lineRule="auto"/>
        <w:rPr>
          <w:rFonts w:ascii="Times New Roman" w:hAnsi="Times New Roman" w:cs="Times New Roman"/>
          <w:noProof/>
          <w:sz w:val="24"/>
          <w:szCs w:val="24"/>
        </w:rPr>
      </w:pPr>
      <w:r>
        <w:rPr>
          <w:rFonts w:ascii="Times New Roman" w:hAnsi="Times New Roman"/>
          <w:noProof/>
          <w:sz w:val="24"/>
          <w:szCs w:val="24"/>
        </w:rPr>
        <w:t>Конкретните мерки на реформата включват:</w:t>
      </w:r>
    </w:p>
    <w:p>
      <w:pPr>
        <w:pStyle w:val="ListParagraph"/>
        <w:numPr>
          <w:ilvl w:val="0"/>
          <w:numId w:val="124"/>
        </w:numPr>
        <w:spacing w:before="120" w:after="120" w:line="240" w:lineRule="auto"/>
        <w:rPr>
          <w:rFonts w:ascii="Times New Roman" w:hAnsi="Times New Roman" w:cs="Times New Roman"/>
          <w:noProof/>
          <w:sz w:val="24"/>
          <w:szCs w:val="24"/>
        </w:rPr>
      </w:pPr>
      <w:r>
        <w:rPr>
          <w:rFonts w:ascii="Times New Roman" w:hAnsi="Times New Roman"/>
          <w:noProof/>
          <w:sz w:val="24"/>
          <w:szCs w:val="24"/>
        </w:rPr>
        <w:t xml:space="preserve">Създаване на публично насърчавани фондове за професионално пенсионно осигуряване, управлявани от частния сектор. </w:t>
      </w:r>
    </w:p>
    <w:p>
      <w:pPr>
        <w:pStyle w:val="ListParagraph"/>
        <w:numPr>
          <w:ilvl w:val="0"/>
          <w:numId w:val="124"/>
        </w:numPr>
        <w:spacing w:before="120" w:after="120" w:line="240" w:lineRule="auto"/>
        <w:rPr>
          <w:rFonts w:ascii="Times New Roman" w:hAnsi="Times New Roman" w:cs="Times New Roman"/>
          <w:noProof/>
          <w:sz w:val="24"/>
          <w:szCs w:val="24"/>
        </w:rPr>
      </w:pPr>
      <w:r>
        <w:rPr>
          <w:rFonts w:ascii="Times New Roman" w:hAnsi="Times New Roman"/>
          <w:noProof/>
          <w:sz w:val="24"/>
          <w:szCs w:val="24"/>
        </w:rPr>
        <w:t>Стимули и регулаторни промени за увеличаване на обхвата на професионалните пенсионни схеми, договорени чрез колективно договаряне.</w:t>
      </w:r>
    </w:p>
    <w:p>
      <w:pPr>
        <w:pStyle w:val="ListParagraph"/>
        <w:numPr>
          <w:ilvl w:val="0"/>
          <w:numId w:val="124"/>
        </w:numPr>
        <w:spacing w:before="120" w:after="120" w:line="240" w:lineRule="auto"/>
        <w:rPr>
          <w:rFonts w:ascii="Times New Roman" w:hAnsi="Times New Roman" w:cs="Times New Roman"/>
          <w:noProof/>
          <w:sz w:val="24"/>
          <w:szCs w:val="24"/>
        </w:rPr>
      </w:pPr>
      <w:r>
        <w:rPr>
          <w:rFonts w:ascii="Times New Roman" w:hAnsi="Times New Roman"/>
          <w:noProof/>
          <w:sz w:val="24"/>
          <w:szCs w:val="24"/>
        </w:rPr>
        <w:t>Опростяване на процедурите на пенсионните схеми.</w:t>
      </w:r>
    </w:p>
    <w:p>
      <w:pPr>
        <w:pStyle w:val="ListParagraph"/>
        <w:numPr>
          <w:ilvl w:val="0"/>
          <w:numId w:val="124"/>
        </w:numPr>
        <w:spacing w:before="120" w:after="120" w:line="240" w:lineRule="auto"/>
        <w:rPr>
          <w:rFonts w:ascii="Times New Roman" w:hAnsi="Times New Roman" w:cs="Times New Roman"/>
          <w:noProof/>
          <w:sz w:val="24"/>
          <w:szCs w:val="24"/>
        </w:rPr>
      </w:pPr>
      <w:r>
        <w:rPr>
          <w:rFonts w:ascii="Times New Roman" w:hAnsi="Times New Roman"/>
          <w:noProof/>
          <w:sz w:val="24"/>
          <w:szCs w:val="24"/>
        </w:rPr>
        <w:t>Регулаторни промени за насърчаване на мобилността на работниците между различните дружества и сектори.</w:t>
      </w:r>
    </w:p>
    <w:p>
      <w:pPr>
        <w:pStyle w:val="ListParagraph"/>
        <w:numPr>
          <w:ilvl w:val="0"/>
          <w:numId w:val="124"/>
        </w:numPr>
        <w:spacing w:before="120" w:after="120" w:line="240" w:lineRule="auto"/>
        <w:rPr>
          <w:rFonts w:ascii="Times New Roman" w:hAnsi="Times New Roman" w:cs="Times New Roman"/>
          <w:noProof/>
          <w:sz w:val="24"/>
          <w:szCs w:val="24"/>
        </w:rPr>
      </w:pPr>
      <w:r>
        <w:rPr>
          <w:rFonts w:ascii="Times New Roman" w:hAnsi="Times New Roman"/>
          <w:noProof/>
          <w:sz w:val="24"/>
          <w:szCs w:val="24"/>
        </w:rPr>
        <w:t>Данъчни стимули за насърчаване на участието в колективни професионални схеми</w:t>
      </w:r>
    </w:p>
    <w:p>
      <w:pPr>
        <w:pStyle w:val="ListParagraph"/>
        <w:numPr>
          <w:ilvl w:val="0"/>
          <w:numId w:val="124"/>
        </w:numPr>
        <w:spacing w:before="120" w:after="120" w:line="240" w:lineRule="auto"/>
        <w:rPr>
          <w:rFonts w:ascii="Times New Roman" w:hAnsi="Times New Roman" w:cs="Times New Roman"/>
          <w:noProof/>
          <w:sz w:val="24"/>
          <w:szCs w:val="24"/>
        </w:rPr>
      </w:pPr>
      <w:r>
        <w:rPr>
          <w:rFonts w:ascii="Times New Roman" w:hAnsi="Times New Roman"/>
          <w:noProof/>
          <w:sz w:val="24"/>
          <w:szCs w:val="24"/>
        </w:rPr>
        <w:t>Ограничаване на разходите за управление за колективните схеми за заемане на по-малко от 0,30 % от управляваните активи.</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Изпълнението на реформата започна чрез разпоредби в общия държавен бюджет за 2021 г., които изместват данъчни стимули, свързани преди това с индивидуални пенсионни схеми в полза на колективните схеми (мярка v. по-горе), и чрез публично насърчаване на фондовете за професионално пенсионно осигуряване (мярка i. по-горе).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Мярката се изпълнява до 30 юни 2022 г.</w:t>
      </w:r>
    </w:p>
    <w:p>
      <w:pPr>
        <w:spacing w:before="120" w:after="120" w:line="240" w:lineRule="auto"/>
        <w:rPr>
          <w:rFonts w:ascii="Times New Roman" w:hAnsi="Times New Roman" w:cs="Times New Roman"/>
          <w:noProof/>
          <w:color w:val="000000" w:themeColor="text1"/>
          <w:sz w:val="24"/>
          <w:szCs w:val="24"/>
          <w:u w:val="single"/>
        </w:rPr>
      </w:pPr>
      <w:r>
        <w:rPr>
          <w:rFonts w:ascii="Times New Roman" w:hAnsi="Times New Roman"/>
          <w:noProof/>
          <w:color w:val="000000" w:themeColor="text1"/>
          <w:sz w:val="24"/>
          <w:szCs w:val="24"/>
          <w:u w:val="single"/>
        </w:rPr>
        <w:t>Реформа 6 (C30.R6) – Корекция на максималната основа за вноските</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Реформата увеличава максималната осигурителна основа на пенсионната система и коригира максималните пенсии с цел разширяване на основата на вноските, увеличаване на прогресивността на пенсионната система и увеличаване на общите приходи. Мерките са в съответствие с препоръките на Пакта от Толедо. Адаптирането на системата е постепенно, за да се даде възможност на участниците да се адаптират към промените. Максималните пенсии и максималните осигурителни основи се увеличават съответно, за да се запази осигурителният характер на системата. Реформата ще бъде осъществена постепенно през следващите тридесет години.</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Мярката влиза в сила до 31 декември 2022 г. </w:t>
      </w:r>
    </w:p>
    <w:p>
      <w:pPr>
        <w:pStyle w:val="Text1"/>
        <w:ind w:left="709"/>
        <w:rPr>
          <w:b/>
          <w:noProof/>
          <w:szCs w:val="24"/>
          <w:u w:val="single"/>
        </w:rPr>
      </w:pPr>
      <w:r>
        <w:rPr>
          <w:b/>
          <w:bCs/>
          <w:noProof/>
          <w:szCs w:val="24"/>
          <w:u w:val="single"/>
        </w:rPr>
        <w:t xml:space="preserve">AГ.2. </w:t>
      </w:r>
      <w:r>
        <w:rPr>
          <w:b/>
          <w:noProof/>
          <w:szCs w:val="24"/>
          <w:u w:val="single"/>
        </w:rPr>
        <w:tab/>
      </w:r>
      <w:r>
        <w:rPr>
          <w:b/>
          <w:bCs/>
          <w:noProof/>
          <w:szCs w:val="24"/>
          <w:u w:val="single"/>
        </w:rPr>
        <w:t>Ключови етапи, цели, показатели и график за мониторинг и изпълнение на безвъзмездната финансова подкрепа</w:t>
      </w:r>
    </w:p>
    <w:p>
      <w:pPr>
        <w:spacing w:before="120" w:after="120" w:line="240" w:lineRule="auto"/>
        <w:jc w:val="both"/>
        <w:rPr>
          <w:rFonts w:ascii="Times New Roman" w:hAnsi="Times New Roman" w:cs="Times New Roman"/>
          <w:noProof/>
          <w:color w:val="1F497D"/>
          <w:sz w:val="24"/>
          <w:szCs w:val="24"/>
        </w:rPr>
      </w:pPr>
      <w:r>
        <w:rPr>
          <w:rFonts w:ascii="Times New Roman" w:hAnsi="Times New Roman"/>
          <w:i/>
          <w:iCs/>
          <w:noProof/>
          <w:color w:val="000000"/>
          <w:sz w:val="24"/>
          <w:szCs w:val="24"/>
        </w:rPr>
        <w:t>Вж. таблицата по-долу.</w:t>
      </w:r>
      <w:r>
        <w:rPr>
          <w:rFonts w:ascii="Times New Roman" w:hAnsi="Times New Roman"/>
          <w:noProof/>
          <w:color w:val="1F497D"/>
          <w:sz w:val="24"/>
          <w:szCs w:val="24"/>
        </w:rPr>
        <w:t xml:space="preserve"> </w:t>
      </w:r>
      <w:r>
        <w:rPr>
          <w:rFonts w:ascii="Times New Roman" w:hAnsi="Times New Roman"/>
          <w:i/>
          <w:iCs/>
          <w:noProof/>
          <w:sz w:val="24"/>
          <w:szCs w:val="24"/>
        </w:rPr>
        <w:t>Датата на базовата линия за всички показатели е 1 февруари 2020 г., освен ако не е посочено друго в описанието на действието.</w:t>
      </w:r>
      <w:r>
        <w:rPr>
          <w:rFonts w:ascii="Times New Roman" w:hAnsi="Times New Roman"/>
          <w:i/>
          <w:iCs/>
          <w:noProof/>
          <w:color w:val="000000"/>
          <w:sz w:val="24"/>
          <w:szCs w:val="24"/>
        </w:rPr>
        <w:t xml:space="preserve"> Сумите в таблицата не включват ДДС.</w:t>
      </w:r>
      <w:r>
        <w:rPr>
          <w:rFonts w:ascii="Times New Roman" w:hAnsi="Times New Roman"/>
          <w:noProof/>
          <w:color w:val="1F497D"/>
          <w:sz w:val="24"/>
          <w:szCs w:val="24"/>
        </w:rPr>
        <w:t xml:space="preserve"> </w:t>
      </w:r>
    </w:p>
    <w:p>
      <w:pPr>
        <w:pStyle w:val="Text1"/>
        <w:ind w:left="709"/>
        <w:rPr>
          <w:noProof/>
          <w:lang w:val="en-IE"/>
        </w:rPr>
        <w:sectPr>
          <w:headerReference w:type="even" r:id="rId367"/>
          <w:headerReference w:type="default" r:id="rId368"/>
          <w:footerReference w:type="even" r:id="rId369"/>
          <w:footerReference w:type="default" r:id="rId370"/>
          <w:headerReference w:type="first" r:id="rId371"/>
          <w:footerReference w:type="first" r:id="rId372"/>
          <w:pgSz w:w="11907" w:h="16839"/>
          <w:pgMar w:top="1134" w:right="1417" w:bottom="1134" w:left="1417" w:header="709" w:footer="709" w:gutter="0"/>
          <w:cols w:space="720"/>
          <w:docGrid w:linePitch="360"/>
        </w:sectPr>
      </w:pPr>
    </w:p>
    <w:tbl>
      <w:tblPr>
        <w:tblW w:w="15310"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09"/>
        <w:gridCol w:w="851"/>
        <w:gridCol w:w="850"/>
        <w:gridCol w:w="1602"/>
        <w:gridCol w:w="1620"/>
        <w:gridCol w:w="810"/>
        <w:gridCol w:w="630"/>
        <w:gridCol w:w="441"/>
        <w:gridCol w:w="279"/>
        <w:gridCol w:w="714"/>
        <w:gridCol w:w="6804"/>
      </w:tblGrid>
      <w:tr>
        <w:trPr>
          <w:trHeight w:val="309"/>
          <w:tblHeader/>
        </w:trPr>
        <w:tc>
          <w:tcPr>
            <w:tcW w:w="709" w:type="dxa"/>
            <w:tcBorders>
              <w:bottom w:val="nil"/>
            </w:tcBorders>
            <w:shd w:val="clear" w:color="auto" w:fill="C6D9F1" w:themeFill="text2" w:themeFillTint="33"/>
            <w:noWrap/>
          </w:tcPr>
          <w:p>
            <w:pPr>
              <w:spacing w:after="0"/>
              <w:jc w:val="center"/>
              <w:rPr>
                <w:rFonts w:ascii="Times New Roman" w:hAnsi="Times New Roman" w:cs="Times New Roman"/>
                <w:b/>
                <w:noProof/>
                <w:color w:val="000000"/>
                <w:sz w:val="18"/>
                <w:szCs w:val="18"/>
              </w:rPr>
            </w:pPr>
            <w:r>
              <w:rPr>
                <w:rFonts w:ascii="Times New Roman" w:hAnsi="Times New Roman"/>
                <w:b/>
                <w:noProof/>
                <w:color w:val="000000"/>
                <w:sz w:val="18"/>
                <w:szCs w:val="18"/>
              </w:rPr>
              <w:t>Номер</w:t>
            </w:r>
          </w:p>
        </w:tc>
        <w:tc>
          <w:tcPr>
            <w:tcW w:w="851" w:type="dxa"/>
            <w:tcBorders>
              <w:bottom w:val="nil"/>
            </w:tcBorders>
            <w:shd w:val="clear" w:color="auto" w:fill="C6D9F1" w:themeFill="text2" w:themeFillTint="33"/>
            <w:noWrap/>
          </w:tcPr>
          <w:p>
            <w:pPr>
              <w:spacing w:after="0"/>
              <w:jc w:val="center"/>
              <w:rPr>
                <w:rFonts w:ascii="Times New Roman" w:hAnsi="Times New Roman" w:cs="Times New Roman"/>
                <w:b/>
                <w:noProof/>
                <w:color w:val="000000"/>
                <w:sz w:val="18"/>
                <w:szCs w:val="18"/>
              </w:rPr>
            </w:pPr>
            <w:r>
              <w:rPr>
                <w:rFonts w:ascii="Times New Roman" w:hAnsi="Times New Roman"/>
                <w:b/>
                <w:noProof/>
                <w:color w:val="000000"/>
                <w:sz w:val="18"/>
                <w:szCs w:val="18"/>
              </w:rPr>
              <w:t>Мярка</w:t>
            </w:r>
          </w:p>
        </w:tc>
        <w:tc>
          <w:tcPr>
            <w:tcW w:w="850" w:type="dxa"/>
            <w:tcBorders>
              <w:bottom w:val="nil"/>
            </w:tcBorders>
            <w:shd w:val="clear" w:color="auto" w:fill="C6D9F1" w:themeFill="text2" w:themeFillTint="33"/>
            <w:noWrap/>
          </w:tcPr>
          <w:p>
            <w:pPr>
              <w:spacing w:after="0"/>
              <w:jc w:val="center"/>
              <w:rPr>
                <w:rFonts w:ascii="Times New Roman" w:hAnsi="Times New Roman" w:cs="Times New Roman"/>
                <w:b/>
                <w:noProof/>
                <w:color w:val="000000"/>
                <w:sz w:val="18"/>
                <w:szCs w:val="18"/>
              </w:rPr>
            </w:pPr>
            <w:r>
              <w:rPr>
                <w:rFonts w:ascii="Times New Roman" w:hAnsi="Times New Roman"/>
                <w:b/>
                <w:noProof/>
                <w:color w:val="000000"/>
                <w:sz w:val="18"/>
                <w:szCs w:val="18"/>
              </w:rPr>
              <w:t>Ключов етап / Цел</w:t>
            </w:r>
          </w:p>
        </w:tc>
        <w:tc>
          <w:tcPr>
            <w:tcW w:w="1602" w:type="dxa"/>
            <w:tcBorders>
              <w:bottom w:val="nil"/>
            </w:tcBorders>
            <w:shd w:val="clear" w:color="auto" w:fill="C6D9F1" w:themeFill="text2" w:themeFillTint="33"/>
            <w:noWrap/>
          </w:tcPr>
          <w:p>
            <w:pPr>
              <w:spacing w:after="0"/>
              <w:jc w:val="center"/>
              <w:rPr>
                <w:rFonts w:ascii="Times New Roman" w:hAnsi="Times New Roman" w:cs="Times New Roman"/>
                <w:b/>
                <w:noProof/>
                <w:color w:val="000000"/>
                <w:sz w:val="18"/>
                <w:szCs w:val="18"/>
              </w:rPr>
            </w:pPr>
            <w:r>
              <w:rPr>
                <w:rFonts w:ascii="Times New Roman" w:hAnsi="Times New Roman"/>
                <w:b/>
                <w:noProof/>
                <w:color w:val="000000"/>
                <w:sz w:val="18"/>
                <w:szCs w:val="18"/>
              </w:rPr>
              <w:t>Наименование</w:t>
            </w:r>
          </w:p>
        </w:tc>
        <w:tc>
          <w:tcPr>
            <w:tcW w:w="1620" w:type="dxa"/>
            <w:tcBorders>
              <w:bottom w:val="nil"/>
            </w:tcBorders>
            <w:shd w:val="clear" w:color="auto" w:fill="C6D9F1" w:themeFill="text2" w:themeFillTint="33"/>
            <w:noWrap/>
          </w:tcPr>
          <w:p>
            <w:pPr>
              <w:spacing w:after="0"/>
              <w:jc w:val="center"/>
              <w:rPr>
                <w:rFonts w:ascii="Times New Roman" w:hAnsi="Times New Roman" w:cs="Times New Roman"/>
                <w:b/>
                <w:noProof/>
                <w:color w:val="000000"/>
                <w:sz w:val="18"/>
                <w:szCs w:val="18"/>
              </w:rPr>
            </w:pPr>
            <w:r>
              <w:rPr>
                <w:rFonts w:ascii="Times New Roman" w:hAnsi="Times New Roman"/>
                <w:b/>
                <w:noProof/>
                <w:color w:val="000000"/>
                <w:sz w:val="18"/>
                <w:szCs w:val="18"/>
              </w:rPr>
              <w:t>Качествени показатели за ключовите етапи</w:t>
            </w:r>
          </w:p>
        </w:tc>
        <w:tc>
          <w:tcPr>
            <w:tcW w:w="1881" w:type="dxa"/>
            <w:gridSpan w:val="3"/>
            <w:shd w:val="clear" w:color="auto" w:fill="C6D9F1" w:themeFill="text2" w:themeFillTint="33"/>
            <w:noWrap/>
          </w:tcPr>
          <w:p>
            <w:pPr>
              <w:spacing w:after="0"/>
              <w:jc w:val="center"/>
              <w:rPr>
                <w:rFonts w:ascii="Times New Roman" w:hAnsi="Times New Roman" w:cs="Times New Roman"/>
                <w:b/>
                <w:noProof/>
                <w:color w:val="000000"/>
                <w:sz w:val="18"/>
                <w:szCs w:val="18"/>
              </w:rPr>
            </w:pPr>
            <w:r>
              <w:rPr>
                <w:rFonts w:ascii="Times New Roman" w:hAnsi="Times New Roman"/>
                <w:b/>
                <w:noProof/>
                <w:color w:val="000000"/>
                <w:sz w:val="18"/>
                <w:szCs w:val="18"/>
              </w:rPr>
              <w:t>Количествени показатели за целите</w:t>
            </w:r>
          </w:p>
        </w:tc>
        <w:tc>
          <w:tcPr>
            <w:tcW w:w="993" w:type="dxa"/>
            <w:gridSpan w:val="2"/>
            <w:shd w:val="clear" w:color="auto" w:fill="C6D9F1" w:themeFill="text2" w:themeFillTint="33"/>
            <w:noWrap/>
          </w:tcPr>
          <w:p>
            <w:pPr>
              <w:spacing w:after="0"/>
              <w:jc w:val="center"/>
              <w:rPr>
                <w:rFonts w:ascii="Times New Roman" w:hAnsi="Times New Roman" w:cs="Times New Roman"/>
                <w:b/>
                <w:noProof/>
                <w:color w:val="000000"/>
                <w:sz w:val="18"/>
                <w:szCs w:val="18"/>
              </w:rPr>
            </w:pPr>
            <w:r>
              <w:rPr>
                <w:rFonts w:ascii="Times New Roman" w:hAnsi="Times New Roman"/>
                <w:b/>
                <w:noProof/>
                <w:color w:val="000000"/>
                <w:sz w:val="18"/>
                <w:szCs w:val="18"/>
              </w:rPr>
              <w:t>Време</w:t>
            </w:r>
          </w:p>
        </w:tc>
        <w:tc>
          <w:tcPr>
            <w:tcW w:w="6804" w:type="dxa"/>
            <w:tcBorders>
              <w:bottom w:val="nil"/>
            </w:tcBorders>
            <w:shd w:val="clear" w:color="auto" w:fill="C6D9F1" w:themeFill="text2" w:themeFillTint="33"/>
            <w:noWrap/>
          </w:tcPr>
          <w:p>
            <w:pPr>
              <w:spacing w:after="0"/>
              <w:jc w:val="center"/>
              <w:rPr>
                <w:rFonts w:ascii="Times New Roman" w:hAnsi="Times New Roman" w:cs="Times New Roman"/>
                <w:b/>
                <w:noProof/>
                <w:color w:val="000000"/>
                <w:sz w:val="18"/>
                <w:szCs w:val="18"/>
              </w:rPr>
            </w:pPr>
            <w:r>
              <w:rPr>
                <w:rFonts w:ascii="Times New Roman" w:hAnsi="Times New Roman"/>
                <w:b/>
                <w:noProof/>
                <w:sz w:val="18"/>
                <w:szCs w:val="18"/>
              </w:rPr>
              <w:t>Описание на всеки ключов етап и всяка цел</w:t>
            </w:r>
          </w:p>
        </w:tc>
      </w:tr>
      <w:tr>
        <w:trPr>
          <w:trHeight w:val="309"/>
          <w:tblHeader/>
        </w:trPr>
        <w:tc>
          <w:tcPr>
            <w:tcW w:w="709" w:type="dxa"/>
            <w:tcBorders>
              <w:top w:val="nil"/>
            </w:tcBorders>
            <w:shd w:val="clear" w:color="auto" w:fill="C6D9F1" w:themeFill="text2" w:themeFillTint="33"/>
            <w:noWrap/>
          </w:tcPr>
          <w:p>
            <w:pPr>
              <w:spacing w:after="0"/>
              <w:jc w:val="center"/>
              <w:rPr>
                <w:rFonts w:ascii="Times New Roman" w:hAnsi="Times New Roman" w:cs="Times New Roman"/>
                <w:b/>
                <w:noProof/>
                <w:color w:val="000000"/>
                <w:sz w:val="18"/>
                <w:szCs w:val="18"/>
              </w:rPr>
            </w:pPr>
          </w:p>
        </w:tc>
        <w:tc>
          <w:tcPr>
            <w:tcW w:w="851" w:type="dxa"/>
            <w:tcBorders>
              <w:top w:val="nil"/>
            </w:tcBorders>
            <w:shd w:val="clear" w:color="auto" w:fill="C6D9F1" w:themeFill="text2" w:themeFillTint="33"/>
            <w:noWrap/>
          </w:tcPr>
          <w:p>
            <w:pPr>
              <w:spacing w:after="0"/>
              <w:jc w:val="center"/>
              <w:rPr>
                <w:rFonts w:ascii="Times New Roman" w:hAnsi="Times New Roman" w:cs="Times New Roman"/>
                <w:b/>
                <w:noProof/>
                <w:color w:val="000000"/>
                <w:sz w:val="18"/>
                <w:szCs w:val="18"/>
              </w:rPr>
            </w:pPr>
          </w:p>
        </w:tc>
        <w:tc>
          <w:tcPr>
            <w:tcW w:w="850" w:type="dxa"/>
            <w:tcBorders>
              <w:top w:val="nil"/>
            </w:tcBorders>
            <w:shd w:val="clear" w:color="auto" w:fill="C6D9F1" w:themeFill="text2" w:themeFillTint="33"/>
            <w:noWrap/>
          </w:tcPr>
          <w:p>
            <w:pPr>
              <w:spacing w:after="0"/>
              <w:jc w:val="center"/>
              <w:rPr>
                <w:rFonts w:ascii="Times New Roman" w:hAnsi="Times New Roman" w:cs="Times New Roman"/>
                <w:b/>
                <w:noProof/>
                <w:color w:val="000000"/>
                <w:sz w:val="18"/>
                <w:szCs w:val="18"/>
              </w:rPr>
            </w:pPr>
          </w:p>
        </w:tc>
        <w:tc>
          <w:tcPr>
            <w:tcW w:w="1602" w:type="dxa"/>
            <w:tcBorders>
              <w:top w:val="nil"/>
            </w:tcBorders>
            <w:shd w:val="clear" w:color="auto" w:fill="C6D9F1" w:themeFill="text2" w:themeFillTint="33"/>
            <w:noWrap/>
          </w:tcPr>
          <w:p>
            <w:pPr>
              <w:spacing w:after="0"/>
              <w:rPr>
                <w:rFonts w:ascii="Times New Roman" w:hAnsi="Times New Roman" w:cs="Times New Roman"/>
                <w:b/>
                <w:noProof/>
                <w:color w:val="000000"/>
                <w:sz w:val="18"/>
                <w:szCs w:val="18"/>
              </w:rPr>
            </w:pPr>
          </w:p>
        </w:tc>
        <w:tc>
          <w:tcPr>
            <w:tcW w:w="1620" w:type="dxa"/>
            <w:tcBorders>
              <w:top w:val="nil"/>
            </w:tcBorders>
            <w:shd w:val="clear" w:color="auto" w:fill="C6D9F1" w:themeFill="text2" w:themeFillTint="33"/>
            <w:noWrap/>
          </w:tcPr>
          <w:p>
            <w:pPr>
              <w:spacing w:after="0"/>
              <w:jc w:val="center"/>
              <w:rPr>
                <w:rFonts w:ascii="Times New Roman" w:hAnsi="Times New Roman" w:cs="Times New Roman"/>
                <w:b/>
                <w:noProof/>
                <w:color w:val="000000"/>
                <w:sz w:val="18"/>
                <w:szCs w:val="18"/>
              </w:rPr>
            </w:pPr>
          </w:p>
        </w:tc>
        <w:tc>
          <w:tcPr>
            <w:tcW w:w="810" w:type="dxa"/>
            <w:shd w:val="clear" w:color="auto" w:fill="C6D9F1" w:themeFill="text2" w:themeFillTint="33"/>
            <w:noWrap/>
          </w:tcPr>
          <w:p>
            <w:pPr>
              <w:spacing w:after="0"/>
              <w:jc w:val="center"/>
              <w:rPr>
                <w:rFonts w:ascii="Times New Roman" w:hAnsi="Times New Roman" w:cs="Times New Roman"/>
                <w:b/>
                <w:noProof/>
                <w:color w:val="000000"/>
                <w:sz w:val="18"/>
                <w:szCs w:val="18"/>
              </w:rPr>
            </w:pPr>
            <w:r>
              <w:rPr>
                <w:rFonts w:ascii="Times New Roman" w:hAnsi="Times New Roman"/>
                <w:b/>
                <w:noProof/>
                <w:color w:val="000000"/>
                <w:sz w:val="18"/>
                <w:szCs w:val="18"/>
              </w:rPr>
              <w:t>Мерна единица</w:t>
            </w:r>
          </w:p>
        </w:tc>
        <w:tc>
          <w:tcPr>
            <w:tcW w:w="630" w:type="dxa"/>
            <w:shd w:val="clear" w:color="auto" w:fill="C6D9F1" w:themeFill="text2" w:themeFillTint="33"/>
            <w:noWrap/>
          </w:tcPr>
          <w:p>
            <w:pPr>
              <w:spacing w:after="0"/>
              <w:jc w:val="center"/>
              <w:rPr>
                <w:rFonts w:ascii="Times New Roman" w:hAnsi="Times New Roman" w:cs="Times New Roman"/>
                <w:b/>
                <w:noProof/>
                <w:color w:val="000000"/>
                <w:spacing w:val="-4"/>
                <w:sz w:val="18"/>
                <w:szCs w:val="18"/>
              </w:rPr>
            </w:pPr>
            <w:r>
              <w:rPr>
                <w:rFonts w:ascii="Times New Roman" w:hAnsi="Times New Roman"/>
                <w:b/>
                <w:noProof/>
                <w:color w:val="000000"/>
                <w:spacing w:val="-4"/>
                <w:sz w:val="18"/>
                <w:szCs w:val="18"/>
              </w:rPr>
              <w:t>Базова линия</w:t>
            </w:r>
          </w:p>
        </w:tc>
        <w:tc>
          <w:tcPr>
            <w:tcW w:w="441" w:type="dxa"/>
            <w:shd w:val="clear" w:color="auto" w:fill="C6D9F1" w:themeFill="text2" w:themeFillTint="33"/>
            <w:noWrap/>
          </w:tcPr>
          <w:p>
            <w:pPr>
              <w:spacing w:after="0"/>
              <w:jc w:val="center"/>
              <w:rPr>
                <w:rFonts w:ascii="Times New Roman" w:hAnsi="Times New Roman" w:cs="Times New Roman"/>
                <w:b/>
                <w:noProof/>
                <w:color w:val="000000"/>
                <w:sz w:val="18"/>
                <w:szCs w:val="18"/>
              </w:rPr>
            </w:pPr>
            <w:r>
              <w:rPr>
                <w:rFonts w:ascii="Times New Roman" w:hAnsi="Times New Roman"/>
                <w:b/>
                <w:noProof/>
                <w:color w:val="000000"/>
                <w:sz w:val="18"/>
                <w:szCs w:val="18"/>
              </w:rPr>
              <w:t>Цел</w:t>
            </w:r>
          </w:p>
        </w:tc>
        <w:tc>
          <w:tcPr>
            <w:tcW w:w="279" w:type="dxa"/>
            <w:shd w:val="clear" w:color="auto" w:fill="C6D9F1" w:themeFill="text2" w:themeFillTint="33"/>
            <w:noWrap/>
          </w:tcPr>
          <w:p>
            <w:pPr>
              <w:spacing w:after="0"/>
              <w:jc w:val="center"/>
              <w:rPr>
                <w:rFonts w:ascii="Times New Roman" w:hAnsi="Times New Roman" w:cs="Times New Roman"/>
                <w:b/>
                <w:noProof/>
                <w:color w:val="000000"/>
                <w:sz w:val="18"/>
                <w:szCs w:val="18"/>
              </w:rPr>
            </w:pPr>
            <w:r>
              <w:rPr>
                <w:rFonts w:ascii="Times New Roman" w:hAnsi="Times New Roman"/>
                <w:b/>
                <w:noProof/>
                <w:color w:val="000000"/>
                <w:sz w:val="18"/>
                <w:szCs w:val="18"/>
              </w:rPr>
              <w:t>T</w:t>
            </w:r>
          </w:p>
        </w:tc>
        <w:tc>
          <w:tcPr>
            <w:tcW w:w="714" w:type="dxa"/>
            <w:shd w:val="clear" w:color="auto" w:fill="C6D9F1" w:themeFill="text2" w:themeFillTint="33"/>
            <w:noWrap/>
          </w:tcPr>
          <w:p>
            <w:pPr>
              <w:spacing w:after="0"/>
              <w:jc w:val="center"/>
              <w:rPr>
                <w:rFonts w:ascii="Times New Roman" w:hAnsi="Times New Roman" w:cs="Times New Roman"/>
                <w:b/>
                <w:noProof/>
                <w:color w:val="000000"/>
                <w:sz w:val="18"/>
                <w:szCs w:val="18"/>
              </w:rPr>
            </w:pPr>
            <w:r>
              <w:rPr>
                <w:rFonts w:ascii="Times New Roman" w:hAnsi="Times New Roman"/>
                <w:b/>
                <w:noProof/>
                <w:color w:val="000000"/>
                <w:sz w:val="18"/>
                <w:szCs w:val="18"/>
              </w:rPr>
              <w:t>Година</w:t>
            </w:r>
          </w:p>
        </w:tc>
        <w:tc>
          <w:tcPr>
            <w:tcW w:w="6804" w:type="dxa"/>
            <w:tcBorders>
              <w:top w:val="nil"/>
            </w:tcBorders>
            <w:shd w:val="clear" w:color="auto" w:fill="C6D9F1" w:themeFill="text2" w:themeFillTint="33"/>
            <w:noWrap/>
          </w:tcPr>
          <w:p>
            <w:pPr>
              <w:spacing w:after="0"/>
              <w:rPr>
                <w:rFonts w:ascii="Times New Roman" w:hAnsi="Times New Roman" w:cs="Times New Roman"/>
                <w:b/>
                <w:noProof/>
                <w:color w:val="000000"/>
                <w:sz w:val="18"/>
                <w:szCs w:val="18"/>
                <w:lang w:val="en-IE"/>
              </w:rPr>
            </w:pPr>
          </w:p>
        </w:tc>
      </w:tr>
      <w:tr>
        <w:trPr>
          <w:trHeight w:val="309"/>
        </w:trPr>
        <w:tc>
          <w:tcPr>
            <w:tcW w:w="709"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406</w:t>
            </w:r>
          </w:p>
        </w:tc>
        <w:tc>
          <w:tcPr>
            <w:tcW w:w="851"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C30.R1</w:t>
            </w:r>
          </w:p>
        </w:tc>
        <w:tc>
          <w:tcPr>
            <w:tcW w:w="850"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1602" w:type="dxa"/>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szCs w:val="18"/>
              </w:rPr>
              <w:t>Разделяне на финансирането за социалната сигурност</w:t>
            </w:r>
          </w:p>
        </w:tc>
        <w:tc>
          <w:tcPr>
            <w:tcW w:w="1620"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Разпоредба от закона, в която се посочва влизането му в сила </w:t>
            </w:r>
          </w:p>
        </w:tc>
        <w:tc>
          <w:tcPr>
            <w:tcW w:w="810"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630" w:type="dxa"/>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441" w:type="dxa"/>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279"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714"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2020</w:t>
            </w:r>
          </w:p>
        </w:tc>
        <w:tc>
          <w:tcPr>
            <w:tcW w:w="6804" w:type="dxa"/>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szCs w:val="18"/>
              </w:rPr>
              <w:t>Влизане в сила на Закон 11/2020 от 30 декември относно общия държавен бюджет за 2021 г. за разделяне на източниците на финансиране за социална сигурност. Всяка година държавата превежда в системата за социална сигурност сума, равна на разходите, независещи от вноски. Това ще позволи намаляването на социалноосигурителния дефицит и прехвърлянето му към централната администрация, която разполага с подходящите инструменти за справяне с него. Тя също така разсейва съмненията относно платежоспособността на системата, като подобрява условията за справяне със средносрочните и дългосрочните предизвикателства. Законът за държавния бюджет за 2021 г. предвижда първа и значима стъпка в тази посока.</w:t>
            </w:r>
          </w:p>
        </w:tc>
      </w:tr>
      <w:tr>
        <w:trPr>
          <w:trHeight w:val="309"/>
        </w:trPr>
        <w:tc>
          <w:tcPr>
            <w:tcW w:w="709"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407</w:t>
            </w:r>
          </w:p>
        </w:tc>
        <w:tc>
          <w:tcPr>
            <w:tcW w:w="851"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C30.R2</w:t>
            </w:r>
          </w:p>
        </w:tc>
        <w:tc>
          <w:tcPr>
            <w:tcW w:w="850"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1602" w:type="dxa"/>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szCs w:val="18"/>
              </w:rPr>
              <w:t>Запазване на покупателната способност на пенсиите и изравняване на действителната пенсионна възраст и законоустановената пенсионна възраст</w:t>
            </w:r>
          </w:p>
        </w:tc>
        <w:tc>
          <w:tcPr>
            <w:tcW w:w="1620"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Разпоредба от законодателството, посочваща влизането му в сила </w:t>
            </w:r>
          </w:p>
        </w:tc>
        <w:tc>
          <w:tcPr>
            <w:tcW w:w="810"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630" w:type="dxa"/>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441" w:type="dxa"/>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279"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714"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2021</w:t>
            </w:r>
          </w:p>
        </w:tc>
        <w:tc>
          <w:tcPr>
            <w:tcW w:w="6804" w:type="dxa"/>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Влизане в сила на законодателство, публикувано в Официален вестник, което има за цел: </w:t>
            </w:r>
            <w:r>
              <w:rPr>
                <w:rFonts w:ascii="Times New Roman" w:hAnsi="Times New Roman"/>
                <w:noProof/>
                <w:color w:val="000000"/>
                <w:sz w:val="18"/>
                <w:szCs w:val="18"/>
              </w:rPr>
              <w:br/>
              <w:t>а) Да бъде разработен нов механизъм за преоценка, който обвързва пенсиите с инфлацията, за да се гарантира, че покупателната способност на пенсионерите е гарантирана по постоянен начин.</w:t>
            </w:r>
            <w:r>
              <w:rPr>
                <w:rFonts w:ascii="Times New Roman" w:hAnsi="Times New Roman"/>
                <w:noProof/>
                <w:color w:val="000000"/>
                <w:sz w:val="18"/>
                <w:szCs w:val="18"/>
              </w:rPr>
              <w:br/>
              <w:t>б ) Да приравни действителната пенсионна възраст и законоустановената пенсионна възраст: чрез предоставяне на стимули за забавяне на пенсионирането, включително увеличаване на икономическите стимули и насърчаване на съвместяването на професионалния и пенсионния живот, за да се увеличи участието на пазара на труда на възраст, близка до законоустановената пенсионна възраст, и да се отложи пенсионирането.</w:t>
            </w:r>
          </w:p>
        </w:tc>
      </w:tr>
      <w:tr>
        <w:trPr>
          <w:trHeight w:val="309"/>
        </w:trPr>
        <w:tc>
          <w:tcPr>
            <w:tcW w:w="709"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408</w:t>
            </w:r>
          </w:p>
        </w:tc>
        <w:tc>
          <w:tcPr>
            <w:tcW w:w="851"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C30.R2</w:t>
            </w:r>
          </w:p>
        </w:tc>
        <w:tc>
          <w:tcPr>
            <w:tcW w:w="850"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1602" w:type="dxa"/>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Корекция на изчислителния период за изчисляване на пенсията за осигурителен стаж и възраст </w:t>
            </w:r>
          </w:p>
        </w:tc>
        <w:tc>
          <w:tcPr>
            <w:tcW w:w="1620"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Разпоредба от законодателството, посочваща влизането му в сила </w:t>
            </w:r>
          </w:p>
        </w:tc>
        <w:tc>
          <w:tcPr>
            <w:tcW w:w="810"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630" w:type="dxa"/>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441" w:type="dxa"/>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279"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714"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2022</w:t>
            </w:r>
          </w:p>
        </w:tc>
        <w:tc>
          <w:tcPr>
            <w:tcW w:w="6804" w:type="dxa"/>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Влизане в сила на законодателство за коригиране на изчислителния период, с което се удължава периодът за изчисляване на пенсията за осигурителен стаж и възраст. </w:t>
            </w:r>
          </w:p>
        </w:tc>
      </w:tr>
      <w:tr>
        <w:trPr>
          <w:trHeight w:val="309"/>
        </w:trPr>
        <w:tc>
          <w:tcPr>
            <w:tcW w:w="709"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409</w:t>
            </w:r>
          </w:p>
        </w:tc>
        <w:tc>
          <w:tcPr>
            <w:tcW w:w="851"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C30.R2</w:t>
            </w:r>
          </w:p>
        </w:tc>
        <w:tc>
          <w:tcPr>
            <w:tcW w:w="850"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1602" w:type="dxa"/>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szCs w:val="18"/>
              </w:rPr>
              <w:t>Замяна на фактора за устойчивост с механизъм за справедливост между поколенията</w:t>
            </w:r>
          </w:p>
        </w:tc>
        <w:tc>
          <w:tcPr>
            <w:tcW w:w="1620"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Разпоредба от законодателството, посочваща влизането му в сила</w:t>
            </w:r>
          </w:p>
        </w:tc>
        <w:tc>
          <w:tcPr>
            <w:tcW w:w="810"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630" w:type="dxa"/>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441" w:type="dxa"/>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279"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714"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2022</w:t>
            </w:r>
          </w:p>
        </w:tc>
        <w:tc>
          <w:tcPr>
            <w:tcW w:w="6804" w:type="dxa"/>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szCs w:val="18"/>
              </w:rPr>
              <w:t>Влизане в сила на законодателство за замяна на сегашния фактор за устойчивост, който обвързва пенсиите с очакваната продължителност на живота с механизъм, който гарантира равенство между поколенията и бюджетна устойчивост чрез адаптиране към демографските промени.</w:t>
            </w:r>
          </w:p>
        </w:tc>
      </w:tr>
      <w:tr>
        <w:trPr>
          <w:trHeight w:val="309"/>
        </w:trPr>
        <w:tc>
          <w:tcPr>
            <w:tcW w:w="709"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410</w:t>
            </w:r>
          </w:p>
        </w:tc>
        <w:tc>
          <w:tcPr>
            <w:tcW w:w="851"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C30.R2</w:t>
            </w:r>
          </w:p>
        </w:tc>
        <w:tc>
          <w:tcPr>
            <w:tcW w:w="850"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1602" w:type="dxa"/>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szCs w:val="18"/>
              </w:rPr>
              <w:t>Актуализирани прогнози, показващи как пенсионните реформи, предприети през 2021 г. и 2022 г., гарантират дългосрочна фискална устойчивост</w:t>
            </w:r>
          </w:p>
        </w:tc>
        <w:tc>
          <w:tcPr>
            <w:tcW w:w="1620"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Публикуване на доклад на уебсайта за социална сигурност</w:t>
            </w:r>
          </w:p>
        </w:tc>
        <w:tc>
          <w:tcPr>
            <w:tcW w:w="810"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630" w:type="dxa"/>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441" w:type="dxa"/>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279"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714"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2022</w:t>
            </w:r>
          </w:p>
        </w:tc>
        <w:tc>
          <w:tcPr>
            <w:tcW w:w="6804" w:type="dxa"/>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szCs w:val="18"/>
              </w:rPr>
              <w:t>Публикуване на актуализирани прогнози, показващи как пенсионните реформи, предприети през 2021 г. и 2022 г., осигуряват дългосрочна фискална устойчивост, като се отчита и въздействието на други структурни реформи, като например реформите на пазара на труда.</w:t>
            </w:r>
          </w:p>
        </w:tc>
      </w:tr>
      <w:tr>
        <w:trPr>
          <w:trHeight w:val="309"/>
        </w:trPr>
        <w:tc>
          <w:tcPr>
            <w:tcW w:w="709"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411</w:t>
            </w:r>
          </w:p>
        </w:tc>
        <w:tc>
          <w:tcPr>
            <w:tcW w:w="851"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C30.R3</w:t>
            </w:r>
          </w:p>
        </w:tc>
        <w:tc>
          <w:tcPr>
            <w:tcW w:w="850"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1602" w:type="dxa"/>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szCs w:val="18"/>
              </w:rPr>
              <w:t>Реформа на системата за социалноосигурителни вноски за самостоятелно заетите лица</w:t>
            </w:r>
          </w:p>
        </w:tc>
        <w:tc>
          <w:tcPr>
            <w:tcW w:w="1620"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Разпоредба от законодателството, посочваща влизането му в сила </w:t>
            </w:r>
          </w:p>
        </w:tc>
        <w:tc>
          <w:tcPr>
            <w:tcW w:w="810"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630" w:type="dxa"/>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441" w:type="dxa"/>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279"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T2</w:t>
            </w:r>
          </w:p>
        </w:tc>
        <w:tc>
          <w:tcPr>
            <w:tcW w:w="714"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2022 г.</w:t>
            </w:r>
          </w:p>
        </w:tc>
        <w:tc>
          <w:tcPr>
            <w:tcW w:w="6804" w:type="dxa"/>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szCs w:val="18"/>
              </w:rPr>
              <w:t>Влизане в сила на законодателството за реформата на системата за социалноосигурителни вноски за самостоятелно заетите лица, като постепенно се промени системата за плащане на вноски въз основа на реалните доходи.</w:t>
            </w:r>
          </w:p>
        </w:tc>
      </w:tr>
      <w:tr>
        <w:trPr>
          <w:trHeight w:val="309"/>
        </w:trPr>
        <w:tc>
          <w:tcPr>
            <w:tcW w:w="709"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412</w:t>
            </w:r>
          </w:p>
        </w:tc>
        <w:tc>
          <w:tcPr>
            <w:tcW w:w="851"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C30.R4</w:t>
            </w:r>
          </w:p>
        </w:tc>
        <w:tc>
          <w:tcPr>
            <w:tcW w:w="850"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1602" w:type="dxa"/>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szCs w:val="18"/>
              </w:rPr>
              <w:t>Рационализиране на добавките за майчинство</w:t>
            </w:r>
          </w:p>
        </w:tc>
        <w:tc>
          <w:tcPr>
            <w:tcW w:w="1620"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Разпоредба на RDL, в която се посочва влизането му в сила </w:t>
            </w:r>
          </w:p>
        </w:tc>
        <w:tc>
          <w:tcPr>
            <w:tcW w:w="810"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630" w:type="dxa"/>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441" w:type="dxa"/>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279"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T1</w:t>
            </w:r>
          </w:p>
        </w:tc>
        <w:tc>
          <w:tcPr>
            <w:tcW w:w="714"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2021</w:t>
            </w:r>
          </w:p>
        </w:tc>
        <w:tc>
          <w:tcPr>
            <w:tcW w:w="6804" w:type="dxa"/>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szCs w:val="18"/>
              </w:rPr>
              <w:t>Влизане в сила на Кралски указ-закон 3/2021 от 3 февруари 2021 г. относно рационализирането на добавките за майчинство. За да се спази решението на Съда на ЕС от 12 декември 2019 г., добавките към пенсиите се рационализират и се съсредоточават върху намаляването на неравнопоставеността между половете. За родители, чийто професионален живот е променен веднага след родителството, се въвежда фиксирано възнаграждение.</w:t>
            </w:r>
          </w:p>
        </w:tc>
      </w:tr>
      <w:tr>
        <w:trPr>
          <w:trHeight w:val="309"/>
        </w:trPr>
        <w:tc>
          <w:tcPr>
            <w:tcW w:w="709"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413</w:t>
            </w:r>
          </w:p>
        </w:tc>
        <w:tc>
          <w:tcPr>
            <w:tcW w:w="851"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C30.R5</w:t>
            </w:r>
          </w:p>
        </w:tc>
        <w:tc>
          <w:tcPr>
            <w:tcW w:w="850"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1602" w:type="dxa"/>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szCs w:val="18"/>
              </w:rPr>
              <w:t>Преглед на данъчните облекчения, свързани с настоящата система за допълнително пенсионно осигуряване</w:t>
            </w:r>
          </w:p>
        </w:tc>
        <w:tc>
          <w:tcPr>
            <w:tcW w:w="1620"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Разпоредба от закона, посочваща влизането в сила на заключителни разпоредби 11 и 62 </w:t>
            </w:r>
          </w:p>
        </w:tc>
        <w:tc>
          <w:tcPr>
            <w:tcW w:w="810"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630" w:type="dxa"/>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441" w:type="dxa"/>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279"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714"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2020</w:t>
            </w:r>
          </w:p>
        </w:tc>
        <w:tc>
          <w:tcPr>
            <w:tcW w:w="6804" w:type="dxa"/>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szCs w:val="18"/>
              </w:rPr>
              <w:t>Влизане в сила на Закон 11/2020 от 30 декември относно общия държавен бюджет за 2021 г. за преразглеждане на данъчните облекчения, свързани с настоящата система за допълнително пенсионно осигуряване. Правото на данъчни облекчения се прехвърля от индивидуални частни пенсионни фондове към професионални пенсионни схеми въз основа на колективни трудови договори. Съответните разпоредби на Закона за бюджета за въвеждането на новата рамка са последната разпоредба 11 от LPGE и член 62.</w:t>
            </w:r>
          </w:p>
        </w:tc>
      </w:tr>
      <w:tr>
        <w:trPr>
          <w:trHeight w:val="309"/>
        </w:trPr>
        <w:tc>
          <w:tcPr>
            <w:tcW w:w="709"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414</w:t>
            </w:r>
          </w:p>
        </w:tc>
        <w:tc>
          <w:tcPr>
            <w:tcW w:w="851"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C30.R5</w:t>
            </w:r>
          </w:p>
        </w:tc>
        <w:tc>
          <w:tcPr>
            <w:tcW w:w="850"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1602" w:type="dxa"/>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szCs w:val="18"/>
              </w:rPr>
              <w:t>Преглед на настоящата система за допълнително пенсионно осигуряване</w:t>
            </w:r>
          </w:p>
        </w:tc>
        <w:tc>
          <w:tcPr>
            <w:tcW w:w="1620"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Разпоредба от законодателството, посочваща влизането му в сила </w:t>
            </w:r>
          </w:p>
        </w:tc>
        <w:tc>
          <w:tcPr>
            <w:tcW w:w="810"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630" w:type="dxa"/>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441" w:type="dxa"/>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279"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T2</w:t>
            </w:r>
          </w:p>
        </w:tc>
        <w:tc>
          <w:tcPr>
            <w:tcW w:w="714"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2022</w:t>
            </w:r>
          </w:p>
        </w:tc>
        <w:tc>
          <w:tcPr>
            <w:tcW w:w="6804" w:type="dxa"/>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szCs w:val="18"/>
              </w:rPr>
              <w:t>Влизане в сила на законодателство за преразглеждане на настоящата система за допълнително пенсионно осигуряване с цел насърчаване на пенсионните схеми чрез създаването от администрацията на пенсионни фондове, отворени за всички дружества и работници.</w:t>
            </w:r>
          </w:p>
        </w:tc>
      </w:tr>
      <w:tr>
        <w:trPr>
          <w:trHeight w:val="309"/>
        </w:trPr>
        <w:tc>
          <w:tcPr>
            <w:tcW w:w="709"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415</w:t>
            </w:r>
          </w:p>
        </w:tc>
        <w:tc>
          <w:tcPr>
            <w:tcW w:w="851"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C30.R6</w:t>
            </w:r>
          </w:p>
        </w:tc>
        <w:tc>
          <w:tcPr>
            <w:tcW w:w="850"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M</w:t>
            </w:r>
          </w:p>
        </w:tc>
        <w:tc>
          <w:tcPr>
            <w:tcW w:w="1602" w:type="dxa"/>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szCs w:val="18"/>
              </w:rPr>
              <w:t>Корекция на максималната основа за вноските</w:t>
            </w:r>
          </w:p>
        </w:tc>
        <w:tc>
          <w:tcPr>
            <w:tcW w:w="1620"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Разпоредба от законодателството, посочваща влизането му в сила </w:t>
            </w:r>
          </w:p>
        </w:tc>
        <w:tc>
          <w:tcPr>
            <w:tcW w:w="810"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630" w:type="dxa"/>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441" w:type="dxa"/>
            <w:shd w:val="clear" w:color="auto" w:fill="C6EFCE"/>
            <w:noWrap/>
          </w:tcPr>
          <w:p>
            <w:pPr>
              <w:spacing w:after="0"/>
              <w:jc w:val="right"/>
              <w:rPr>
                <w:rFonts w:ascii="Times New Roman" w:eastAsia="Times New Roman" w:hAnsi="Times New Roman" w:cs="Times New Roman"/>
                <w:noProof/>
                <w:sz w:val="18"/>
                <w:szCs w:val="18"/>
              </w:rPr>
            </w:pPr>
            <w:r>
              <w:rPr>
                <w:rFonts w:ascii="Times New Roman" w:hAnsi="Times New Roman"/>
                <w:noProof/>
                <w:color w:val="000000"/>
                <w:sz w:val="18"/>
                <w:szCs w:val="18"/>
              </w:rPr>
              <w:t xml:space="preserve"> </w:t>
            </w:r>
          </w:p>
        </w:tc>
        <w:tc>
          <w:tcPr>
            <w:tcW w:w="279"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T4</w:t>
            </w:r>
          </w:p>
        </w:tc>
        <w:tc>
          <w:tcPr>
            <w:tcW w:w="714" w:type="dxa"/>
            <w:shd w:val="clear" w:color="auto" w:fill="C6EFCE"/>
            <w:noWrap/>
          </w:tcPr>
          <w:p>
            <w:pPr>
              <w:spacing w:after="0"/>
              <w:jc w:val="center"/>
              <w:rPr>
                <w:rFonts w:ascii="Times New Roman" w:eastAsia="Times New Roman" w:hAnsi="Times New Roman" w:cs="Times New Roman"/>
                <w:noProof/>
                <w:sz w:val="18"/>
                <w:szCs w:val="18"/>
              </w:rPr>
            </w:pPr>
            <w:r>
              <w:rPr>
                <w:rFonts w:ascii="Times New Roman" w:hAnsi="Times New Roman"/>
                <w:noProof/>
                <w:color w:val="000000"/>
                <w:sz w:val="18"/>
                <w:szCs w:val="18"/>
              </w:rPr>
              <w:t>2022</w:t>
            </w:r>
          </w:p>
        </w:tc>
        <w:tc>
          <w:tcPr>
            <w:tcW w:w="6804" w:type="dxa"/>
            <w:shd w:val="clear" w:color="auto" w:fill="C6EFCE"/>
            <w:noWrap/>
          </w:tcPr>
          <w:p>
            <w:pPr>
              <w:spacing w:after="0"/>
              <w:rPr>
                <w:rFonts w:ascii="Times New Roman" w:eastAsia="Times New Roman" w:hAnsi="Times New Roman" w:cs="Times New Roman"/>
                <w:noProof/>
                <w:sz w:val="18"/>
                <w:szCs w:val="18"/>
              </w:rPr>
            </w:pPr>
            <w:r>
              <w:rPr>
                <w:rFonts w:ascii="Times New Roman" w:hAnsi="Times New Roman"/>
                <w:noProof/>
                <w:color w:val="000000"/>
                <w:sz w:val="18"/>
                <w:szCs w:val="18"/>
              </w:rPr>
              <w:t>Влизане в сила на законодателство за адаптиране на максималната основа за вноските: постепенно увеличаване на максималната осигурителна основа на системата и коригиране на максималните пенсии, за да се разшири основата за вноските и прогресивността на системата и да се увеличат общите приходи.</w:t>
            </w:r>
          </w:p>
        </w:tc>
      </w:tr>
    </w:tbl>
    <w:p>
      <w:pPr>
        <w:pStyle w:val="Text1"/>
        <w:ind w:left="709"/>
        <w:rPr>
          <w:noProof/>
        </w:rPr>
        <w:sectPr>
          <w:headerReference w:type="even" r:id="rId373"/>
          <w:headerReference w:type="default" r:id="rId374"/>
          <w:footerReference w:type="even" r:id="rId375"/>
          <w:footerReference w:type="default" r:id="rId376"/>
          <w:headerReference w:type="first" r:id="rId377"/>
          <w:footerReference w:type="first" r:id="rId378"/>
          <w:pgSz w:w="16839" w:h="11907" w:orient="landscape"/>
          <w:pgMar w:top="1417" w:right="1134" w:bottom="1417" w:left="1134" w:header="709" w:footer="709" w:gutter="0"/>
          <w:cols w:space="720"/>
          <w:docGrid w:linePitch="360"/>
        </w:sectPr>
      </w:pPr>
    </w:p>
    <w:p>
      <w:pPr>
        <w:pStyle w:val="NumPar1"/>
        <w:rPr>
          <w:b/>
          <w:noProof/>
          <w:sz w:val="28"/>
          <w:szCs w:val="28"/>
        </w:rPr>
      </w:pPr>
      <w:r>
        <w:rPr>
          <w:b/>
          <w:noProof/>
          <w:sz w:val="28"/>
          <w:szCs w:val="28"/>
        </w:rPr>
        <w:t>Прогнозни общи разходи за плана за възстановяване и устойчивост</w:t>
      </w:r>
    </w:p>
    <w:p>
      <w:pPr>
        <w:pStyle w:val="Text1"/>
        <w:rPr>
          <w:noProof/>
        </w:rPr>
      </w:pPr>
      <w:r>
        <w:rPr>
          <w:noProof/>
        </w:rPr>
        <w:t>Прогнозните общи разходи за плана за възстановяване и устойчивост на Испания възлизат на 69 528 050 000 EUR.</w:t>
      </w:r>
    </w:p>
    <w:p>
      <w:pPr>
        <w:pStyle w:val="Text1"/>
        <w:ind w:left="709"/>
        <w:rPr>
          <w:noProof/>
        </w:rPr>
      </w:pPr>
    </w:p>
    <w:p>
      <w:pPr>
        <w:rPr>
          <w:rFonts w:ascii="Times New Roman" w:hAnsi="Times New Roman" w:cs="Times New Roman"/>
          <w:b/>
          <w:bCs/>
          <w:noProof/>
          <w:sz w:val="24"/>
        </w:rPr>
      </w:pPr>
      <w:r>
        <w:rPr>
          <w:noProof/>
        </w:rPr>
        <w:br w:type="page"/>
      </w:r>
    </w:p>
    <w:p>
      <w:pPr>
        <w:spacing w:before="120" w:after="120" w:line="240" w:lineRule="auto"/>
        <w:jc w:val="both"/>
        <w:rPr>
          <w:rFonts w:ascii="Times New Roman" w:hAnsi="Times New Roman" w:cs="Times New Roman"/>
          <w:b/>
          <w:noProof/>
          <w:sz w:val="28"/>
          <w:szCs w:val="28"/>
        </w:rPr>
      </w:pPr>
      <w:r>
        <w:rPr>
          <w:rFonts w:ascii="Times New Roman" w:hAnsi="Times New Roman"/>
          <w:b/>
          <w:noProof/>
          <w:sz w:val="28"/>
          <w:szCs w:val="28"/>
        </w:rPr>
        <w:t>РАЗДЕЛ 2: ФИНАНСОВА ПОДКРЕПА</w:t>
      </w:r>
    </w:p>
    <w:p>
      <w:pPr>
        <w:pStyle w:val="NumPar1"/>
        <w:numPr>
          <w:ilvl w:val="0"/>
          <w:numId w:val="149"/>
        </w:numPr>
        <w:rPr>
          <w:b/>
          <w:noProof/>
          <w:sz w:val="28"/>
          <w:szCs w:val="28"/>
        </w:rPr>
      </w:pPr>
      <w:r>
        <w:rPr>
          <w:b/>
          <w:noProof/>
          <w:sz w:val="28"/>
          <w:szCs w:val="28"/>
        </w:rPr>
        <w:t xml:space="preserve">Финансиране </w:t>
      </w:r>
    </w:p>
    <w:p>
      <w:pPr>
        <w:spacing w:before="120" w:after="120" w:line="240" w:lineRule="auto"/>
        <w:ind w:left="850"/>
        <w:jc w:val="both"/>
        <w:rPr>
          <w:rFonts w:ascii="Times New Roman" w:hAnsi="Times New Roman" w:cs="Times New Roman"/>
          <w:noProof/>
          <w:sz w:val="24"/>
        </w:rPr>
      </w:pPr>
      <w:r>
        <w:rPr>
          <w:rFonts w:ascii="Times New Roman" w:hAnsi="Times New Roman"/>
          <w:noProof/>
          <w:sz w:val="24"/>
        </w:rPr>
        <w:t>Вноските, посочени в член 2, параграф 2, се организират по следния начин:</w:t>
      </w:r>
    </w:p>
    <w:p>
      <w:pPr>
        <w:pStyle w:val="NumPar2"/>
        <w:rPr>
          <w:noProof/>
        </w:rPr>
      </w:pPr>
      <w:r>
        <w:rPr>
          <w:noProof/>
        </w:rPr>
        <w:t xml:space="preserve">Първо транш (безвъзмездна помощ) </w:t>
      </w:r>
    </w:p>
    <w:tbl>
      <w:tblPr>
        <w:tblW w:w="9882" w:type="dxa"/>
        <w:tblInd w:w="113" w:type="dxa"/>
        <w:tblLook w:val="04A0" w:firstRow="1" w:lastRow="0" w:firstColumn="1" w:lastColumn="0" w:noHBand="0" w:noVBand="1"/>
      </w:tblPr>
      <w:tblGrid>
        <w:gridCol w:w="928"/>
        <w:gridCol w:w="1351"/>
        <w:gridCol w:w="1230"/>
        <w:gridCol w:w="6485"/>
      </w:tblGrid>
      <w:tr>
        <w:trPr>
          <w:trHeight w:val="906"/>
          <w:tblHeader/>
        </w:trPr>
        <w:tc>
          <w:tcPr>
            <w:tcW w:w="928"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line="240" w:lineRule="auto"/>
              <w:jc w:val="center"/>
              <w:rPr>
                <w:rFonts w:ascii="Times New Roman" w:eastAsia="Times New Roman" w:hAnsi="Times New Roman" w:cs="Times New Roman"/>
                <w:b/>
                <w:noProof/>
                <w:sz w:val="20"/>
                <w:szCs w:val="20"/>
              </w:rPr>
            </w:pPr>
            <w:r>
              <w:rPr>
                <w:rFonts w:ascii="Times New Roman" w:hAnsi="Times New Roman"/>
                <w:b/>
                <w:bCs/>
                <w:noProof/>
                <w:sz w:val="20"/>
                <w:szCs w:val="20"/>
              </w:rPr>
              <w:t>Номер</w:t>
            </w:r>
          </w:p>
        </w:tc>
        <w:tc>
          <w:tcPr>
            <w:tcW w:w="1239"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line="240" w:lineRule="auto"/>
              <w:jc w:val="center"/>
              <w:rPr>
                <w:rFonts w:ascii="Times New Roman" w:eastAsia="Times New Roman" w:hAnsi="Times New Roman" w:cs="Times New Roman"/>
                <w:b/>
                <w:noProof/>
                <w:sz w:val="20"/>
                <w:szCs w:val="20"/>
              </w:rPr>
            </w:pPr>
            <w:r>
              <w:rPr>
                <w:rFonts w:ascii="Times New Roman" w:hAnsi="Times New Roman"/>
                <w:b/>
                <w:bCs/>
                <w:noProof/>
                <w:sz w:val="20"/>
                <w:szCs w:val="20"/>
              </w:rPr>
              <w:t>Свързана мярка (реформа или инвестиция)</w:t>
            </w:r>
          </w:p>
        </w:tc>
        <w:tc>
          <w:tcPr>
            <w:tcW w:w="1230"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line="240" w:lineRule="auto"/>
              <w:jc w:val="center"/>
              <w:rPr>
                <w:rFonts w:ascii="Times New Roman" w:eastAsia="Times New Roman" w:hAnsi="Times New Roman" w:cs="Times New Roman"/>
                <w:b/>
                <w:noProof/>
                <w:sz w:val="20"/>
                <w:szCs w:val="20"/>
              </w:rPr>
            </w:pPr>
            <w:r>
              <w:rPr>
                <w:rFonts w:ascii="Times New Roman" w:hAnsi="Times New Roman"/>
                <w:b/>
                <w:bCs/>
                <w:noProof/>
                <w:sz w:val="20"/>
                <w:szCs w:val="20"/>
              </w:rPr>
              <w:t>Ключов етап /Цел</w:t>
            </w:r>
          </w:p>
        </w:tc>
        <w:tc>
          <w:tcPr>
            <w:tcW w:w="6485" w:type="dxa"/>
            <w:vMerge w:val="restart"/>
            <w:tcBorders>
              <w:top w:val="single" w:sz="4" w:space="0" w:color="auto"/>
              <w:left w:val="nil"/>
              <w:bottom w:val="single" w:sz="4" w:space="0" w:color="000000" w:themeColor="text1"/>
              <w:right w:val="single" w:sz="4" w:space="0" w:color="auto"/>
            </w:tcBorders>
            <w:shd w:val="clear" w:color="auto" w:fill="BDD7EE"/>
            <w:vAlign w:val="center"/>
            <w:hideMark/>
          </w:tcPr>
          <w:p>
            <w:pPr>
              <w:spacing w:after="0" w:line="240" w:lineRule="auto"/>
              <w:jc w:val="center"/>
              <w:rPr>
                <w:rFonts w:ascii="Times New Roman" w:eastAsia="Times New Roman" w:hAnsi="Times New Roman" w:cs="Times New Roman"/>
                <w:b/>
                <w:noProof/>
                <w:sz w:val="20"/>
                <w:szCs w:val="20"/>
              </w:rPr>
            </w:pPr>
            <w:r>
              <w:rPr>
                <w:rFonts w:ascii="Times New Roman" w:hAnsi="Times New Roman"/>
                <w:b/>
                <w:bCs/>
                <w:noProof/>
                <w:sz w:val="20"/>
                <w:szCs w:val="20"/>
              </w:rPr>
              <w:t>Наименование</w:t>
            </w:r>
          </w:p>
        </w:tc>
      </w:tr>
      <w:tr>
        <w:trPr>
          <w:trHeight w:val="253"/>
          <w:tblHeader/>
        </w:trPr>
        <w:tc>
          <w:tcPr>
            <w:tcW w:w="928"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noProof/>
                <w:sz w:val="18"/>
                <w:szCs w:val="18"/>
                <w:lang w:val="en-IE" w:eastAsia="en-GB"/>
              </w:rPr>
            </w:pPr>
          </w:p>
        </w:tc>
        <w:tc>
          <w:tcPr>
            <w:tcW w:w="1239"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noProof/>
                <w:sz w:val="18"/>
                <w:szCs w:val="18"/>
                <w:lang w:val="en-IE" w:eastAsia="en-GB"/>
              </w:rPr>
            </w:pPr>
          </w:p>
        </w:tc>
        <w:tc>
          <w:tcPr>
            <w:tcW w:w="1230"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noProof/>
                <w:sz w:val="18"/>
                <w:szCs w:val="18"/>
                <w:lang w:val="en-IE" w:eastAsia="en-GB"/>
              </w:rPr>
            </w:pPr>
          </w:p>
        </w:tc>
        <w:tc>
          <w:tcPr>
            <w:tcW w:w="6485" w:type="dxa"/>
            <w:vMerge/>
            <w:tcBorders>
              <w:top w:val="single" w:sz="4" w:space="0" w:color="auto"/>
              <w:left w:val="nil"/>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noProof/>
                <w:sz w:val="18"/>
                <w:szCs w:val="18"/>
                <w:lang w:val="en-IE" w:eastAsia="en-GB"/>
              </w:rPr>
            </w:pP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18"/>
                <w:szCs w:val="18"/>
              </w:rPr>
            </w:pPr>
            <w:r>
              <w:rPr>
                <w:rFonts w:ascii="Times New Roman" w:hAnsi="Times New Roman"/>
                <w:noProof/>
                <w:sz w:val="18"/>
                <w:szCs w:val="18"/>
              </w:rPr>
              <w:t>1</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18"/>
                <w:szCs w:val="18"/>
              </w:rPr>
            </w:pPr>
            <w:r>
              <w:rPr>
                <w:rFonts w:ascii="Times New Roman" w:hAnsi="Times New Roman"/>
                <w:noProof/>
                <w:sz w:val="18"/>
                <w:szCs w:val="18"/>
              </w:rPr>
              <w:t>C1.R1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18"/>
                <w:szCs w:val="18"/>
              </w:rPr>
            </w:pPr>
            <w:r>
              <w:rPr>
                <w:rFonts w:ascii="Times New Roman" w:hAnsi="Times New Roman"/>
                <w:noProof/>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18"/>
                <w:szCs w:val="18"/>
              </w:rPr>
            </w:pPr>
            <w:r>
              <w:rPr>
                <w:rFonts w:ascii="Times New Roman" w:hAnsi="Times New Roman"/>
                <w:noProof/>
                <w:sz w:val="18"/>
                <w:szCs w:val="18"/>
              </w:rPr>
              <w:t>Наредба TMA/178/2020 и Кралски указ-закон 23/2020</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18"/>
                <w:szCs w:val="18"/>
              </w:rPr>
            </w:pPr>
            <w:r>
              <w:rPr>
                <w:rFonts w:ascii="Times New Roman" w:hAnsi="Times New Roman"/>
                <w:noProof/>
                <w:sz w:val="18"/>
                <w:szCs w:val="18"/>
              </w:rPr>
              <w:t>21</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18"/>
                <w:szCs w:val="18"/>
              </w:rPr>
            </w:pPr>
            <w:r>
              <w:rPr>
                <w:rFonts w:ascii="Times New Roman" w:hAnsi="Times New Roman"/>
                <w:noProof/>
                <w:sz w:val="18"/>
                <w:szCs w:val="18"/>
              </w:rPr>
              <w:t>C2.R1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18"/>
                <w:szCs w:val="18"/>
              </w:rPr>
            </w:pPr>
            <w:r>
              <w:rPr>
                <w:rFonts w:ascii="Times New Roman" w:hAnsi="Times New Roman"/>
                <w:noProof/>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18"/>
                <w:szCs w:val="18"/>
              </w:rPr>
            </w:pPr>
            <w:r>
              <w:rPr>
                <w:rFonts w:ascii="Times New Roman" w:hAnsi="Times New Roman"/>
                <w:noProof/>
                <w:sz w:val="18"/>
                <w:szCs w:val="18"/>
              </w:rPr>
              <w:t xml:space="preserve">Влизане в сила на испанската програма за градовете и на дългосрочната стратегия за енергийно саниране в строителния сектор в Испания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18"/>
                <w:szCs w:val="18"/>
              </w:rPr>
            </w:pPr>
            <w:r>
              <w:rPr>
                <w:rFonts w:ascii="Times New Roman" w:hAnsi="Times New Roman"/>
                <w:noProof/>
                <w:sz w:val="18"/>
                <w:szCs w:val="18"/>
              </w:rPr>
              <w:t>39</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18"/>
                <w:szCs w:val="18"/>
              </w:rPr>
            </w:pPr>
            <w:r>
              <w:rPr>
                <w:rFonts w:ascii="Times New Roman" w:hAnsi="Times New Roman"/>
                <w:noProof/>
                <w:sz w:val="18"/>
                <w:szCs w:val="18"/>
              </w:rPr>
              <w:t>C3.R1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18"/>
                <w:szCs w:val="18"/>
              </w:rPr>
            </w:pPr>
            <w:r>
              <w:rPr>
                <w:rFonts w:ascii="Times New Roman" w:hAnsi="Times New Roman"/>
                <w:noProof/>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18"/>
                <w:szCs w:val="18"/>
              </w:rPr>
            </w:pPr>
            <w:r>
              <w:rPr>
                <w:rFonts w:ascii="Times New Roman" w:hAnsi="Times New Roman"/>
                <w:noProof/>
                <w:sz w:val="18"/>
                <w:szCs w:val="18"/>
              </w:rPr>
              <w:t>Влизане в сила на Кралски указ-закон 5/2020 относно спешни мерки по отношение на селското стопанство и храните и Закон 8/2020 за изменение на Закон 12/2013 относно мерките за подобряване на функционирането на хранителната верига</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18"/>
                <w:szCs w:val="18"/>
              </w:rPr>
            </w:pPr>
            <w:r>
              <w:rPr>
                <w:rFonts w:ascii="Times New Roman" w:hAnsi="Times New Roman"/>
                <w:noProof/>
                <w:sz w:val="18"/>
                <w:szCs w:val="18"/>
              </w:rPr>
              <w:t>63</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18"/>
                <w:szCs w:val="18"/>
              </w:rPr>
            </w:pPr>
            <w:r>
              <w:rPr>
                <w:rFonts w:ascii="Times New Roman" w:hAnsi="Times New Roman"/>
                <w:noProof/>
                <w:sz w:val="18"/>
                <w:szCs w:val="18"/>
              </w:rPr>
              <w:t>C4.R2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18"/>
                <w:szCs w:val="18"/>
              </w:rPr>
            </w:pPr>
            <w:r>
              <w:rPr>
                <w:rFonts w:ascii="Times New Roman" w:hAnsi="Times New Roman"/>
                <w:noProof/>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18"/>
                <w:szCs w:val="18"/>
              </w:rPr>
            </w:pPr>
            <w:r>
              <w:rPr>
                <w:rFonts w:ascii="Times New Roman" w:hAnsi="Times New Roman"/>
                <w:noProof/>
                <w:sz w:val="18"/>
                <w:szCs w:val="18"/>
              </w:rPr>
              <w:t>Приемане на национална стратегия за екологосъобразна инфраструктура, свързаност и екологично възстановяване</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18"/>
                <w:szCs w:val="18"/>
              </w:rPr>
            </w:pPr>
            <w:r>
              <w:rPr>
                <w:rFonts w:ascii="Times New Roman" w:hAnsi="Times New Roman"/>
                <w:noProof/>
                <w:sz w:val="18"/>
                <w:szCs w:val="18"/>
              </w:rPr>
              <w:t>82</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18"/>
                <w:szCs w:val="18"/>
              </w:rPr>
            </w:pPr>
            <w:r>
              <w:rPr>
                <w:rFonts w:ascii="Times New Roman" w:hAnsi="Times New Roman"/>
                <w:noProof/>
                <w:sz w:val="18"/>
                <w:szCs w:val="18"/>
              </w:rPr>
              <w:t>C6.R1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18"/>
                <w:szCs w:val="18"/>
              </w:rPr>
            </w:pPr>
            <w:r>
              <w:rPr>
                <w:rFonts w:ascii="Times New Roman" w:hAnsi="Times New Roman"/>
                <w:noProof/>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18"/>
                <w:szCs w:val="18"/>
              </w:rPr>
            </w:pPr>
            <w:r>
              <w:rPr>
                <w:rFonts w:ascii="Times New Roman" w:hAnsi="Times New Roman"/>
                <w:noProof/>
                <w:sz w:val="18"/>
                <w:szCs w:val="18"/>
              </w:rPr>
              <w:t>Стратегия за устойчива, сигурна и свързана мобилност (обществена консултация)</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18"/>
                <w:szCs w:val="18"/>
              </w:rPr>
            </w:pPr>
            <w:r>
              <w:rPr>
                <w:rFonts w:ascii="Times New Roman" w:hAnsi="Times New Roman"/>
                <w:noProof/>
                <w:sz w:val="18"/>
                <w:szCs w:val="18"/>
              </w:rPr>
              <w:t>102</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18"/>
                <w:szCs w:val="18"/>
              </w:rPr>
            </w:pPr>
            <w:r>
              <w:rPr>
                <w:rFonts w:ascii="Times New Roman" w:hAnsi="Times New Roman"/>
                <w:noProof/>
                <w:sz w:val="18"/>
                <w:szCs w:val="18"/>
              </w:rPr>
              <w:t>C7.R1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18"/>
                <w:szCs w:val="18"/>
              </w:rPr>
            </w:pPr>
            <w:r>
              <w:rPr>
                <w:rFonts w:ascii="Times New Roman" w:hAnsi="Times New Roman"/>
                <w:noProof/>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18"/>
                <w:szCs w:val="18"/>
              </w:rPr>
            </w:pPr>
            <w:r>
              <w:rPr>
                <w:rFonts w:ascii="Times New Roman" w:hAnsi="Times New Roman"/>
                <w:noProof/>
                <w:sz w:val="18"/>
                <w:szCs w:val="18"/>
              </w:rPr>
              <w:t>Влизане в сила на Кралски законодателен указ 23/2020 (енергийни мерки)</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18"/>
                <w:szCs w:val="18"/>
              </w:rPr>
            </w:pPr>
            <w:r>
              <w:rPr>
                <w:rFonts w:ascii="Times New Roman" w:hAnsi="Times New Roman"/>
                <w:noProof/>
                <w:sz w:val="18"/>
                <w:szCs w:val="18"/>
              </w:rPr>
              <w:t>103</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18"/>
                <w:szCs w:val="18"/>
              </w:rPr>
            </w:pPr>
            <w:r>
              <w:rPr>
                <w:rFonts w:ascii="Times New Roman" w:hAnsi="Times New Roman"/>
                <w:noProof/>
                <w:sz w:val="18"/>
                <w:szCs w:val="18"/>
              </w:rPr>
              <w:t>C7.R1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18"/>
                <w:szCs w:val="18"/>
              </w:rPr>
            </w:pPr>
            <w:r>
              <w:rPr>
                <w:rFonts w:ascii="Times New Roman" w:hAnsi="Times New Roman"/>
                <w:noProof/>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18"/>
                <w:szCs w:val="18"/>
              </w:rPr>
            </w:pPr>
            <w:r>
              <w:rPr>
                <w:rFonts w:ascii="Times New Roman" w:hAnsi="Times New Roman"/>
                <w:noProof/>
                <w:sz w:val="18"/>
                <w:szCs w:val="18"/>
              </w:rPr>
              <w:t>Влизане в сила на Кралски указ 960/2020 (икономически режим за енергията от възобновяеми източници)</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18"/>
                <w:szCs w:val="18"/>
              </w:rPr>
            </w:pPr>
            <w:r>
              <w:rPr>
                <w:rFonts w:ascii="Times New Roman" w:hAnsi="Times New Roman"/>
                <w:noProof/>
                <w:sz w:val="18"/>
                <w:szCs w:val="18"/>
              </w:rPr>
              <w:t>104</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18"/>
                <w:szCs w:val="18"/>
              </w:rPr>
            </w:pPr>
            <w:r>
              <w:rPr>
                <w:rFonts w:ascii="Times New Roman" w:hAnsi="Times New Roman"/>
                <w:noProof/>
                <w:sz w:val="18"/>
                <w:szCs w:val="18"/>
              </w:rPr>
              <w:t>C7.R1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18"/>
                <w:szCs w:val="18"/>
              </w:rPr>
            </w:pPr>
            <w:r>
              <w:rPr>
                <w:rFonts w:ascii="Times New Roman" w:hAnsi="Times New Roman"/>
                <w:noProof/>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18"/>
                <w:szCs w:val="18"/>
              </w:rPr>
            </w:pPr>
            <w:r>
              <w:rPr>
                <w:rFonts w:ascii="Times New Roman" w:hAnsi="Times New Roman"/>
                <w:noProof/>
                <w:sz w:val="18"/>
                <w:szCs w:val="18"/>
              </w:rPr>
              <w:t>Влизане в сила на Кралски указ 1183/2020 (свързване на възобновяемите енергийни източници към електроенергийната мрежа)</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hAnsi="Times New Roman" w:cs="Times New Roman"/>
                <w:noProof/>
                <w:color w:val="000000"/>
                <w:sz w:val="18"/>
                <w:szCs w:val="18"/>
              </w:rPr>
            </w:pPr>
            <w:r>
              <w:rPr>
                <w:rFonts w:ascii="Times New Roman" w:hAnsi="Times New Roman"/>
                <w:noProof/>
                <w:sz w:val="18"/>
                <w:szCs w:val="18"/>
              </w:rPr>
              <w:t>105</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hAnsi="Times New Roman" w:cs="Times New Roman"/>
                <w:noProof/>
                <w:color w:val="000000"/>
                <w:sz w:val="18"/>
                <w:szCs w:val="18"/>
              </w:rPr>
            </w:pPr>
            <w:r>
              <w:rPr>
                <w:rFonts w:ascii="Times New Roman" w:hAnsi="Times New Roman"/>
                <w:noProof/>
                <w:sz w:val="18"/>
                <w:szCs w:val="18"/>
              </w:rPr>
              <w:t>C7.R1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hAnsi="Times New Roman" w:cs="Times New Roman"/>
                <w:noProof/>
                <w:color w:val="000000"/>
                <w:sz w:val="18"/>
                <w:szCs w:val="18"/>
              </w:rPr>
            </w:pPr>
            <w:r>
              <w:rPr>
                <w:rFonts w:ascii="Times New Roman" w:hAnsi="Times New Roman"/>
                <w:noProof/>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hAnsi="Times New Roman" w:cs="Times New Roman"/>
                <w:noProof/>
                <w:color w:val="000000"/>
                <w:sz w:val="18"/>
                <w:szCs w:val="18"/>
              </w:rPr>
            </w:pPr>
            <w:r>
              <w:rPr>
                <w:rFonts w:ascii="Times New Roman" w:hAnsi="Times New Roman"/>
                <w:noProof/>
                <w:sz w:val="18"/>
                <w:szCs w:val="18"/>
              </w:rPr>
              <w:t xml:space="preserve">Влизане в сила на Закон за изменението на климата и енергийния преход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hAnsi="Times New Roman" w:cs="Times New Roman"/>
                <w:noProof/>
                <w:color w:val="000000"/>
                <w:sz w:val="18"/>
                <w:szCs w:val="18"/>
              </w:rPr>
            </w:pPr>
            <w:r>
              <w:rPr>
                <w:rFonts w:ascii="Times New Roman" w:hAnsi="Times New Roman"/>
                <w:noProof/>
                <w:sz w:val="18"/>
                <w:szCs w:val="18"/>
              </w:rPr>
              <w:t>121</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hAnsi="Times New Roman" w:cs="Times New Roman"/>
                <w:noProof/>
                <w:color w:val="000000"/>
                <w:sz w:val="18"/>
                <w:szCs w:val="18"/>
              </w:rPr>
            </w:pPr>
            <w:r>
              <w:rPr>
                <w:rFonts w:ascii="Times New Roman" w:hAnsi="Times New Roman"/>
                <w:noProof/>
                <w:sz w:val="18"/>
                <w:szCs w:val="18"/>
              </w:rPr>
              <w:t>C8.R1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hAnsi="Times New Roman" w:cs="Times New Roman"/>
                <w:noProof/>
                <w:color w:val="000000"/>
                <w:sz w:val="18"/>
                <w:szCs w:val="18"/>
              </w:rPr>
            </w:pPr>
            <w:r>
              <w:rPr>
                <w:rFonts w:ascii="Times New Roman" w:hAnsi="Times New Roman"/>
                <w:noProof/>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hAnsi="Times New Roman" w:cs="Times New Roman"/>
                <w:noProof/>
                <w:color w:val="000000"/>
                <w:sz w:val="18"/>
                <w:szCs w:val="18"/>
              </w:rPr>
            </w:pPr>
            <w:r>
              <w:rPr>
                <w:rFonts w:ascii="Times New Roman" w:hAnsi="Times New Roman"/>
                <w:noProof/>
                <w:sz w:val="18"/>
                <w:szCs w:val="18"/>
              </w:rPr>
              <w:t>Одобряване на дългосрочната стратегия за декарбонизация (ELP2050).</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hAnsi="Times New Roman" w:cs="Times New Roman"/>
                <w:noProof/>
                <w:color w:val="000000"/>
                <w:sz w:val="18"/>
                <w:szCs w:val="18"/>
              </w:rPr>
            </w:pPr>
            <w:r>
              <w:rPr>
                <w:rFonts w:ascii="Times New Roman" w:hAnsi="Times New Roman"/>
                <w:noProof/>
                <w:sz w:val="18"/>
                <w:szCs w:val="18"/>
              </w:rPr>
              <w:t>122</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hAnsi="Times New Roman" w:cs="Times New Roman"/>
                <w:noProof/>
                <w:color w:val="000000"/>
                <w:sz w:val="18"/>
                <w:szCs w:val="18"/>
              </w:rPr>
            </w:pPr>
            <w:r>
              <w:rPr>
                <w:rFonts w:ascii="Times New Roman" w:hAnsi="Times New Roman"/>
                <w:noProof/>
                <w:sz w:val="18"/>
                <w:szCs w:val="18"/>
              </w:rPr>
              <w:t>C8.R2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hAnsi="Times New Roman" w:cs="Times New Roman"/>
                <w:noProof/>
                <w:color w:val="000000"/>
                <w:sz w:val="18"/>
                <w:szCs w:val="18"/>
              </w:rPr>
            </w:pPr>
            <w:r>
              <w:rPr>
                <w:rFonts w:ascii="Times New Roman" w:hAnsi="Times New Roman"/>
                <w:noProof/>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hAnsi="Times New Roman" w:cs="Times New Roman"/>
                <w:noProof/>
                <w:color w:val="000000"/>
                <w:sz w:val="18"/>
                <w:szCs w:val="18"/>
              </w:rPr>
            </w:pPr>
            <w:r>
              <w:rPr>
                <w:rFonts w:ascii="Times New Roman" w:hAnsi="Times New Roman"/>
                <w:noProof/>
                <w:sz w:val="18"/>
                <w:szCs w:val="18"/>
              </w:rPr>
              <w:t>Влизане в сила на планирани, законодателни и регулаторни реформи за насърчаване на разработването на решения за съхранение на енергия.</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hAnsi="Times New Roman" w:cs="Times New Roman"/>
                <w:noProof/>
                <w:color w:val="000000"/>
                <w:sz w:val="18"/>
                <w:szCs w:val="18"/>
              </w:rPr>
            </w:pPr>
            <w:r>
              <w:rPr>
                <w:rFonts w:ascii="Times New Roman" w:hAnsi="Times New Roman"/>
                <w:noProof/>
                <w:sz w:val="18"/>
                <w:szCs w:val="18"/>
              </w:rPr>
              <w:t>129</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hAnsi="Times New Roman" w:cs="Times New Roman"/>
                <w:noProof/>
                <w:color w:val="000000"/>
                <w:sz w:val="18"/>
                <w:szCs w:val="18"/>
              </w:rPr>
            </w:pPr>
            <w:r>
              <w:rPr>
                <w:rFonts w:ascii="Times New Roman" w:hAnsi="Times New Roman"/>
                <w:noProof/>
                <w:sz w:val="18"/>
                <w:szCs w:val="18"/>
              </w:rPr>
              <w:t>C9.R1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hAnsi="Times New Roman" w:cs="Times New Roman"/>
                <w:noProof/>
                <w:color w:val="000000"/>
                <w:sz w:val="18"/>
                <w:szCs w:val="18"/>
              </w:rPr>
            </w:pPr>
            <w:r>
              <w:rPr>
                <w:rFonts w:ascii="Times New Roman" w:hAnsi="Times New Roman"/>
                <w:noProof/>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hAnsi="Times New Roman" w:cs="Times New Roman"/>
                <w:noProof/>
                <w:color w:val="000000"/>
                <w:sz w:val="18"/>
                <w:szCs w:val="18"/>
              </w:rPr>
            </w:pPr>
            <w:r>
              <w:rPr>
                <w:rFonts w:ascii="Times New Roman" w:hAnsi="Times New Roman"/>
                <w:noProof/>
                <w:sz w:val="18"/>
                <w:szCs w:val="18"/>
              </w:rPr>
              <w:t xml:space="preserve">Пътна карта за водорода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hAnsi="Times New Roman" w:cs="Times New Roman"/>
                <w:noProof/>
                <w:color w:val="000000"/>
                <w:sz w:val="18"/>
                <w:szCs w:val="18"/>
              </w:rPr>
            </w:pPr>
            <w:r>
              <w:rPr>
                <w:rFonts w:ascii="Times New Roman" w:hAnsi="Times New Roman"/>
                <w:noProof/>
                <w:sz w:val="18"/>
                <w:szCs w:val="18"/>
              </w:rPr>
              <w:t>137</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hAnsi="Times New Roman" w:cs="Times New Roman"/>
                <w:noProof/>
                <w:color w:val="000000"/>
                <w:sz w:val="18"/>
                <w:szCs w:val="18"/>
              </w:rPr>
            </w:pPr>
            <w:r>
              <w:rPr>
                <w:rFonts w:ascii="Times New Roman" w:hAnsi="Times New Roman"/>
                <w:noProof/>
                <w:sz w:val="18"/>
                <w:szCs w:val="18"/>
              </w:rPr>
              <w:t>C10.R1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hAnsi="Times New Roman" w:cs="Times New Roman"/>
                <w:noProof/>
                <w:color w:val="000000"/>
                <w:sz w:val="18"/>
                <w:szCs w:val="18"/>
              </w:rPr>
            </w:pPr>
            <w:r>
              <w:rPr>
                <w:rFonts w:ascii="Times New Roman" w:hAnsi="Times New Roman"/>
                <w:noProof/>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hAnsi="Times New Roman" w:cs="Times New Roman"/>
                <w:noProof/>
                <w:color w:val="000000"/>
                <w:sz w:val="18"/>
                <w:szCs w:val="18"/>
              </w:rPr>
            </w:pPr>
            <w:r>
              <w:rPr>
                <w:rFonts w:ascii="Times New Roman" w:hAnsi="Times New Roman"/>
                <w:noProof/>
                <w:sz w:val="18"/>
                <w:szCs w:val="18"/>
              </w:rPr>
              <w:t xml:space="preserve">Създаване на Института за Фонда за справедлив преход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hAnsi="Times New Roman" w:cs="Times New Roman"/>
                <w:noProof/>
                <w:color w:val="000000"/>
                <w:sz w:val="18"/>
                <w:szCs w:val="18"/>
              </w:rPr>
            </w:pPr>
            <w:r>
              <w:rPr>
                <w:rFonts w:ascii="Times New Roman" w:hAnsi="Times New Roman"/>
                <w:noProof/>
                <w:sz w:val="18"/>
                <w:szCs w:val="18"/>
              </w:rPr>
              <w:t>144</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hAnsi="Times New Roman" w:cs="Times New Roman"/>
                <w:noProof/>
                <w:color w:val="000000"/>
                <w:sz w:val="18"/>
                <w:szCs w:val="18"/>
              </w:rPr>
            </w:pPr>
            <w:r>
              <w:rPr>
                <w:rFonts w:ascii="Times New Roman" w:hAnsi="Times New Roman"/>
                <w:noProof/>
                <w:sz w:val="18"/>
                <w:szCs w:val="18"/>
              </w:rPr>
              <w:t>C11.R1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hAnsi="Times New Roman" w:cs="Times New Roman"/>
                <w:noProof/>
                <w:color w:val="000000"/>
                <w:sz w:val="18"/>
                <w:szCs w:val="18"/>
              </w:rPr>
            </w:pPr>
            <w:r>
              <w:rPr>
                <w:rFonts w:ascii="Times New Roman" w:hAnsi="Times New Roman"/>
                <w:noProof/>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hAnsi="Times New Roman" w:cs="Times New Roman"/>
                <w:noProof/>
                <w:color w:val="000000"/>
                <w:sz w:val="18"/>
                <w:szCs w:val="18"/>
              </w:rPr>
            </w:pPr>
            <w:r>
              <w:rPr>
                <w:rFonts w:ascii="Times New Roman" w:hAnsi="Times New Roman"/>
                <w:noProof/>
                <w:sz w:val="18"/>
                <w:szCs w:val="18"/>
              </w:rPr>
              <w:t>Влизане в сила на законодателен акт за намаляване на временната заетост в публичните администрации</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hAnsi="Times New Roman" w:cs="Times New Roman"/>
                <w:noProof/>
                <w:color w:val="000000"/>
                <w:sz w:val="18"/>
                <w:szCs w:val="18"/>
              </w:rPr>
            </w:pPr>
            <w:r>
              <w:rPr>
                <w:rFonts w:ascii="Times New Roman" w:hAnsi="Times New Roman"/>
                <w:noProof/>
                <w:sz w:val="18"/>
                <w:szCs w:val="18"/>
              </w:rPr>
              <w:t>151</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hAnsi="Times New Roman" w:cs="Times New Roman"/>
                <w:noProof/>
                <w:color w:val="000000"/>
                <w:sz w:val="18"/>
                <w:szCs w:val="18"/>
              </w:rPr>
            </w:pPr>
            <w:r>
              <w:rPr>
                <w:rFonts w:ascii="Times New Roman" w:hAnsi="Times New Roman"/>
                <w:noProof/>
                <w:sz w:val="18"/>
                <w:szCs w:val="18"/>
              </w:rPr>
              <w:t>C11.R2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hAnsi="Times New Roman" w:cs="Times New Roman"/>
                <w:noProof/>
                <w:color w:val="000000"/>
                <w:sz w:val="18"/>
                <w:szCs w:val="18"/>
              </w:rPr>
            </w:pPr>
            <w:r>
              <w:rPr>
                <w:rFonts w:ascii="Times New Roman" w:hAnsi="Times New Roman"/>
                <w:noProof/>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hAnsi="Times New Roman" w:cs="Times New Roman"/>
                <w:noProof/>
                <w:color w:val="000000"/>
                <w:sz w:val="18"/>
                <w:szCs w:val="18"/>
              </w:rPr>
            </w:pPr>
            <w:r>
              <w:rPr>
                <w:rFonts w:ascii="Times New Roman" w:hAnsi="Times New Roman"/>
                <w:noProof/>
                <w:sz w:val="18"/>
                <w:szCs w:val="18"/>
              </w:rPr>
              <w:t>Влизане в сила на Закон 3/2020 за процесуалните и организационните мерки в областта на правосъдието</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hAnsi="Times New Roman" w:cs="Times New Roman"/>
                <w:noProof/>
                <w:color w:val="000000"/>
                <w:sz w:val="18"/>
                <w:szCs w:val="18"/>
              </w:rPr>
            </w:pPr>
            <w:r>
              <w:rPr>
                <w:rFonts w:ascii="Times New Roman" w:hAnsi="Times New Roman"/>
                <w:noProof/>
                <w:sz w:val="18"/>
                <w:szCs w:val="18"/>
              </w:rPr>
              <w:t>153</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hAnsi="Times New Roman" w:cs="Times New Roman"/>
                <w:noProof/>
                <w:color w:val="000000"/>
                <w:sz w:val="18"/>
                <w:szCs w:val="18"/>
              </w:rPr>
            </w:pPr>
            <w:r>
              <w:rPr>
                <w:rFonts w:ascii="Times New Roman" w:hAnsi="Times New Roman"/>
                <w:noProof/>
                <w:sz w:val="18"/>
                <w:szCs w:val="18"/>
              </w:rPr>
              <w:t>C11.R3</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hAnsi="Times New Roman" w:cs="Times New Roman"/>
                <w:noProof/>
                <w:color w:val="000000"/>
                <w:sz w:val="18"/>
                <w:szCs w:val="18"/>
              </w:rPr>
            </w:pPr>
            <w:r>
              <w:rPr>
                <w:rFonts w:ascii="Times New Roman" w:hAnsi="Times New Roman"/>
                <w:noProof/>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hAnsi="Times New Roman" w:cs="Times New Roman"/>
                <w:noProof/>
                <w:color w:val="000000"/>
                <w:sz w:val="18"/>
                <w:szCs w:val="18"/>
              </w:rPr>
            </w:pPr>
            <w:r>
              <w:rPr>
                <w:rFonts w:ascii="Times New Roman" w:hAnsi="Times New Roman"/>
                <w:noProof/>
                <w:sz w:val="18"/>
                <w:szCs w:val="18"/>
              </w:rPr>
              <w:t>Влизане в сила на Кралски указ 937/2020 относно регулирането на Caja General de Depósitos</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hAnsi="Times New Roman" w:cs="Times New Roman"/>
                <w:noProof/>
                <w:color w:val="000000"/>
                <w:sz w:val="18"/>
                <w:szCs w:val="18"/>
              </w:rPr>
            </w:pPr>
            <w:r>
              <w:rPr>
                <w:rFonts w:ascii="Times New Roman" w:hAnsi="Times New Roman"/>
                <w:noProof/>
                <w:sz w:val="18"/>
                <w:szCs w:val="18"/>
              </w:rPr>
              <w:t>154</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hAnsi="Times New Roman" w:cs="Times New Roman"/>
                <w:noProof/>
                <w:color w:val="000000"/>
                <w:sz w:val="18"/>
                <w:szCs w:val="18"/>
              </w:rPr>
            </w:pPr>
            <w:r>
              <w:rPr>
                <w:rFonts w:ascii="Times New Roman" w:hAnsi="Times New Roman"/>
                <w:noProof/>
                <w:sz w:val="18"/>
                <w:szCs w:val="18"/>
              </w:rPr>
              <w:t>C11.R3</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hAnsi="Times New Roman" w:cs="Times New Roman"/>
                <w:noProof/>
                <w:color w:val="000000"/>
                <w:sz w:val="18"/>
                <w:szCs w:val="18"/>
              </w:rPr>
            </w:pPr>
            <w:r>
              <w:rPr>
                <w:rFonts w:ascii="Times New Roman" w:hAnsi="Times New Roman"/>
                <w:noProof/>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hAnsi="Times New Roman" w:cs="Times New Roman"/>
                <w:noProof/>
                <w:color w:val="000000"/>
                <w:sz w:val="18"/>
                <w:szCs w:val="18"/>
              </w:rPr>
            </w:pPr>
            <w:r>
              <w:rPr>
                <w:rFonts w:ascii="Times New Roman" w:hAnsi="Times New Roman"/>
                <w:noProof/>
                <w:sz w:val="18"/>
                <w:szCs w:val="18"/>
              </w:rPr>
              <w:t>Влизане в сила на кралски указ за одобряване на Правилника за прилагане на Закон 22/2015 от 20 юли относно одита на отчетите</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hAnsi="Times New Roman" w:cs="Times New Roman"/>
                <w:noProof/>
                <w:color w:val="000000"/>
                <w:sz w:val="18"/>
                <w:szCs w:val="18"/>
              </w:rPr>
            </w:pPr>
            <w:r>
              <w:rPr>
                <w:rFonts w:ascii="Times New Roman" w:hAnsi="Times New Roman"/>
                <w:noProof/>
                <w:sz w:val="18"/>
                <w:szCs w:val="18"/>
              </w:rPr>
              <w:t>157</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hAnsi="Times New Roman" w:cs="Times New Roman"/>
                <w:noProof/>
                <w:color w:val="000000"/>
                <w:sz w:val="18"/>
                <w:szCs w:val="18"/>
              </w:rPr>
            </w:pPr>
            <w:r>
              <w:rPr>
                <w:rFonts w:ascii="Times New Roman" w:hAnsi="Times New Roman"/>
                <w:noProof/>
                <w:sz w:val="18"/>
                <w:szCs w:val="18"/>
              </w:rPr>
              <w:t>C11.R5</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hAnsi="Times New Roman" w:cs="Times New Roman"/>
                <w:noProof/>
                <w:color w:val="000000"/>
                <w:sz w:val="18"/>
                <w:szCs w:val="18"/>
              </w:rPr>
            </w:pPr>
            <w:r>
              <w:rPr>
                <w:rFonts w:ascii="Times New Roman" w:hAnsi="Times New Roman"/>
                <w:noProof/>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hAnsi="Times New Roman" w:cs="Times New Roman"/>
                <w:noProof/>
                <w:color w:val="000000"/>
                <w:sz w:val="18"/>
                <w:szCs w:val="18"/>
              </w:rPr>
            </w:pPr>
            <w:r>
              <w:rPr>
                <w:rFonts w:ascii="Times New Roman" w:hAnsi="Times New Roman"/>
                <w:noProof/>
                <w:sz w:val="18"/>
                <w:szCs w:val="18"/>
              </w:rPr>
              <w:t>Влизане в сила на Кралски законодателен указ 36/2020 относно изпълнението на плана за възстановяване, трансформация и устойчивост</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hAnsi="Times New Roman" w:cs="Times New Roman"/>
                <w:noProof/>
                <w:color w:val="000000"/>
                <w:sz w:val="18"/>
                <w:szCs w:val="18"/>
              </w:rPr>
            </w:pPr>
            <w:r>
              <w:rPr>
                <w:rFonts w:ascii="Times New Roman" w:hAnsi="Times New Roman"/>
                <w:noProof/>
                <w:sz w:val="18"/>
                <w:szCs w:val="18"/>
              </w:rPr>
              <w:t>158</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hAnsi="Times New Roman" w:cs="Times New Roman"/>
                <w:noProof/>
                <w:color w:val="000000"/>
                <w:sz w:val="18"/>
                <w:szCs w:val="18"/>
              </w:rPr>
            </w:pPr>
            <w:r>
              <w:rPr>
                <w:rFonts w:ascii="Times New Roman" w:hAnsi="Times New Roman"/>
                <w:noProof/>
                <w:sz w:val="18"/>
                <w:szCs w:val="18"/>
              </w:rPr>
              <w:t>C11.R5</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hAnsi="Times New Roman" w:cs="Times New Roman"/>
                <w:noProof/>
                <w:color w:val="000000"/>
                <w:sz w:val="18"/>
                <w:szCs w:val="18"/>
              </w:rPr>
            </w:pPr>
            <w:r>
              <w:rPr>
                <w:rFonts w:ascii="Times New Roman" w:hAnsi="Times New Roman"/>
                <w:noProof/>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hAnsi="Times New Roman" w:cs="Times New Roman"/>
                <w:noProof/>
                <w:color w:val="000000"/>
                <w:sz w:val="18"/>
                <w:szCs w:val="18"/>
              </w:rPr>
            </w:pPr>
            <w:r>
              <w:rPr>
                <w:rFonts w:ascii="Times New Roman" w:hAnsi="Times New Roman"/>
                <w:noProof/>
                <w:sz w:val="18"/>
                <w:szCs w:val="18"/>
              </w:rPr>
              <w:t>Създаване на нови органи в рамките на централното държавно управление, които да следят изпълнението, контрола и одита на плана.</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hAnsi="Times New Roman" w:cs="Times New Roman"/>
                <w:noProof/>
                <w:color w:val="000000"/>
                <w:sz w:val="18"/>
                <w:szCs w:val="18"/>
              </w:rPr>
            </w:pPr>
            <w:r>
              <w:rPr>
                <w:rFonts w:ascii="Times New Roman" w:hAnsi="Times New Roman"/>
                <w:noProof/>
                <w:sz w:val="18"/>
                <w:szCs w:val="18"/>
              </w:rPr>
              <w:t>159</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hAnsi="Times New Roman" w:cs="Times New Roman"/>
                <w:noProof/>
                <w:color w:val="000000"/>
                <w:sz w:val="18"/>
                <w:szCs w:val="18"/>
              </w:rPr>
            </w:pPr>
            <w:r>
              <w:rPr>
                <w:rFonts w:ascii="Times New Roman" w:hAnsi="Times New Roman"/>
                <w:noProof/>
                <w:sz w:val="18"/>
                <w:szCs w:val="18"/>
              </w:rPr>
              <w:t>C11.R5</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hAnsi="Times New Roman" w:cs="Times New Roman"/>
                <w:noProof/>
                <w:color w:val="000000"/>
                <w:sz w:val="18"/>
                <w:szCs w:val="18"/>
              </w:rPr>
            </w:pPr>
            <w:r>
              <w:rPr>
                <w:rFonts w:ascii="Times New Roman" w:hAnsi="Times New Roman"/>
                <w:noProof/>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hAnsi="Times New Roman" w:cs="Times New Roman"/>
                <w:noProof/>
                <w:color w:val="000000"/>
                <w:sz w:val="18"/>
                <w:szCs w:val="18"/>
              </w:rPr>
            </w:pPr>
            <w:r>
              <w:rPr>
                <w:rFonts w:ascii="Times New Roman" w:hAnsi="Times New Roman"/>
                <w:noProof/>
                <w:sz w:val="18"/>
                <w:szCs w:val="18"/>
              </w:rPr>
              <w:t>Наредба за определяне на процедурите и формата на информацията, която трябва да се обменя за мониторинга на ППР и за счетоводното изпълнение на разходите</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hAnsi="Times New Roman" w:cs="Times New Roman"/>
                <w:noProof/>
                <w:color w:val="000000"/>
                <w:sz w:val="18"/>
                <w:szCs w:val="18"/>
              </w:rPr>
            </w:pPr>
            <w:r>
              <w:rPr>
                <w:rFonts w:ascii="Times New Roman" w:hAnsi="Times New Roman"/>
                <w:noProof/>
                <w:sz w:val="18"/>
                <w:szCs w:val="18"/>
              </w:rPr>
              <w:t>173</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hAnsi="Times New Roman" w:cs="Times New Roman"/>
                <w:noProof/>
                <w:color w:val="000000"/>
                <w:sz w:val="18"/>
                <w:szCs w:val="18"/>
              </w:rPr>
            </w:pPr>
            <w:r>
              <w:rPr>
                <w:rFonts w:ascii="Times New Roman" w:hAnsi="Times New Roman"/>
                <w:noProof/>
                <w:sz w:val="18"/>
                <w:szCs w:val="18"/>
              </w:rPr>
              <w:t>C11.I5</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hAnsi="Times New Roman" w:cs="Times New Roman"/>
                <w:noProof/>
                <w:color w:val="000000"/>
                <w:sz w:val="18"/>
                <w:szCs w:val="18"/>
              </w:rPr>
            </w:pPr>
            <w:r>
              <w:rPr>
                <w:rFonts w:ascii="Times New Roman" w:hAnsi="Times New Roman"/>
                <w:noProof/>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hAnsi="Times New Roman" w:cs="Times New Roman"/>
                <w:noProof/>
                <w:color w:val="000000"/>
                <w:sz w:val="18"/>
                <w:szCs w:val="18"/>
              </w:rPr>
            </w:pPr>
            <w:r>
              <w:rPr>
                <w:rFonts w:ascii="Times New Roman" w:hAnsi="Times New Roman"/>
                <w:noProof/>
                <w:sz w:val="18"/>
                <w:szCs w:val="18"/>
              </w:rPr>
              <w:t>Механизъм за възстановяване и устойчивост – интегрирана информационна система</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hAnsi="Times New Roman" w:cs="Times New Roman"/>
                <w:noProof/>
                <w:color w:val="000000"/>
                <w:sz w:val="18"/>
                <w:szCs w:val="18"/>
              </w:rPr>
            </w:pPr>
            <w:r>
              <w:rPr>
                <w:rFonts w:ascii="Times New Roman" w:hAnsi="Times New Roman"/>
                <w:noProof/>
                <w:sz w:val="18"/>
                <w:szCs w:val="18"/>
              </w:rPr>
              <w:t>177</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hAnsi="Times New Roman" w:cs="Times New Roman"/>
                <w:noProof/>
                <w:color w:val="000000"/>
                <w:sz w:val="18"/>
                <w:szCs w:val="18"/>
              </w:rPr>
            </w:pPr>
            <w:r>
              <w:rPr>
                <w:rFonts w:ascii="Times New Roman" w:hAnsi="Times New Roman"/>
                <w:noProof/>
                <w:sz w:val="18"/>
                <w:szCs w:val="18"/>
              </w:rPr>
              <w:t>C12.R2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hAnsi="Times New Roman" w:cs="Times New Roman"/>
                <w:noProof/>
                <w:color w:val="000000"/>
                <w:sz w:val="18"/>
                <w:szCs w:val="18"/>
              </w:rPr>
            </w:pPr>
            <w:r>
              <w:rPr>
                <w:rFonts w:ascii="Times New Roman" w:hAnsi="Times New Roman"/>
                <w:noProof/>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hAnsi="Times New Roman" w:cs="Times New Roman"/>
                <w:noProof/>
                <w:color w:val="000000"/>
                <w:sz w:val="18"/>
                <w:szCs w:val="18"/>
              </w:rPr>
            </w:pPr>
            <w:r>
              <w:rPr>
                <w:rFonts w:ascii="Times New Roman" w:hAnsi="Times New Roman"/>
                <w:noProof/>
                <w:sz w:val="18"/>
                <w:szCs w:val="18"/>
              </w:rPr>
              <w:t>Испанска стратегия за кръговата икономика (EEEC)</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hAnsi="Times New Roman" w:cs="Times New Roman"/>
                <w:noProof/>
                <w:color w:val="000000"/>
                <w:sz w:val="18"/>
                <w:szCs w:val="18"/>
              </w:rPr>
            </w:pPr>
            <w:r>
              <w:rPr>
                <w:rFonts w:ascii="Times New Roman" w:hAnsi="Times New Roman"/>
                <w:noProof/>
                <w:sz w:val="18"/>
                <w:szCs w:val="18"/>
              </w:rPr>
              <w:t>181</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hAnsi="Times New Roman" w:cs="Times New Roman"/>
                <w:noProof/>
                <w:color w:val="000000"/>
                <w:sz w:val="18"/>
                <w:szCs w:val="18"/>
              </w:rPr>
            </w:pPr>
            <w:r>
              <w:rPr>
                <w:rFonts w:ascii="Times New Roman" w:hAnsi="Times New Roman"/>
                <w:noProof/>
                <w:sz w:val="18"/>
                <w:szCs w:val="18"/>
              </w:rPr>
              <w:t>C12.I2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hAnsi="Times New Roman" w:cs="Times New Roman"/>
                <w:noProof/>
                <w:color w:val="000000"/>
                <w:sz w:val="18"/>
                <w:szCs w:val="18"/>
              </w:rPr>
            </w:pPr>
            <w:r>
              <w:rPr>
                <w:rFonts w:ascii="Times New Roman" w:hAnsi="Times New Roman"/>
                <w:noProof/>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hAnsi="Times New Roman" w:cs="Times New Roman"/>
                <w:noProof/>
                <w:color w:val="000000"/>
                <w:sz w:val="18"/>
                <w:szCs w:val="18"/>
              </w:rPr>
            </w:pPr>
            <w:r>
              <w:rPr>
                <w:rFonts w:ascii="Times New Roman" w:hAnsi="Times New Roman"/>
                <w:noProof/>
                <w:sz w:val="18"/>
                <w:szCs w:val="18"/>
              </w:rPr>
              <w:t>План за насърчаване на веригата за създаване на стойност на автомобилната промишленост към устойчива и свързана мобилност</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hAnsi="Times New Roman" w:cs="Times New Roman"/>
                <w:noProof/>
                <w:color w:val="000000"/>
                <w:sz w:val="18"/>
                <w:szCs w:val="18"/>
              </w:rPr>
            </w:pPr>
            <w:r>
              <w:rPr>
                <w:rFonts w:ascii="Times New Roman" w:hAnsi="Times New Roman"/>
                <w:noProof/>
                <w:sz w:val="18"/>
                <w:szCs w:val="18"/>
              </w:rPr>
              <w:t>199</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hAnsi="Times New Roman" w:cs="Times New Roman"/>
                <w:noProof/>
                <w:color w:val="000000"/>
                <w:sz w:val="18"/>
                <w:szCs w:val="18"/>
              </w:rPr>
            </w:pPr>
            <w:r>
              <w:rPr>
                <w:rFonts w:ascii="Times New Roman" w:hAnsi="Times New Roman"/>
                <w:noProof/>
                <w:sz w:val="18"/>
                <w:szCs w:val="18"/>
              </w:rPr>
              <w:t>C13.I3</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hAnsi="Times New Roman" w:cs="Times New Roman"/>
                <w:noProof/>
                <w:color w:val="000000"/>
                <w:sz w:val="18"/>
                <w:szCs w:val="18"/>
              </w:rPr>
            </w:pPr>
            <w:r>
              <w:rPr>
                <w:rFonts w:ascii="Times New Roman" w:hAnsi="Times New Roman"/>
                <w:noProof/>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hAnsi="Times New Roman" w:cs="Times New Roman"/>
                <w:noProof/>
                <w:color w:val="000000"/>
                <w:sz w:val="18"/>
                <w:szCs w:val="18"/>
              </w:rPr>
            </w:pPr>
            <w:r>
              <w:rPr>
                <w:rFonts w:ascii="Times New Roman" w:hAnsi="Times New Roman"/>
                <w:noProof/>
                <w:sz w:val="18"/>
                <w:szCs w:val="18"/>
              </w:rPr>
              <w:t>План за цифровизация на МСП за периода 2021—2025 г.</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hAnsi="Times New Roman" w:cs="Times New Roman"/>
                <w:noProof/>
                <w:color w:val="000000"/>
                <w:sz w:val="18"/>
                <w:szCs w:val="18"/>
              </w:rPr>
            </w:pPr>
            <w:r>
              <w:rPr>
                <w:rFonts w:ascii="Times New Roman" w:hAnsi="Times New Roman"/>
                <w:noProof/>
                <w:sz w:val="18"/>
                <w:szCs w:val="18"/>
              </w:rPr>
              <w:t>214</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hAnsi="Times New Roman" w:cs="Times New Roman"/>
                <w:noProof/>
                <w:color w:val="000000"/>
                <w:sz w:val="18"/>
                <w:szCs w:val="18"/>
              </w:rPr>
            </w:pPr>
            <w:r>
              <w:rPr>
                <w:rFonts w:ascii="Times New Roman" w:hAnsi="Times New Roman"/>
                <w:noProof/>
                <w:sz w:val="18"/>
                <w:szCs w:val="18"/>
              </w:rPr>
              <w:t>C14.R1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hAnsi="Times New Roman" w:cs="Times New Roman"/>
                <w:noProof/>
                <w:color w:val="000000"/>
                <w:sz w:val="18"/>
                <w:szCs w:val="18"/>
              </w:rPr>
            </w:pPr>
            <w:r>
              <w:rPr>
                <w:rFonts w:ascii="Times New Roman" w:hAnsi="Times New Roman"/>
                <w:noProof/>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hAnsi="Times New Roman" w:cs="Times New Roman"/>
                <w:noProof/>
                <w:color w:val="000000"/>
                <w:sz w:val="18"/>
                <w:szCs w:val="18"/>
              </w:rPr>
            </w:pPr>
            <w:r>
              <w:rPr>
                <w:rFonts w:ascii="Times New Roman" w:hAnsi="Times New Roman"/>
                <w:noProof/>
                <w:sz w:val="18"/>
                <w:szCs w:val="18"/>
              </w:rPr>
              <w:t>План за насърчаване на туристическия сектор</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hAnsi="Times New Roman" w:cs="Times New Roman"/>
                <w:noProof/>
                <w:color w:val="000000"/>
                <w:sz w:val="18"/>
                <w:szCs w:val="18"/>
              </w:rPr>
            </w:pPr>
            <w:r>
              <w:rPr>
                <w:rFonts w:ascii="Times New Roman" w:hAnsi="Times New Roman"/>
                <w:noProof/>
                <w:sz w:val="18"/>
                <w:szCs w:val="18"/>
              </w:rPr>
              <w:t>215</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hAnsi="Times New Roman" w:cs="Times New Roman"/>
                <w:noProof/>
                <w:color w:val="000000"/>
                <w:sz w:val="18"/>
                <w:szCs w:val="18"/>
              </w:rPr>
            </w:pPr>
            <w:r>
              <w:rPr>
                <w:rFonts w:ascii="Times New Roman" w:hAnsi="Times New Roman"/>
                <w:noProof/>
                <w:sz w:val="18"/>
                <w:szCs w:val="18"/>
              </w:rPr>
              <w:t>C14.R1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hAnsi="Times New Roman" w:cs="Times New Roman"/>
                <w:noProof/>
                <w:color w:val="000000"/>
                <w:sz w:val="18"/>
                <w:szCs w:val="18"/>
              </w:rPr>
            </w:pPr>
            <w:r>
              <w:rPr>
                <w:rFonts w:ascii="Times New Roman" w:hAnsi="Times New Roman"/>
                <w:noProof/>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hAnsi="Times New Roman" w:cs="Times New Roman"/>
                <w:noProof/>
                <w:color w:val="000000"/>
                <w:sz w:val="18"/>
                <w:szCs w:val="18"/>
              </w:rPr>
            </w:pPr>
            <w:r>
              <w:rPr>
                <w:rFonts w:ascii="Times New Roman" w:hAnsi="Times New Roman"/>
                <w:noProof/>
                <w:sz w:val="18"/>
                <w:szCs w:val="18"/>
              </w:rPr>
              <w:t>Стартиране на уебсайта „DATAESTUR“ за събиране на данни за туризма</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18"/>
                <w:szCs w:val="18"/>
              </w:rPr>
            </w:pPr>
            <w:r>
              <w:rPr>
                <w:rFonts w:ascii="Times New Roman" w:hAnsi="Times New Roman"/>
                <w:noProof/>
                <w:sz w:val="18"/>
                <w:szCs w:val="18"/>
              </w:rPr>
              <w:t>230</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18"/>
                <w:szCs w:val="18"/>
              </w:rPr>
            </w:pPr>
            <w:r>
              <w:rPr>
                <w:rFonts w:ascii="Times New Roman" w:hAnsi="Times New Roman"/>
                <w:noProof/>
                <w:sz w:val="18"/>
                <w:szCs w:val="18"/>
              </w:rPr>
              <w:t>C15.R2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18"/>
                <w:szCs w:val="18"/>
              </w:rPr>
            </w:pPr>
            <w:r>
              <w:rPr>
                <w:rFonts w:ascii="Times New Roman" w:hAnsi="Times New Roman"/>
                <w:noProof/>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18"/>
                <w:szCs w:val="18"/>
              </w:rPr>
            </w:pPr>
            <w:r>
              <w:rPr>
                <w:rFonts w:ascii="Times New Roman" w:hAnsi="Times New Roman"/>
                <w:noProof/>
                <w:sz w:val="18"/>
                <w:szCs w:val="18"/>
              </w:rPr>
              <w:t>План и стратегия за насърчаване на 5G технологията „Цифрова Испания“ 2025 г.</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18"/>
                <w:szCs w:val="18"/>
              </w:rPr>
            </w:pPr>
            <w:r>
              <w:rPr>
                <w:rFonts w:ascii="Times New Roman" w:hAnsi="Times New Roman"/>
                <w:noProof/>
                <w:sz w:val="18"/>
                <w:szCs w:val="18"/>
              </w:rPr>
              <w:t>231</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18"/>
                <w:szCs w:val="18"/>
              </w:rPr>
            </w:pPr>
            <w:r>
              <w:rPr>
                <w:rFonts w:ascii="Times New Roman" w:hAnsi="Times New Roman"/>
                <w:noProof/>
                <w:sz w:val="18"/>
                <w:szCs w:val="18"/>
              </w:rPr>
              <w:t>C15.R2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18"/>
                <w:szCs w:val="18"/>
              </w:rPr>
            </w:pPr>
            <w:r>
              <w:rPr>
                <w:rFonts w:ascii="Times New Roman" w:hAnsi="Times New Roman"/>
                <w:noProof/>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18"/>
                <w:szCs w:val="18"/>
              </w:rPr>
            </w:pPr>
            <w:r>
              <w:rPr>
                <w:rFonts w:ascii="Times New Roman" w:hAnsi="Times New Roman"/>
                <w:noProof/>
                <w:sz w:val="18"/>
                <w:szCs w:val="18"/>
              </w:rPr>
              <w:t>Освобождаване на радиочестотната лента 700 MHz</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18"/>
                <w:szCs w:val="18"/>
              </w:rPr>
            </w:pPr>
            <w:r>
              <w:rPr>
                <w:rFonts w:ascii="Times New Roman" w:hAnsi="Times New Roman"/>
                <w:noProof/>
                <w:sz w:val="18"/>
                <w:szCs w:val="18"/>
              </w:rPr>
              <w:t>249</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18"/>
                <w:szCs w:val="18"/>
              </w:rPr>
            </w:pPr>
            <w:r>
              <w:rPr>
                <w:rFonts w:ascii="Times New Roman" w:hAnsi="Times New Roman"/>
                <w:noProof/>
                <w:sz w:val="18"/>
                <w:szCs w:val="18"/>
              </w:rPr>
              <w:t>C16.R1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18"/>
                <w:szCs w:val="18"/>
              </w:rPr>
            </w:pPr>
            <w:r>
              <w:rPr>
                <w:rFonts w:ascii="Times New Roman" w:hAnsi="Times New Roman"/>
                <w:noProof/>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18"/>
                <w:szCs w:val="18"/>
              </w:rPr>
            </w:pPr>
            <w:r>
              <w:rPr>
                <w:rFonts w:ascii="Times New Roman" w:hAnsi="Times New Roman"/>
                <w:noProof/>
                <w:sz w:val="18"/>
                <w:szCs w:val="18"/>
              </w:rPr>
              <w:t xml:space="preserve">Национална стратегия за изкуствения интелект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18"/>
                <w:szCs w:val="18"/>
              </w:rPr>
            </w:pPr>
            <w:r>
              <w:rPr>
                <w:rFonts w:ascii="Times New Roman" w:hAnsi="Times New Roman"/>
                <w:noProof/>
                <w:sz w:val="18"/>
                <w:szCs w:val="18"/>
              </w:rPr>
              <w:t>255</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18"/>
                <w:szCs w:val="18"/>
              </w:rPr>
            </w:pPr>
            <w:r>
              <w:rPr>
                <w:rFonts w:ascii="Times New Roman" w:hAnsi="Times New Roman"/>
                <w:noProof/>
                <w:sz w:val="18"/>
                <w:szCs w:val="18"/>
              </w:rPr>
              <w:t>C17.R2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18"/>
                <w:szCs w:val="18"/>
              </w:rPr>
            </w:pPr>
            <w:r>
              <w:rPr>
                <w:rFonts w:ascii="Times New Roman" w:hAnsi="Times New Roman"/>
                <w:noProof/>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18"/>
                <w:szCs w:val="18"/>
              </w:rPr>
            </w:pPr>
            <w:r>
              <w:rPr>
                <w:rFonts w:ascii="Times New Roman" w:hAnsi="Times New Roman"/>
                <w:noProof/>
                <w:sz w:val="18"/>
                <w:szCs w:val="18"/>
              </w:rPr>
              <w:t>Публикуване на испанската стратегия за наука, технологии и иновации за периода 2021—2027 г.</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18"/>
                <w:szCs w:val="18"/>
              </w:rPr>
            </w:pPr>
            <w:r>
              <w:rPr>
                <w:rFonts w:ascii="Times New Roman" w:hAnsi="Times New Roman"/>
                <w:noProof/>
                <w:sz w:val="18"/>
                <w:szCs w:val="18"/>
              </w:rPr>
              <w:t>257</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18"/>
                <w:szCs w:val="18"/>
              </w:rPr>
            </w:pPr>
            <w:r>
              <w:rPr>
                <w:rFonts w:ascii="Times New Roman" w:hAnsi="Times New Roman"/>
                <w:noProof/>
                <w:sz w:val="18"/>
                <w:szCs w:val="18"/>
              </w:rPr>
              <w:t>C17.R3</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18"/>
                <w:szCs w:val="18"/>
              </w:rPr>
            </w:pPr>
            <w:r>
              <w:rPr>
                <w:rFonts w:ascii="Times New Roman" w:hAnsi="Times New Roman"/>
                <w:noProof/>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18"/>
                <w:szCs w:val="18"/>
              </w:rPr>
            </w:pPr>
            <w:r>
              <w:rPr>
                <w:rFonts w:ascii="Times New Roman" w:hAnsi="Times New Roman"/>
                <w:noProof/>
                <w:sz w:val="18"/>
                <w:szCs w:val="18"/>
              </w:rPr>
              <w:t xml:space="preserve">Влизане в сила на кралския указ за реорганизация на публичните научноизследователски организации.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18"/>
                <w:szCs w:val="18"/>
              </w:rPr>
            </w:pPr>
            <w:r>
              <w:rPr>
                <w:rFonts w:ascii="Times New Roman" w:hAnsi="Times New Roman"/>
                <w:noProof/>
                <w:sz w:val="18"/>
                <w:szCs w:val="18"/>
              </w:rPr>
              <w:t>285</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18"/>
                <w:szCs w:val="18"/>
              </w:rPr>
            </w:pPr>
            <w:r>
              <w:rPr>
                <w:rFonts w:ascii="Times New Roman" w:hAnsi="Times New Roman"/>
                <w:noProof/>
                <w:sz w:val="18"/>
                <w:szCs w:val="18"/>
              </w:rPr>
              <w:t>C19.R1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18"/>
                <w:szCs w:val="18"/>
              </w:rPr>
            </w:pPr>
            <w:r>
              <w:rPr>
                <w:rFonts w:ascii="Times New Roman" w:hAnsi="Times New Roman"/>
                <w:noProof/>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18"/>
                <w:szCs w:val="18"/>
              </w:rPr>
            </w:pPr>
            <w:r>
              <w:rPr>
                <w:rFonts w:ascii="Times New Roman" w:hAnsi="Times New Roman"/>
                <w:noProof/>
                <w:sz w:val="18"/>
                <w:szCs w:val="18"/>
              </w:rPr>
              <w:t>Одобряване на Националния план за компетентност в областта на цифровите технологии от Министерския съвет</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18"/>
                <w:szCs w:val="18"/>
              </w:rPr>
            </w:pPr>
            <w:r>
              <w:rPr>
                <w:rFonts w:ascii="Times New Roman" w:hAnsi="Times New Roman"/>
                <w:noProof/>
                <w:sz w:val="18"/>
                <w:szCs w:val="18"/>
              </w:rPr>
              <w:t>295</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18"/>
                <w:szCs w:val="18"/>
              </w:rPr>
            </w:pPr>
            <w:r>
              <w:rPr>
                <w:rFonts w:ascii="Times New Roman" w:hAnsi="Times New Roman"/>
                <w:noProof/>
                <w:sz w:val="18"/>
                <w:szCs w:val="18"/>
              </w:rPr>
              <w:t>C20.R1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18"/>
                <w:szCs w:val="18"/>
              </w:rPr>
            </w:pPr>
            <w:r>
              <w:rPr>
                <w:rFonts w:ascii="Times New Roman" w:hAnsi="Times New Roman"/>
                <w:noProof/>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18"/>
                <w:szCs w:val="18"/>
              </w:rPr>
            </w:pPr>
            <w:r>
              <w:rPr>
                <w:rFonts w:ascii="Times New Roman" w:hAnsi="Times New Roman"/>
                <w:noProof/>
                <w:sz w:val="18"/>
                <w:szCs w:val="18"/>
              </w:rPr>
              <w:t>План за модернизиране на професионалното обучение и свързаните с него кралски декрет-закони</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18"/>
                <w:szCs w:val="18"/>
              </w:rPr>
            </w:pPr>
            <w:r>
              <w:rPr>
                <w:rFonts w:ascii="Times New Roman" w:hAnsi="Times New Roman"/>
                <w:noProof/>
                <w:sz w:val="18"/>
                <w:szCs w:val="18"/>
              </w:rPr>
              <w:t>303</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18"/>
                <w:szCs w:val="18"/>
              </w:rPr>
            </w:pPr>
            <w:r>
              <w:rPr>
                <w:rFonts w:ascii="Times New Roman" w:hAnsi="Times New Roman"/>
                <w:noProof/>
                <w:sz w:val="18"/>
                <w:szCs w:val="18"/>
              </w:rPr>
              <w:t>C21.R1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18"/>
                <w:szCs w:val="18"/>
              </w:rPr>
            </w:pPr>
            <w:r>
              <w:rPr>
                <w:rFonts w:ascii="Times New Roman" w:hAnsi="Times New Roman"/>
                <w:noProof/>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18"/>
                <w:szCs w:val="18"/>
              </w:rPr>
            </w:pPr>
            <w:r>
              <w:rPr>
                <w:rFonts w:ascii="Times New Roman" w:hAnsi="Times New Roman"/>
                <w:noProof/>
                <w:sz w:val="18"/>
                <w:szCs w:val="18"/>
              </w:rPr>
              <w:t xml:space="preserve">Влизане в сила на Устройствения закон за образованието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18"/>
                <w:szCs w:val="18"/>
              </w:rPr>
            </w:pPr>
            <w:r>
              <w:rPr>
                <w:rFonts w:ascii="Times New Roman" w:hAnsi="Times New Roman"/>
                <w:noProof/>
                <w:sz w:val="18"/>
                <w:szCs w:val="18"/>
              </w:rPr>
              <w:t>318</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18"/>
                <w:szCs w:val="18"/>
              </w:rPr>
            </w:pPr>
            <w:r>
              <w:rPr>
                <w:rFonts w:ascii="Times New Roman" w:hAnsi="Times New Roman"/>
                <w:noProof/>
                <w:sz w:val="18"/>
                <w:szCs w:val="18"/>
              </w:rPr>
              <w:t>C22.R5</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18"/>
                <w:szCs w:val="18"/>
              </w:rPr>
            </w:pPr>
            <w:r>
              <w:rPr>
                <w:rFonts w:ascii="Times New Roman" w:hAnsi="Times New Roman"/>
                <w:noProof/>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18"/>
                <w:szCs w:val="18"/>
              </w:rPr>
            </w:pPr>
            <w:r>
              <w:rPr>
                <w:rFonts w:ascii="Times New Roman" w:hAnsi="Times New Roman"/>
                <w:noProof/>
                <w:sz w:val="18"/>
                <w:szCs w:val="18"/>
              </w:rPr>
              <w:t>Влизане в сила на Кралски законодателен указ 20/2020 от 29 май за одобряване на минималния жизнен доход</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18"/>
                <w:szCs w:val="18"/>
              </w:rPr>
            </w:pPr>
            <w:r>
              <w:rPr>
                <w:rFonts w:ascii="Times New Roman" w:hAnsi="Times New Roman"/>
                <w:noProof/>
                <w:sz w:val="18"/>
                <w:szCs w:val="18"/>
              </w:rPr>
              <w:t>329</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18"/>
                <w:szCs w:val="18"/>
              </w:rPr>
            </w:pPr>
            <w:r>
              <w:rPr>
                <w:rFonts w:ascii="Times New Roman" w:hAnsi="Times New Roman"/>
                <w:noProof/>
                <w:sz w:val="18"/>
                <w:szCs w:val="18"/>
              </w:rPr>
              <w:t>C23.R1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18"/>
                <w:szCs w:val="18"/>
              </w:rPr>
            </w:pPr>
            <w:r>
              <w:rPr>
                <w:rFonts w:ascii="Times New Roman" w:hAnsi="Times New Roman"/>
                <w:noProof/>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18"/>
                <w:szCs w:val="18"/>
              </w:rPr>
            </w:pPr>
            <w:r>
              <w:rPr>
                <w:rFonts w:ascii="Times New Roman" w:hAnsi="Times New Roman"/>
                <w:noProof/>
                <w:sz w:val="18"/>
                <w:szCs w:val="18"/>
              </w:rPr>
              <w:t>Влизане в сила на два кралски декрет-закона, уреждащи дистанционната работа в частния сектор и в публичната администрация</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18"/>
                <w:szCs w:val="18"/>
              </w:rPr>
            </w:pPr>
            <w:r>
              <w:rPr>
                <w:rFonts w:ascii="Times New Roman" w:hAnsi="Times New Roman"/>
                <w:noProof/>
                <w:sz w:val="18"/>
                <w:szCs w:val="18"/>
              </w:rPr>
              <w:t>330</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18"/>
                <w:szCs w:val="18"/>
              </w:rPr>
            </w:pPr>
            <w:r>
              <w:rPr>
                <w:rFonts w:ascii="Times New Roman" w:hAnsi="Times New Roman"/>
                <w:noProof/>
                <w:sz w:val="18"/>
                <w:szCs w:val="18"/>
              </w:rPr>
              <w:t>C23.R2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18"/>
                <w:szCs w:val="18"/>
              </w:rPr>
            </w:pPr>
            <w:r>
              <w:rPr>
                <w:rFonts w:ascii="Times New Roman" w:hAnsi="Times New Roman"/>
                <w:noProof/>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18"/>
                <w:szCs w:val="18"/>
              </w:rPr>
            </w:pPr>
            <w:r>
              <w:rPr>
                <w:rFonts w:ascii="Times New Roman" w:hAnsi="Times New Roman"/>
                <w:noProof/>
                <w:sz w:val="18"/>
                <w:szCs w:val="18"/>
              </w:rPr>
              <w:t>Влизане в сила на два подзаконови акта относно равното заплащане на жените и мъжете и относно плановете за равенство и тяхната регистрация</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18"/>
                <w:szCs w:val="18"/>
              </w:rPr>
            </w:pPr>
            <w:r>
              <w:rPr>
                <w:rFonts w:ascii="Times New Roman" w:hAnsi="Times New Roman"/>
                <w:noProof/>
                <w:sz w:val="18"/>
                <w:szCs w:val="18"/>
              </w:rPr>
              <w:t>333</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18"/>
                <w:szCs w:val="18"/>
              </w:rPr>
            </w:pPr>
            <w:r>
              <w:rPr>
                <w:rFonts w:ascii="Times New Roman" w:hAnsi="Times New Roman"/>
                <w:noProof/>
                <w:sz w:val="18"/>
                <w:szCs w:val="18"/>
              </w:rPr>
              <w:t>C23.R5</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18"/>
                <w:szCs w:val="18"/>
              </w:rPr>
            </w:pPr>
            <w:r>
              <w:rPr>
                <w:rFonts w:ascii="Times New Roman" w:hAnsi="Times New Roman"/>
                <w:noProof/>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18"/>
                <w:szCs w:val="18"/>
              </w:rPr>
            </w:pPr>
            <w:r>
              <w:rPr>
                <w:rFonts w:ascii="Times New Roman" w:hAnsi="Times New Roman"/>
                <w:noProof/>
                <w:sz w:val="18"/>
                <w:szCs w:val="18"/>
              </w:rPr>
              <w:t xml:space="preserve">Влизане в сила на план за действие за борба с младежката безработица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18"/>
                <w:szCs w:val="18"/>
              </w:rPr>
            </w:pPr>
            <w:r>
              <w:rPr>
                <w:rFonts w:ascii="Times New Roman" w:hAnsi="Times New Roman"/>
                <w:noProof/>
                <w:sz w:val="18"/>
                <w:szCs w:val="18"/>
              </w:rPr>
              <w:t>363</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18"/>
                <w:szCs w:val="18"/>
              </w:rPr>
            </w:pPr>
            <w:r>
              <w:rPr>
                <w:rFonts w:ascii="Times New Roman" w:hAnsi="Times New Roman"/>
                <w:noProof/>
                <w:sz w:val="18"/>
                <w:szCs w:val="18"/>
              </w:rPr>
              <w:t>C25.R1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18"/>
                <w:szCs w:val="18"/>
              </w:rPr>
            </w:pPr>
            <w:r>
              <w:rPr>
                <w:rFonts w:ascii="Times New Roman" w:hAnsi="Times New Roman"/>
                <w:noProof/>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18"/>
                <w:szCs w:val="18"/>
              </w:rPr>
            </w:pPr>
            <w:r>
              <w:rPr>
                <w:rFonts w:ascii="Times New Roman" w:hAnsi="Times New Roman"/>
                <w:noProof/>
                <w:sz w:val="18"/>
                <w:szCs w:val="18"/>
              </w:rPr>
              <w:t>План „Испания, аудио-визуален център на Европа“.</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18"/>
                <w:szCs w:val="18"/>
              </w:rPr>
            </w:pPr>
            <w:r>
              <w:rPr>
                <w:rFonts w:ascii="Times New Roman" w:hAnsi="Times New Roman"/>
                <w:noProof/>
                <w:sz w:val="18"/>
                <w:szCs w:val="18"/>
              </w:rPr>
              <w:t>385</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18"/>
                <w:szCs w:val="18"/>
              </w:rPr>
            </w:pPr>
            <w:r>
              <w:rPr>
                <w:rFonts w:ascii="Times New Roman" w:hAnsi="Times New Roman"/>
                <w:noProof/>
                <w:sz w:val="18"/>
                <w:szCs w:val="18"/>
              </w:rPr>
              <w:t>C28.R1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18"/>
                <w:szCs w:val="18"/>
              </w:rPr>
            </w:pPr>
            <w:r>
              <w:rPr>
                <w:rFonts w:ascii="Times New Roman" w:hAnsi="Times New Roman"/>
                <w:noProof/>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18"/>
                <w:szCs w:val="18"/>
              </w:rPr>
            </w:pPr>
            <w:r>
              <w:rPr>
                <w:rFonts w:ascii="Times New Roman" w:hAnsi="Times New Roman"/>
                <w:noProof/>
                <w:sz w:val="18"/>
                <w:szCs w:val="18"/>
              </w:rPr>
              <w:t>Фискални мерки, приети през 2020 г. и 2021 г. за смекчаване на последиците от пандемията от COVID-19.</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18"/>
                <w:szCs w:val="18"/>
              </w:rPr>
            </w:pPr>
            <w:r>
              <w:rPr>
                <w:rFonts w:ascii="Times New Roman" w:hAnsi="Times New Roman"/>
                <w:noProof/>
                <w:sz w:val="18"/>
                <w:szCs w:val="18"/>
              </w:rPr>
              <w:t>387</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18"/>
                <w:szCs w:val="18"/>
              </w:rPr>
            </w:pPr>
            <w:r>
              <w:rPr>
                <w:rFonts w:ascii="Times New Roman" w:hAnsi="Times New Roman"/>
                <w:noProof/>
                <w:sz w:val="18"/>
                <w:szCs w:val="18"/>
              </w:rPr>
              <w:t>C28.R3</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18"/>
                <w:szCs w:val="18"/>
              </w:rPr>
            </w:pPr>
            <w:r>
              <w:rPr>
                <w:rFonts w:ascii="Times New Roman" w:hAnsi="Times New Roman"/>
                <w:noProof/>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18"/>
                <w:szCs w:val="18"/>
              </w:rPr>
            </w:pPr>
            <w:r>
              <w:rPr>
                <w:rFonts w:ascii="Times New Roman" w:hAnsi="Times New Roman"/>
                <w:noProof/>
                <w:sz w:val="18"/>
                <w:szCs w:val="18"/>
              </w:rPr>
              <w:t>Назначаване на Комитета от експерти от държавния секретар на финансите.</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18"/>
                <w:szCs w:val="18"/>
              </w:rPr>
            </w:pPr>
            <w:r>
              <w:rPr>
                <w:rFonts w:ascii="Times New Roman" w:hAnsi="Times New Roman"/>
                <w:noProof/>
                <w:sz w:val="18"/>
                <w:szCs w:val="18"/>
              </w:rPr>
              <w:t>392</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18"/>
                <w:szCs w:val="18"/>
              </w:rPr>
            </w:pPr>
            <w:r>
              <w:rPr>
                <w:rFonts w:ascii="Times New Roman" w:hAnsi="Times New Roman"/>
                <w:noProof/>
                <w:sz w:val="18"/>
                <w:szCs w:val="18"/>
              </w:rPr>
              <w:t>C28.R5</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18"/>
                <w:szCs w:val="18"/>
              </w:rPr>
            </w:pPr>
            <w:r>
              <w:rPr>
                <w:rFonts w:ascii="Times New Roman" w:hAnsi="Times New Roman"/>
                <w:noProof/>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18"/>
                <w:szCs w:val="18"/>
              </w:rPr>
            </w:pPr>
            <w:r>
              <w:rPr>
                <w:rFonts w:ascii="Times New Roman" w:hAnsi="Times New Roman"/>
                <w:noProof/>
                <w:sz w:val="18"/>
                <w:szCs w:val="18"/>
              </w:rPr>
              <w:t>Данък върху цифровите услуги</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18"/>
                <w:szCs w:val="18"/>
              </w:rPr>
            </w:pPr>
            <w:r>
              <w:rPr>
                <w:rFonts w:ascii="Times New Roman" w:hAnsi="Times New Roman"/>
                <w:noProof/>
                <w:sz w:val="18"/>
                <w:szCs w:val="18"/>
              </w:rPr>
              <w:t>393</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18"/>
                <w:szCs w:val="18"/>
              </w:rPr>
            </w:pPr>
            <w:r>
              <w:rPr>
                <w:rFonts w:ascii="Times New Roman" w:hAnsi="Times New Roman"/>
                <w:noProof/>
                <w:sz w:val="18"/>
                <w:szCs w:val="18"/>
              </w:rPr>
              <w:t>C28.R6</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18"/>
                <w:szCs w:val="18"/>
              </w:rPr>
            </w:pPr>
            <w:r>
              <w:rPr>
                <w:rFonts w:ascii="Times New Roman" w:hAnsi="Times New Roman"/>
                <w:noProof/>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18"/>
                <w:szCs w:val="18"/>
              </w:rPr>
            </w:pPr>
            <w:r>
              <w:rPr>
                <w:rFonts w:ascii="Times New Roman" w:hAnsi="Times New Roman"/>
                <w:noProof/>
                <w:sz w:val="18"/>
                <w:szCs w:val="18"/>
              </w:rPr>
              <w:t>Данък върху финансовите сделки</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18"/>
                <w:szCs w:val="18"/>
              </w:rPr>
            </w:pPr>
            <w:r>
              <w:rPr>
                <w:rFonts w:ascii="Times New Roman" w:hAnsi="Times New Roman"/>
                <w:noProof/>
                <w:sz w:val="18"/>
                <w:szCs w:val="18"/>
              </w:rPr>
              <w:t>394</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18"/>
                <w:szCs w:val="18"/>
              </w:rPr>
            </w:pPr>
            <w:r>
              <w:rPr>
                <w:rFonts w:ascii="Times New Roman" w:hAnsi="Times New Roman"/>
                <w:noProof/>
                <w:sz w:val="18"/>
                <w:szCs w:val="18"/>
              </w:rPr>
              <w:t>C28.R7</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18"/>
                <w:szCs w:val="18"/>
              </w:rPr>
            </w:pPr>
            <w:r>
              <w:rPr>
                <w:rFonts w:ascii="Times New Roman" w:hAnsi="Times New Roman"/>
                <w:noProof/>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18"/>
                <w:szCs w:val="18"/>
              </w:rPr>
            </w:pPr>
            <w:r>
              <w:rPr>
                <w:rFonts w:ascii="Times New Roman" w:hAnsi="Times New Roman"/>
                <w:noProof/>
                <w:sz w:val="18"/>
                <w:szCs w:val="18"/>
              </w:rPr>
              <w:t>Изменения на данъка върху доходите на физическите лица и данъка върху имуществото през 2021 г.</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18"/>
                <w:szCs w:val="18"/>
              </w:rPr>
            </w:pPr>
            <w:r>
              <w:rPr>
                <w:rFonts w:ascii="Times New Roman" w:hAnsi="Times New Roman"/>
                <w:noProof/>
                <w:sz w:val="18"/>
                <w:szCs w:val="18"/>
              </w:rPr>
              <w:t>395</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18"/>
                <w:szCs w:val="18"/>
              </w:rPr>
            </w:pPr>
            <w:r>
              <w:rPr>
                <w:rFonts w:ascii="Times New Roman" w:hAnsi="Times New Roman"/>
                <w:noProof/>
                <w:sz w:val="18"/>
                <w:szCs w:val="18"/>
              </w:rPr>
              <w:t>C28.R8</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18"/>
                <w:szCs w:val="18"/>
              </w:rPr>
            </w:pPr>
            <w:r>
              <w:rPr>
                <w:rFonts w:ascii="Times New Roman" w:hAnsi="Times New Roman"/>
                <w:noProof/>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18"/>
                <w:szCs w:val="18"/>
              </w:rPr>
            </w:pPr>
            <w:r>
              <w:rPr>
                <w:rFonts w:ascii="Times New Roman" w:hAnsi="Times New Roman"/>
                <w:noProof/>
                <w:sz w:val="18"/>
                <w:szCs w:val="18"/>
              </w:rPr>
              <w:t>Промени в корпоративното подоходно облагане през 2021 г.</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18"/>
                <w:szCs w:val="18"/>
              </w:rPr>
            </w:pPr>
            <w:r>
              <w:rPr>
                <w:rFonts w:ascii="Times New Roman" w:hAnsi="Times New Roman"/>
                <w:noProof/>
                <w:sz w:val="18"/>
                <w:szCs w:val="18"/>
              </w:rPr>
              <w:t>396</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18"/>
                <w:szCs w:val="18"/>
              </w:rPr>
            </w:pPr>
            <w:r>
              <w:rPr>
                <w:rFonts w:ascii="Times New Roman" w:hAnsi="Times New Roman"/>
                <w:noProof/>
                <w:sz w:val="18"/>
                <w:szCs w:val="18"/>
              </w:rPr>
              <w:t>C28.R9</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18"/>
                <w:szCs w:val="18"/>
              </w:rPr>
            </w:pPr>
            <w:r>
              <w:rPr>
                <w:rFonts w:ascii="Times New Roman" w:hAnsi="Times New Roman"/>
                <w:noProof/>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18"/>
                <w:szCs w:val="18"/>
              </w:rPr>
            </w:pPr>
            <w:r>
              <w:rPr>
                <w:rFonts w:ascii="Times New Roman" w:hAnsi="Times New Roman"/>
                <w:noProof/>
                <w:sz w:val="18"/>
                <w:szCs w:val="18"/>
              </w:rPr>
              <w:t>Изменения на косвените данъци през 2021 г.</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18"/>
                <w:szCs w:val="18"/>
              </w:rPr>
            </w:pPr>
            <w:r>
              <w:rPr>
                <w:rFonts w:ascii="Times New Roman" w:hAnsi="Times New Roman"/>
                <w:noProof/>
                <w:sz w:val="18"/>
                <w:szCs w:val="18"/>
              </w:rPr>
              <w:t>397</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18"/>
                <w:szCs w:val="18"/>
              </w:rPr>
            </w:pPr>
            <w:r>
              <w:rPr>
                <w:rFonts w:ascii="Times New Roman" w:hAnsi="Times New Roman"/>
                <w:noProof/>
                <w:sz w:val="18"/>
                <w:szCs w:val="18"/>
              </w:rPr>
              <w:t>C29.R1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18"/>
                <w:szCs w:val="18"/>
              </w:rPr>
            </w:pPr>
            <w:r>
              <w:rPr>
                <w:rFonts w:ascii="Times New Roman" w:hAnsi="Times New Roman"/>
                <w:noProof/>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18"/>
                <w:szCs w:val="18"/>
              </w:rPr>
            </w:pPr>
            <w:r>
              <w:rPr>
                <w:rFonts w:ascii="Times New Roman" w:hAnsi="Times New Roman"/>
                <w:noProof/>
                <w:sz w:val="18"/>
                <w:szCs w:val="18"/>
              </w:rPr>
              <w:t>Създаване на постоянен екип в Министерството на финансите за активен мониторинг на изпълнението на резултатите от прегледите на разходите и одобряване на Наредбата за изготвяне на годишния бюджетен закон</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18"/>
                <w:szCs w:val="18"/>
              </w:rPr>
            </w:pPr>
            <w:r>
              <w:rPr>
                <w:rFonts w:ascii="Times New Roman" w:hAnsi="Times New Roman"/>
                <w:noProof/>
                <w:sz w:val="18"/>
                <w:szCs w:val="18"/>
              </w:rPr>
              <w:t>398</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18"/>
                <w:szCs w:val="18"/>
              </w:rPr>
            </w:pPr>
            <w:r>
              <w:rPr>
                <w:rFonts w:ascii="Times New Roman" w:hAnsi="Times New Roman"/>
                <w:noProof/>
                <w:sz w:val="18"/>
                <w:szCs w:val="18"/>
              </w:rPr>
              <w:t>C29.R1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18"/>
                <w:szCs w:val="18"/>
              </w:rPr>
            </w:pPr>
            <w:r>
              <w:rPr>
                <w:rFonts w:ascii="Times New Roman" w:hAnsi="Times New Roman"/>
                <w:noProof/>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18"/>
                <w:szCs w:val="18"/>
              </w:rPr>
            </w:pPr>
            <w:r>
              <w:rPr>
                <w:rFonts w:ascii="Times New Roman" w:hAnsi="Times New Roman"/>
                <w:noProof/>
                <w:sz w:val="18"/>
                <w:szCs w:val="18"/>
              </w:rPr>
              <w:t>Етап III от прегледа на разходите</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18"/>
                <w:szCs w:val="18"/>
              </w:rPr>
            </w:pPr>
            <w:r>
              <w:rPr>
                <w:rFonts w:ascii="Times New Roman" w:hAnsi="Times New Roman"/>
                <w:noProof/>
                <w:sz w:val="18"/>
                <w:szCs w:val="18"/>
              </w:rPr>
              <w:t>399</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18"/>
                <w:szCs w:val="18"/>
              </w:rPr>
            </w:pPr>
            <w:r>
              <w:rPr>
                <w:rFonts w:ascii="Times New Roman" w:hAnsi="Times New Roman"/>
                <w:noProof/>
                <w:sz w:val="18"/>
                <w:szCs w:val="18"/>
              </w:rPr>
              <w:t>C29.R1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18"/>
                <w:szCs w:val="18"/>
              </w:rPr>
            </w:pPr>
            <w:r>
              <w:rPr>
                <w:rFonts w:ascii="Times New Roman" w:hAnsi="Times New Roman"/>
                <w:noProof/>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18"/>
                <w:szCs w:val="18"/>
              </w:rPr>
            </w:pPr>
            <w:r>
              <w:rPr>
                <w:rFonts w:ascii="Times New Roman" w:hAnsi="Times New Roman"/>
                <w:noProof/>
                <w:sz w:val="18"/>
                <w:szCs w:val="18"/>
              </w:rPr>
              <w:t>Създаване на постоянно звено в рамките на AIReF, което да отговаря за извършването на прегледите на разходите, възложени от правителството.</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18"/>
                <w:szCs w:val="18"/>
              </w:rPr>
            </w:pPr>
            <w:r>
              <w:rPr>
                <w:rFonts w:ascii="Times New Roman" w:hAnsi="Times New Roman"/>
                <w:noProof/>
                <w:sz w:val="18"/>
                <w:szCs w:val="18"/>
              </w:rPr>
              <w:t>406</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18"/>
                <w:szCs w:val="18"/>
              </w:rPr>
            </w:pPr>
            <w:r>
              <w:rPr>
                <w:rFonts w:ascii="Times New Roman" w:hAnsi="Times New Roman"/>
                <w:noProof/>
                <w:sz w:val="18"/>
                <w:szCs w:val="18"/>
              </w:rPr>
              <w:t>C30.R1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18"/>
                <w:szCs w:val="18"/>
              </w:rPr>
            </w:pPr>
            <w:r>
              <w:rPr>
                <w:rFonts w:ascii="Times New Roman" w:hAnsi="Times New Roman"/>
                <w:noProof/>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18"/>
                <w:szCs w:val="18"/>
              </w:rPr>
            </w:pPr>
            <w:r>
              <w:rPr>
                <w:rFonts w:ascii="Times New Roman" w:hAnsi="Times New Roman"/>
                <w:noProof/>
                <w:sz w:val="18"/>
                <w:szCs w:val="18"/>
              </w:rPr>
              <w:t>Разделяне на финансирането за социалната сигурност</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18"/>
                <w:szCs w:val="18"/>
              </w:rPr>
            </w:pPr>
            <w:r>
              <w:rPr>
                <w:rFonts w:ascii="Times New Roman" w:hAnsi="Times New Roman"/>
                <w:noProof/>
                <w:sz w:val="18"/>
                <w:szCs w:val="18"/>
              </w:rPr>
              <w:t>412</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18"/>
                <w:szCs w:val="18"/>
              </w:rPr>
            </w:pPr>
            <w:r>
              <w:rPr>
                <w:rFonts w:ascii="Times New Roman" w:hAnsi="Times New Roman"/>
                <w:noProof/>
                <w:sz w:val="18"/>
                <w:szCs w:val="18"/>
              </w:rPr>
              <w:t>C30.R4</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18"/>
                <w:szCs w:val="18"/>
              </w:rPr>
            </w:pPr>
            <w:r>
              <w:rPr>
                <w:rFonts w:ascii="Times New Roman" w:hAnsi="Times New Roman"/>
                <w:noProof/>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18"/>
                <w:szCs w:val="18"/>
              </w:rPr>
            </w:pPr>
            <w:r>
              <w:rPr>
                <w:rFonts w:ascii="Times New Roman" w:hAnsi="Times New Roman"/>
                <w:noProof/>
                <w:sz w:val="18"/>
                <w:szCs w:val="18"/>
              </w:rPr>
              <w:t>Рационализиране на добавките за майчинство</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18"/>
                <w:szCs w:val="18"/>
              </w:rPr>
            </w:pPr>
            <w:r>
              <w:rPr>
                <w:rFonts w:ascii="Times New Roman" w:hAnsi="Times New Roman"/>
                <w:noProof/>
                <w:sz w:val="18"/>
                <w:szCs w:val="18"/>
              </w:rPr>
              <w:t>413</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18"/>
                <w:szCs w:val="18"/>
              </w:rPr>
            </w:pPr>
            <w:r>
              <w:rPr>
                <w:rFonts w:ascii="Times New Roman" w:hAnsi="Times New Roman"/>
                <w:noProof/>
                <w:sz w:val="18"/>
                <w:szCs w:val="18"/>
              </w:rPr>
              <w:t>C30.R5</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18"/>
                <w:szCs w:val="18"/>
              </w:rPr>
            </w:pPr>
            <w:r>
              <w:rPr>
                <w:rFonts w:ascii="Times New Roman" w:hAnsi="Times New Roman"/>
                <w:noProof/>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18"/>
                <w:szCs w:val="18"/>
              </w:rPr>
            </w:pPr>
            <w:r>
              <w:rPr>
                <w:rFonts w:ascii="Times New Roman" w:hAnsi="Times New Roman"/>
                <w:noProof/>
                <w:sz w:val="18"/>
                <w:szCs w:val="18"/>
              </w:rPr>
              <w:t>Преглед на данъчните облекчения, свързани с настоящата система за допълнително пенсионно осигуряване</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sz w:val="18"/>
                <w:szCs w:val="18"/>
                <w:lang w:eastAsia="en-GB"/>
              </w:rPr>
            </w:pPr>
          </w:p>
        </w:tc>
        <w:tc>
          <w:tcPr>
            <w:tcW w:w="1239" w:type="dxa"/>
            <w:tcBorders>
              <w:top w:val="single" w:sz="4" w:space="0" w:color="auto"/>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sz w:val="18"/>
                <w:szCs w:val="18"/>
                <w:lang w:eastAsia="en-GB"/>
              </w:rPr>
            </w:pPr>
          </w:p>
        </w:tc>
        <w:tc>
          <w:tcPr>
            <w:tcW w:w="1230" w:type="dxa"/>
            <w:tcBorders>
              <w:top w:val="single" w:sz="4" w:space="0" w:color="auto"/>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6100"/>
                <w:sz w:val="20"/>
                <w:szCs w:val="20"/>
              </w:rPr>
              <w:t>Размер на вноската</w:t>
            </w:r>
          </w:p>
        </w:tc>
        <w:tc>
          <w:tcPr>
            <w:tcW w:w="6485" w:type="dxa"/>
            <w:tcBorders>
              <w:top w:val="single" w:sz="4" w:space="0" w:color="auto"/>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6100"/>
                <w:sz w:val="20"/>
                <w:szCs w:val="20"/>
              </w:rPr>
              <w:t xml:space="preserve">11 494 252 874 EUR  </w:t>
            </w:r>
          </w:p>
        </w:tc>
      </w:tr>
    </w:tbl>
    <w:p>
      <w:pPr>
        <w:pStyle w:val="Text1"/>
        <w:rPr>
          <w:noProof/>
          <w:lang w:val="en-IE"/>
        </w:rPr>
      </w:pPr>
    </w:p>
    <w:p>
      <w:pPr>
        <w:pStyle w:val="NumPar2"/>
        <w:keepNext/>
        <w:rPr>
          <w:noProof/>
        </w:rPr>
      </w:pPr>
      <w:r>
        <w:rPr>
          <w:noProof/>
        </w:rPr>
        <w:t xml:space="preserve">Втори транш (безвъзмездна помощ) </w:t>
      </w:r>
    </w:p>
    <w:tbl>
      <w:tblPr>
        <w:tblW w:w="9882" w:type="dxa"/>
        <w:tblInd w:w="113" w:type="dxa"/>
        <w:tblLook w:val="04A0" w:firstRow="1" w:lastRow="0" w:firstColumn="1" w:lastColumn="0" w:noHBand="0" w:noVBand="1"/>
      </w:tblPr>
      <w:tblGrid>
        <w:gridCol w:w="928"/>
        <w:gridCol w:w="1351"/>
        <w:gridCol w:w="1230"/>
        <w:gridCol w:w="6485"/>
      </w:tblGrid>
      <w:tr>
        <w:trPr>
          <w:trHeight w:val="906"/>
          <w:tblHeader/>
        </w:trPr>
        <w:tc>
          <w:tcPr>
            <w:tcW w:w="928"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keepNext/>
              <w:spacing w:after="0" w:line="240" w:lineRule="auto"/>
              <w:jc w:val="center"/>
              <w:rPr>
                <w:rFonts w:ascii="Times New Roman" w:eastAsia="Times New Roman" w:hAnsi="Times New Roman" w:cs="Times New Roman"/>
                <w:b/>
                <w:noProof/>
                <w:sz w:val="20"/>
                <w:szCs w:val="20"/>
              </w:rPr>
            </w:pPr>
            <w:r>
              <w:rPr>
                <w:rFonts w:ascii="Times New Roman" w:hAnsi="Times New Roman"/>
                <w:b/>
                <w:bCs/>
                <w:noProof/>
                <w:sz w:val="20"/>
                <w:szCs w:val="20"/>
              </w:rPr>
              <w:t>Номер</w:t>
            </w:r>
          </w:p>
        </w:tc>
        <w:tc>
          <w:tcPr>
            <w:tcW w:w="1239"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keepNext/>
              <w:spacing w:after="0" w:line="240" w:lineRule="auto"/>
              <w:jc w:val="center"/>
              <w:rPr>
                <w:rFonts w:ascii="Times New Roman" w:eastAsia="Times New Roman" w:hAnsi="Times New Roman" w:cs="Times New Roman"/>
                <w:b/>
                <w:noProof/>
                <w:sz w:val="20"/>
                <w:szCs w:val="20"/>
              </w:rPr>
            </w:pPr>
            <w:r>
              <w:rPr>
                <w:rFonts w:ascii="Times New Roman" w:hAnsi="Times New Roman"/>
                <w:b/>
                <w:bCs/>
                <w:noProof/>
                <w:sz w:val="20"/>
                <w:szCs w:val="20"/>
              </w:rPr>
              <w:t>Свързана мярка (реформа или инвестиция)</w:t>
            </w:r>
          </w:p>
        </w:tc>
        <w:tc>
          <w:tcPr>
            <w:tcW w:w="1230"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keepNext/>
              <w:spacing w:after="0" w:line="240" w:lineRule="auto"/>
              <w:jc w:val="center"/>
              <w:rPr>
                <w:rFonts w:ascii="Times New Roman" w:eastAsia="Times New Roman" w:hAnsi="Times New Roman" w:cs="Times New Roman"/>
                <w:b/>
                <w:noProof/>
                <w:sz w:val="20"/>
                <w:szCs w:val="20"/>
              </w:rPr>
            </w:pPr>
            <w:r>
              <w:rPr>
                <w:rFonts w:ascii="Times New Roman" w:hAnsi="Times New Roman"/>
                <w:b/>
                <w:bCs/>
                <w:noProof/>
                <w:sz w:val="20"/>
                <w:szCs w:val="20"/>
              </w:rPr>
              <w:t>Ключов етап /Цел</w:t>
            </w:r>
          </w:p>
        </w:tc>
        <w:tc>
          <w:tcPr>
            <w:tcW w:w="6485" w:type="dxa"/>
            <w:vMerge w:val="restart"/>
            <w:tcBorders>
              <w:top w:val="single" w:sz="4" w:space="0" w:color="auto"/>
              <w:left w:val="nil"/>
              <w:bottom w:val="single" w:sz="4" w:space="0" w:color="000000" w:themeColor="text1"/>
              <w:right w:val="single" w:sz="4" w:space="0" w:color="auto"/>
            </w:tcBorders>
            <w:shd w:val="clear" w:color="auto" w:fill="BDD7EE"/>
            <w:vAlign w:val="center"/>
            <w:hideMark/>
          </w:tcPr>
          <w:p>
            <w:pPr>
              <w:keepNext/>
              <w:spacing w:after="0" w:line="240" w:lineRule="auto"/>
              <w:jc w:val="center"/>
              <w:rPr>
                <w:rFonts w:ascii="Times New Roman" w:eastAsia="Times New Roman" w:hAnsi="Times New Roman" w:cs="Times New Roman"/>
                <w:b/>
                <w:noProof/>
                <w:sz w:val="20"/>
                <w:szCs w:val="20"/>
              </w:rPr>
            </w:pPr>
            <w:r>
              <w:rPr>
                <w:rFonts w:ascii="Times New Roman" w:hAnsi="Times New Roman"/>
                <w:b/>
                <w:bCs/>
                <w:noProof/>
                <w:sz w:val="20"/>
                <w:szCs w:val="20"/>
              </w:rPr>
              <w:t>Наименование</w:t>
            </w:r>
          </w:p>
        </w:tc>
      </w:tr>
      <w:tr>
        <w:trPr>
          <w:trHeight w:val="230"/>
          <w:tblHeader/>
        </w:trPr>
        <w:tc>
          <w:tcPr>
            <w:tcW w:w="928" w:type="dxa"/>
            <w:vMerge/>
            <w:tcBorders>
              <w:top w:val="single" w:sz="4" w:space="0" w:color="auto"/>
              <w:left w:val="single" w:sz="4" w:space="0" w:color="auto"/>
              <w:bottom w:val="single" w:sz="4" w:space="0" w:color="000000"/>
              <w:right w:val="single" w:sz="4" w:space="0" w:color="auto"/>
            </w:tcBorders>
            <w:vAlign w:val="center"/>
            <w:hideMark/>
          </w:tcPr>
          <w:p>
            <w:pPr>
              <w:keepNext/>
              <w:spacing w:after="0" w:line="240" w:lineRule="auto"/>
              <w:rPr>
                <w:rFonts w:ascii="Times New Roman" w:eastAsia="Times New Roman" w:hAnsi="Times New Roman" w:cs="Times New Roman"/>
                <w:b/>
                <w:bCs/>
                <w:noProof/>
                <w:sz w:val="20"/>
                <w:szCs w:val="20"/>
                <w:lang w:val="en-IE" w:eastAsia="en-GB"/>
              </w:rPr>
            </w:pPr>
          </w:p>
        </w:tc>
        <w:tc>
          <w:tcPr>
            <w:tcW w:w="1239" w:type="dxa"/>
            <w:vMerge/>
            <w:tcBorders>
              <w:top w:val="single" w:sz="4" w:space="0" w:color="auto"/>
              <w:left w:val="single" w:sz="4" w:space="0" w:color="auto"/>
              <w:bottom w:val="single" w:sz="4" w:space="0" w:color="000000"/>
              <w:right w:val="single" w:sz="4" w:space="0" w:color="auto"/>
            </w:tcBorders>
            <w:vAlign w:val="center"/>
            <w:hideMark/>
          </w:tcPr>
          <w:p>
            <w:pPr>
              <w:keepNext/>
              <w:spacing w:after="0" w:line="240" w:lineRule="auto"/>
              <w:rPr>
                <w:rFonts w:ascii="Times New Roman" w:eastAsia="Times New Roman" w:hAnsi="Times New Roman" w:cs="Times New Roman"/>
                <w:b/>
                <w:bCs/>
                <w:noProof/>
                <w:sz w:val="20"/>
                <w:szCs w:val="20"/>
                <w:lang w:val="en-IE" w:eastAsia="en-GB"/>
              </w:rPr>
            </w:pPr>
          </w:p>
        </w:tc>
        <w:tc>
          <w:tcPr>
            <w:tcW w:w="1230" w:type="dxa"/>
            <w:vMerge/>
            <w:tcBorders>
              <w:top w:val="single" w:sz="4" w:space="0" w:color="auto"/>
              <w:left w:val="single" w:sz="4" w:space="0" w:color="auto"/>
              <w:bottom w:val="single" w:sz="4" w:space="0" w:color="000000"/>
              <w:right w:val="single" w:sz="4" w:space="0" w:color="auto"/>
            </w:tcBorders>
            <w:vAlign w:val="center"/>
            <w:hideMark/>
          </w:tcPr>
          <w:p>
            <w:pPr>
              <w:keepNext/>
              <w:spacing w:after="0" w:line="240" w:lineRule="auto"/>
              <w:rPr>
                <w:rFonts w:ascii="Times New Roman" w:eastAsia="Times New Roman" w:hAnsi="Times New Roman" w:cs="Times New Roman"/>
                <w:b/>
                <w:bCs/>
                <w:noProof/>
                <w:sz w:val="20"/>
                <w:szCs w:val="20"/>
                <w:lang w:val="en-IE" w:eastAsia="en-GB"/>
              </w:rPr>
            </w:pPr>
          </w:p>
        </w:tc>
        <w:tc>
          <w:tcPr>
            <w:tcW w:w="6485" w:type="dxa"/>
            <w:vMerge/>
            <w:tcBorders>
              <w:top w:val="single" w:sz="4" w:space="0" w:color="auto"/>
              <w:left w:val="nil"/>
              <w:bottom w:val="single" w:sz="4" w:space="0" w:color="000000"/>
              <w:right w:val="single" w:sz="4" w:space="0" w:color="auto"/>
            </w:tcBorders>
            <w:vAlign w:val="center"/>
            <w:hideMark/>
          </w:tcPr>
          <w:p>
            <w:pPr>
              <w:keepNext/>
              <w:spacing w:after="0" w:line="240" w:lineRule="auto"/>
              <w:rPr>
                <w:rFonts w:ascii="Times New Roman" w:eastAsia="Times New Roman" w:hAnsi="Times New Roman" w:cs="Times New Roman"/>
                <w:b/>
                <w:bCs/>
                <w:noProof/>
                <w:sz w:val="20"/>
                <w:szCs w:val="20"/>
                <w:lang w:val="en-IE" w:eastAsia="en-GB"/>
              </w:rPr>
            </w:pP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hideMark/>
          </w:tcPr>
          <w:p>
            <w:pPr>
              <w:keepNext/>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24</w:t>
            </w:r>
          </w:p>
        </w:tc>
        <w:tc>
          <w:tcPr>
            <w:tcW w:w="1239" w:type="dxa"/>
            <w:tcBorders>
              <w:top w:val="nil"/>
              <w:left w:val="nil"/>
              <w:bottom w:val="single" w:sz="4" w:space="0" w:color="auto"/>
              <w:right w:val="single" w:sz="4" w:space="0" w:color="auto"/>
            </w:tcBorders>
            <w:shd w:val="clear" w:color="auto" w:fill="C6EFCE"/>
            <w:noWrap/>
            <w:vAlign w:val="center"/>
            <w:hideMark/>
          </w:tcPr>
          <w:p>
            <w:pPr>
              <w:keepNext/>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C2.R5</w:t>
            </w:r>
          </w:p>
        </w:tc>
        <w:tc>
          <w:tcPr>
            <w:tcW w:w="1230" w:type="dxa"/>
            <w:tcBorders>
              <w:top w:val="nil"/>
              <w:left w:val="nil"/>
              <w:bottom w:val="single" w:sz="4" w:space="0" w:color="auto"/>
              <w:right w:val="single" w:sz="4" w:space="0" w:color="auto"/>
            </w:tcBorders>
            <w:shd w:val="clear" w:color="auto" w:fill="C6EFCE"/>
            <w:noWrap/>
            <w:vAlign w:val="center"/>
            <w:hideMark/>
          </w:tcPr>
          <w:p>
            <w:pPr>
              <w:keepNext/>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hideMark/>
          </w:tcPr>
          <w:p>
            <w:pPr>
              <w:keepNext/>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 xml:space="preserve">Влизане в сила на Кралския указ за службите по саниране („обслужване на едно гише“)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hideMark/>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26</w:t>
            </w:r>
          </w:p>
        </w:tc>
        <w:tc>
          <w:tcPr>
            <w:tcW w:w="1239" w:type="dxa"/>
            <w:tcBorders>
              <w:top w:val="nil"/>
              <w:left w:val="nil"/>
              <w:bottom w:val="single" w:sz="4" w:space="0" w:color="auto"/>
              <w:right w:val="single" w:sz="4" w:space="0" w:color="auto"/>
            </w:tcBorders>
            <w:shd w:val="clear" w:color="auto" w:fill="C6EFCE"/>
            <w:noWrap/>
            <w:vAlign w:val="center"/>
            <w:hideMark/>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C2.I1</w:t>
            </w:r>
          </w:p>
        </w:tc>
        <w:tc>
          <w:tcPr>
            <w:tcW w:w="1230" w:type="dxa"/>
            <w:tcBorders>
              <w:top w:val="nil"/>
              <w:left w:val="nil"/>
              <w:bottom w:val="single" w:sz="4" w:space="0" w:color="auto"/>
              <w:right w:val="single" w:sz="4" w:space="0" w:color="auto"/>
            </w:tcBorders>
            <w:shd w:val="clear" w:color="auto" w:fill="C6EFCE"/>
            <w:noWrap/>
            <w:vAlign w:val="center"/>
            <w:hideMark/>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hideMark/>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 xml:space="preserve">Влизане в сила на кралския указ относно регулаторната рамка за изпълнение на програмата за обновяване; и Кралски указ-закон за регулиране на стимулите за данъка върху доходите на физическите лица в подкрепа на програмата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hideMark/>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30</w:t>
            </w:r>
          </w:p>
        </w:tc>
        <w:tc>
          <w:tcPr>
            <w:tcW w:w="1239" w:type="dxa"/>
            <w:tcBorders>
              <w:top w:val="nil"/>
              <w:left w:val="nil"/>
              <w:bottom w:val="single" w:sz="4" w:space="0" w:color="auto"/>
              <w:right w:val="single" w:sz="4" w:space="0" w:color="auto"/>
            </w:tcBorders>
            <w:shd w:val="clear" w:color="auto" w:fill="C6EFCE"/>
            <w:noWrap/>
            <w:vAlign w:val="center"/>
            <w:hideMark/>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C2.I2</w:t>
            </w:r>
          </w:p>
        </w:tc>
        <w:tc>
          <w:tcPr>
            <w:tcW w:w="1230" w:type="dxa"/>
            <w:tcBorders>
              <w:top w:val="nil"/>
              <w:left w:val="nil"/>
              <w:bottom w:val="single" w:sz="4" w:space="0" w:color="auto"/>
              <w:right w:val="single" w:sz="4" w:space="0" w:color="auto"/>
            </w:tcBorders>
            <w:shd w:val="clear" w:color="auto" w:fill="C6EFCE"/>
            <w:noWrap/>
            <w:vAlign w:val="center"/>
            <w:hideMark/>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hideMark/>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 xml:space="preserve">Влизане в сила на кралския указ за определяне на регулаторната уредба за изпълнение на програмата за енергийно ефективни социални жилища под наем, отговарящи на критериите за енергийна ефективност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40</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C3.R1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 xml:space="preserve">Влизане в сила на второто изменение на Закон 12/2013 относно мерките за подобряване на функционирането на хранителната верига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46</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C3.I1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Влизане в сила на договорното споразумение между Министерството на земеделието, рибарството и храните (MAPA) и SEIASA за подпомагане на подобряването и устойчивостта на напояваните площи (етап I)</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56</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C3.I7</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Споразумения с публични научноизследователски органи</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74</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C5.R1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 xml:space="preserve">Влизане в сила на измененията на Регламента за хидрологично планиране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83</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C6.R1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 xml:space="preserve">Стратегия за устойчива, сигурна и свързана мобилност (одобрение)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108</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C7.R2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Национална стратегия за собствено потребление</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112</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C7.R4</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Пътна карта за вятърна енергия от разположени в морето инсталации и друга морска енергия</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139</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C10.I1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Програма за помощ за обучение в рамките на „справедлив преход“ и отпускане на помощ за икономическото развитие на районите, в които се извършва справедлив преход</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155</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C11.R4</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 xml:space="preserve">Влизане в сила на министерското постановление за създаване на Национална служба за оценка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189</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C13.R1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 xml:space="preserve">Влизане в сила на Закона за изменение на Закон 34/2006 относно достъпа до професиите „адвокат“ и „юрист“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216</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C14.R1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 xml:space="preserve">Влизане в сила на кралския указ за прилагане на Държавния финансов фонд за конкурентоспособност на туризма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217</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C14.I1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Отпускане на бюджетни средства за планове за насърчаване на устойчивостта на туризма в тяхната дестинация.</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232</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C15.R2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Предоставяне на радиочестотната лента 700 MHz</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233</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C15.R2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Влизане в сила на правен акт за намаляване на данъчното облагане на радиочестотния спектър от пето поколение (5G)</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250</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C16.R1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Харта за цифровите права</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258</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C17.I1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 xml:space="preserve">Споразумения, подписани от Министерството на науката и иновациите с автономните области за изпълнението на „Допълнителни планове за научноизследователска и развойна дейност“.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273</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C18.R1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План за действие за първична медицинска помощ и грижи в общността</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278</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C18.I1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 xml:space="preserve">Одобряване на инвестиционния план за оборудване и разпределение на средствата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289</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C19.I2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Програма за оборудване на обществените и публично субсидираните училища с цифрови инструменти</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306</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C21.R3</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Влизане в сила на кралските укази за организацията на университетите</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331</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C23.R3</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Влизане в сила на кралски декрет-закон за защита на работниците, които извършват дейности по разпространение към трети лица с помощта на технологични средства</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332</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C23.R4</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Изменение на Статута на работниците с цел да се подкрепи намаляването на временната заетост чрез рационализиране на броя на видовете договори</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334</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C23.R5</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Кралски указ за нова испанска стратегия за заетостта за периода 2021—2024 г.</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336</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C23.R6</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Изменение на Статута на работниците с цел създаване на схема за адаптиране към циклични и структурни сътресения, включително система, която осигурява вътрешна гъвкавост за дружествата и стабилност за работниците</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338</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C23.R8</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 xml:space="preserve">Изменение на Статута на работниците с цел подобряване на правните норми, уреждащи колективното договаряне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339</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C23.R9</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Изменение на Статута на работниците с цел подобряване на правата на лицата, работещи в дружества подизпълнители</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345</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C23.I4</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 xml:space="preserve">Одобряване на регионалното разпределение на средства за териториални проекти за уязвими групи, предприемачество и микропредприятия.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378</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C27.R2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Модернизиране на данъчната агенция – Брой служители в данъчната администрация</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379</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C27.R2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Модернизиране на данъчната агенция – данъчни разследвания</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380</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C27.R3</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Предоставяне на засилена помощ на данъкоплатците – Sociedades Web осъвременява и е достъпна за най-малко 1 666 123 данъкоплатци.</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381</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C27.R3</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Предоставяне на засилена помощ на данъкоплатците – Renta Web е модернизирана и достъпна за най-малко 1 779 505 данъкоплатци</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383</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C27.R4</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 xml:space="preserve">Международно измерение – идентифицирани регистрирани чуждестранни данъкоплатци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384</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C27.R5</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Кооперативен модел – Доклади за прозрачността</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389</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C28.R4</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Данъци върху пластмасовите изделия и отпадъците за еднократна употреба</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400</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C29.R1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Одобряване от Министерския съвет на новия цикъл (2022—26 г.) на прегледите на разходите, които ще бъдат възложени на AIReF.</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403</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C29.R2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Доклад за привеждане в съответствие на бюджета с ЦУР</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407</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C30.R2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Запазване на покупателната способност на пенсиите и изравняване на действителната пенсионна възраст и законоустановената пенсионна възраст.</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lang w:eastAsia="en-GB"/>
              </w:rPr>
            </w:pPr>
          </w:p>
        </w:tc>
        <w:tc>
          <w:tcPr>
            <w:tcW w:w="1239" w:type="dxa"/>
            <w:tcBorders>
              <w:top w:val="single" w:sz="4" w:space="0" w:color="auto"/>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lang w:eastAsia="en-GB"/>
              </w:rPr>
            </w:pPr>
          </w:p>
        </w:tc>
        <w:tc>
          <w:tcPr>
            <w:tcW w:w="1230" w:type="dxa"/>
            <w:tcBorders>
              <w:top w:val="single" w:sz="4" w:space="0" w:color="auto"/>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6100"/>
                <w:sz w:val="20"/>
                <w:szCs w:val="20"/>
              </w:rPr>
              <w:t>Размер на вноската</w:t>
            </w:r>
          </w:p>
        </w:tc>
        <w:tc>
          <w:tcPr>
            <w:tcW w:w="6485" w:type="dxa"/>
            <w:tcBorders>
              <w:top w:val="single" w:sz="4" w:space="0" w:color="auto"/>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6100"/>
                <w:sz w:val="20"/>
                <w:szCs w:val="20"/>
              </w:rPr>
              <w:t xml:space="preserve">13 793 103 448 EUR  </w:t>
            </w:r>
          </w:p>
        </w:tc>
      </w:tr>
    </w:tbl>
    <w:p>
      <w:pPr>
        <w:pStyle w:val="Text1"/>
        <w:rPr>
          <w:noProof/>
          <w:lang w:val="en-IE"/>
        </w:rPr>
      </w:pPr>
    </w:p>
    <w:p>
      <w:pPr>
        <w:pStyle w:val="NumPar2"/>
        <w:rPr>
          <w:noProof/>
        </w:rPr>
      </w:pPr>
      <w:r>
        <w:rPr>
          <w:noProof/>
        </w:rPr>
        <w:t xml:space="preserve">Трети транш (безвъзмездна помощ) </w:t>
      </w:r>
    </w:p>
    <w:tbl>
      <w:tblPr>
        <w:tblW w:w="9882" w:type="dxa"/>
        <w:tblInd w:w="113" w:type="dxa"/>
        <w:tblLook w:val="04A0" w:firstRow="1" w:lastRow="0" w:firstColumn="1" w:lastColumn="0" w:noHBand="0" w:noVBand="1"/>
      </w:tblPr>
      <w:tblGrid>
        <w:gridCol w:w="928"/>
        <w:gridCol w:w="1351"/>
        <w:gridCol w:w="1230"/>
        <w:gridCol w:w="6485"/>
      </w:tblGrid>
      <w:tr>
        <w:trPr>
          <w:trHeight w:val="906"/>
          <w:tblHeader/>
        </w:trPr>
        <w:tc>
          <w:tcPr>
            <w:tcW w:w="928"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line="240" w:lineRule="auto"/>
              <w:jc w:val="center"/>
              <w:rPr>
                <w:rFonts w:ascii="Times New Roman" w:eastAsia="Times New Roman" w:hAnsi="Times New Roman" w:cs="Times New Roman"/>
                <w:b/>
                <w:noProof/>
                <w:sz w:val="20"/>
                <w:szCs w:val="20"/>
              </w:rPr>
            </w:pPr>
            <w:r>
              <w:rPr>
                <w:rFonts w:ascii="Times New Roman" w:hAnsi="Times New Roman"/>
                <w:b/>
                <w:bCs/>
                <w:noProof/>
                <w:sz w:val="20"/>
                <w:szCs w:val="20"/>
              </w:rPr>
              <w:t>Номер</w:t>
            </w:r>
          </w:p>
        </w:tc>
        <w:tc>
          <w:tcPr>
            <w:tcW w:w="1239"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line="240" w:lineRule="auto"/>
              <w:jc w:val="center"/>
              <w:rPr>
                <w:rFonts w:ascii="Times New Roman" w:eastAsia="Times New Roman" w:hAnsi="Times New Roman" w:cs="Times New Roman"/>
                <w:b/>
                <w:noProof/>
                <w:sz w:val="20"/>
                <w:szCs w:val="20"/>
              </w:rPr>
            </w:pPr>
            <w:r>
              <w:rPr>
                <w:rFonts w:ascii="Times New Roman" w:hAnsi="Times New Roman"/>
                <w:b/>
                <w:bCs/>
                <w:noProof/>
                <w:sz w:val="20"/>
                <w:szCs w:val="20"/>
              </w:rPr>
              <w:t>Свързана мярка (реформа или инвестиция)</w:t>
            </w:r>
          </w:p>
        </w:tc>
        <w:tc>
          <w:tcPr>
            <w:tcW w:w="1230"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line="240" w:lineRule="auto"/>
              <w:jc w:val="center"/>
              <w:rPr>
                <w:rFonts w:ascii="Times New Roman" w:eastAsia="Times New Roman" w:hAnsi="Times New Roman" w:cs="Times New Roman"/>
                <w:b/>
                <w:noProof/>
                <w:sz w:val="20"/>
                <w:szCs w:val="20"/>
              </w:rPr>
            </w:pPr>
            <w:r>
              <w:rPr>
                <w:rFonts w:ascii="Times New Roman" w:hAnsi="Times New Roman"/>
                <w:b/>
                <w:bCs/>
                <w:noProof/>
                <w:sz w:val="20"/>
                <w:szCs w:val="20"/>
              </w:rPr>
              <w:t>Ключов етап /Цел</w:t>
            </w:r>
          </w:p>
        </w:tc>
        <w:tc>
          <w:tcPr>
            <w:tcW w:w="6485" w:type="dxa"/>
            <w:vMerge w:val="restart"/>
            <w:tcBorders>
              <w:top w:val="single" w:sz="4" w:space="0" w:color="auto"/>
              <w:left w:val="nil"/>
              <w:bottom w:val="single" w:sz="4" w:space="0" w:color="000000" w:themeColor="text1"/>
              <w:right w:val="single" w:sz="4" w:space="0" w:color="auto"/>
            </w:tcBorders>
            <w:shd w:val="clear" w:color="auto" w:fill="BDD7EE"/>
            <w:vAlign w:val="center"/>
            <w:hideMark/>
          </w:tcPr>
          <w:p>
            <w:pPr>
              <w:spacing w:after="0" w:line="240" w:lineRule="auto"/>
              <w:jc w:val="center"/>
              <w:rPr>
                <w:rFonts w:ascii="Times New Roman" w:eastAsia="Times New Roman" w:hAnsi="Times New Roman" w:cs="Times New Roman"/>
                <w:b/>
                <w:noProof/>
                <w:sz w:val="20"/>
                <w:szCs w:val="20"/>
              </w:rPr>
            </w:pPr>
            <w:r>
              <w:rPr>
                <w:rFonts w:ascii="Times New Roman" w:hAnsi="Times New Roman"/>
                <w:b/>
                <w:bCs/>
                <w:noProof/>
                <w:sz w:val="20"/>
                <w:szCs w:val="20"/>
              </w:rPr>
              <w:t>Наименование</w:t>
            </w:r>
          </w:p>
        </w:tc>
      </w:tr>
      <w:tr>
        <w:trPr>
          <w:trHeight w:val="230"/>
          <w:tblHeader/>
        </w:trPr>
        <w:tc>
          <w:tcPr>
            <w:tcW w:w="928"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20"/>
                <w:szCs w:val="20"/>
                <w:lang w:val="en-IE" w:eastAsia="en-GB"/>
              </w:rPr>
            </w:pPr>
          </w:p>
        </w:tc>
        <w:tc>
          <w:tcPr>
            <w:tcW w:w="1239"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20"/>
                <w:szCs w:val="20"/>
                <w:lang w:val="en-IE" w:eastAsia="en-GB"/>
              </w:rPr>
            </w:pPr>
          </w:p>
        </w:tc>
        <w:tc>
          <w:tcPr>
            <w:tcW w:w="1230"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20"/>
                <w:szCs w:val="20"/>
                <w:lang w:val="en-IE" w:eastAsia="en-GB"/>
              </w:rPr>
            </w:pPr>
          </w:p>
        </w:tc>
        <w:tc>
          <w:tcPr>
            <w:tcW w:w="6485" w:type="dxa"/>
            <w:vMerge/>
            <w:tcBorders>
              <w:top w:val="single" w:sz="4" w:space="0" w:color="auto"/>
              <w:left w:val="nil"/>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20"/>
                <w:szCs w:val="20"/>
                <w:lang w:val="en-IE" w:eastAsia="en-GB"/>
              </w:rPr>
            </w:pP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hideMark/>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2</w:t>
            </w:r>
          </w:p>
        </w:tc>
        <w:tc>
          <w:tcPr>
            <w:tcW w:w="1239" w:type="dxa"/>
            <w:tcBorders>
              <w:top w:val="nil"/>
              <w:left w:val="nil"/>
              <w:bottom w:val="single" w:sz="4" w:space="0" w:color="auto"/>
              <w:right w:val="single" w:sz="4" w:space="0" w:color="auto"/>
            </w:tcBorders>
            <w:shd w:val="clear" w:color="auto" w:fill="C6EFCE"/>
            <w:noWrap/>
            <w:vAlign w:val="center"/>
            <w:hideMark/>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C1.R1</w:t>
            </w:r>
          </w:p>
        </w:tc>
        <w:tc>
          <w:tcPr>
            <w:tcW w:w="1230" w:type="dxa"/>
            <w:tcBorders>
              <w:top w:val="nil"/>
              <w:left w:val="nil"/>
              <w:bottom w:val="single" w:sz="4" w:space="0" w:color="auto"/>
              <w:right w:val="single" w:sz="4" w:space="0" w:color="auto"/>
            </w:tcBorders>
            <w:shd w:val="clear" w:color="auto" w:fill="C6EFCE"/>
            <w:noWrap/>
            <w:vAlign w:val="center"/>
            <w:hideMark/>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hideMark/>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Изменения на Техническия правилник в строителството (TBC), Електротехническия регламент за ниско напрежение (LVER) и одобряване на кралски указ за регулиране на обществените услуги за презареждане</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hideMark/>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45</w:t>
            </w:r>
          </w:p>
        </w:tc>
        <w:tc>
          <w:tcPr>
            <w:tcW w:w="1239" w:type="dxa"/>
            <w:tcBorders>
              <w:top w:val="nil"/>
              <w:left w:val="nil"/>
              <w:bottom w:val="single" w:sz="4" w:space="0" w:color="auto"/>
              <w:right w:val="single" w:sz="4" w:space="0" w:color="auto"/>
            </w:tcBorders>
            <w:shd w:val="clear" w:color="auto" w:fill="C6EFCE"/>
            <w:noWrap/>
            <w:vAlign w:val="center"/>
            <w:hideMark/>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C3.R6</w:t>
            </w:r>
          </w:p>
        </w:tc>
        <w:tc>
          <w:tcPr>
            <w:tcW w:w="1230" w:type="dxa"/>
            <w:tcBorders>
              <w:top w:val="nil"/>
              <w:left w:val="nil"/>
              <w:bottom w:val="single" w:sz="4" w:space="0" w:color="auto"/>
              <w:right w:val="single" w:sz="4" w:space="0" w:color="auto"/>
            </w:tcBorders>
            <w:shd w:val="clear" w:color="auto" w:fill="C6EFCE"/>
            <w:noWrap/>
            <w:vAlign w:val="center"/>
            <w:hideMark/>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hideMark/>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 xml:space="preserve">Влизане в сила на кралския указ за управление на националните риболовни зони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51</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C3.I4</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 xml:space="preserve">Инвестиционен план за насърчаване на устойчивостта и конкурентоспособността на селското стопанство и животновъдството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57</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C3.I7</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Придобиване на акустични сонди за научни изследвания в областта на рибарството</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61</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C3.I11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Финансиране на инвестиционни проекти в сектора на рибарството</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65</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C4.I1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Възлагане на договори за въздухоплавателни средства със специално предназначение за гасене на пожари и създаване на система за мониторинг и управление на знанията за биологичното разнообразие</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110</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C7.R3</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 xml:space="preserve">Пилотен проект за енергийни общности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115</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C7.I1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Търг за инвестиционна подкрепа за новаторски или генериращи добавена стойност възобновяеми мощности.</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124</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C8.R4</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Влизане в сила на мерки за насърчаване на регулаторните лаборатории за насърчаване на научните изследвания и иновациите в електроенергийния сектор.</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130</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C9.R1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Влизане в сила на Регламента за създаване на гаранции за произход на отпадни газове от възобновяеми източници</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190</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C13.R1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Влизане в сила на Закона за реформа на Закона за несъстоятелността</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229</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C15.R1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Влизане в сила на Закона за далекосъобщенията</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254</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C17.R1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Влизане в сила на изменението на Закон 14/2011 от 1 юни за науката, технологиите и иновациите.</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270</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C17.I8</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 xml:space="preserve">Подкрепа за проекти в областта на научноизследователската и развойна дейност в областта на устойчивата автомобилна промишленост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274</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C18.R2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 xml:space="preserve">Одобряване на испанската стратегия за обществено здраве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296</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C20.R2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Влизане в сила на Закона за единна интегрирана система за професионално обучение с цел модернизиране на системата</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304</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C21.R2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 xml:space="preserve">Влизане в сила на кралския указ относно минималните изисквания за преподаване в областта на образованието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314</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C22.R1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 xml:space="preserve">Одобряване от Териториалния съвет на оценката на системата за автономност и грижи за зависими лица (SAAD).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317</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C22.R4</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 xml:space="preserve">Влизане в сила на законодателната реформа на системата за прием на мигранти и кандидати за международна закрила в Испания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350</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C23.I7</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Подобряване на степента на усвояване на минималния Vital Income („IMV“) и повишаване на неговата ефективност чрез политики за приобщаване</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360</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C24.I3</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 xml:space="preserve">Цифровизация и насърчаване на основни услуги в областта на културата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364</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C25.R1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Влизане в сила на общия закон за аудио-визуалната комуникация.</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374</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C26.I3</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 xml:space="preserve">Проекти за насърчаване на равенството в спорта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376</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C27.R1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Влизане в сила на Закона срещу данъчните измами и данъчните измами</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390</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C28.R4</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Анализ на данъка за регистрация на превозни средства и данъка за движение по пътищата</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391</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C28.R4</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 xml:space="preserve">Влизане в сила на реформата на данъка върху флуорираните газове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401</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C29.R1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Публикуване на мониторингов доклад</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411</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C30.R3</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Реформа на системата за социалноосигурителни вноски за самостоятелно заетите лица</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414</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C30.R5</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Преглед на настоящата система за допълнително пенсионно осигуряване</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lang w:eastAsia="en-GB"/>
              </w:rPr>
            </w:pPr>
          </w:p>
        </w:tc>
        <w:tc>
          <w:tcPr>
            <w:tcW w:w="1239" w:type="dxa"/>
            <w:tcBorders>
              <w:top w:val="single" w:sz="4" w:space="0" w:color="auto"/>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lang w:eastAsia="en-GB"/>
              </w:rPr>
            </w:pPr>
          </w:p>
        </w:tc>
        <w:tc>
          <w:tcPr>
            <w:tcW w:w="1230" w:type="dxa"/>
            <w:tcBorders>
              <w:top w:val="single" w:sz="4" w:space="0" w:color="auto"/>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6100"/>
                <w:sz w:val="20"/>
                <w:szCs w:val="20"/>
              </w:rPr>
              <w:t>Размер на вноската</w:t>
            </w:r>
          </w:p>
        </w:tc>
        <w:tc>
          <w:tcPr>
            <w:tcW w:w="6485" w:type="dxa"/>
            <w:tcBorders>
              <w:top w:val="single" w:sz="4" w:space="0" w:color="auto"/>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6100"/>
                <w:sz w:val="20"/>
                <w:szCs w:val="20"/>
              </w:rPr>
              <w:t xml:space="preserve">6 896 551 724 EUR  </w:t>
            </w:r>
          </w:p>
        </w:tc>
      </w:tr>
    </w:tbl>
    <w:p>
      <w:pPr>
        <w:pStyle w:val="Text1"/>
        <w:rPr>
          <w:noProof/>
          <w:lang w:val="en-IE"/>
        </w:rPr>
      </w:pPr>
    </w:p>
    <w:p>
      <w:pPr>
        <w:pStyle w:val="NumPar2"/>
        <w:rPr>
          <w:noProof/>
        </w:rPr>
      </w:pPr>
      <w:r>
        <w:rPr>
          <w:noProof/>
        </w:rPr>
        <w:t xml:space="preserve">Четвърти транш (безвъзмездна помощ) </w:t>
      </w:r>
    </w:p>
    <w:tbl>
      <w:tblPr>
        <w:tblW w:w="9882" w:type="dxa"/>
        <w:tblInd w:w="113" w:type="dxa"/>
        <w:tblLook w:val="04A0" w:firstRow="1" w:lastRow="0" w:firstColumn="1" w:lastColumn="0" w:noHBand="0" w:noVBand="1"/>
      </w:tblPr>
      <w:tblGrid>
        <w:gridCol w:w="928"/>
        <w:gridCol w:w="1351"/>
        <w:gridCol w:w="1230"/>
        <w:gridCol w:w="6485"/>
      </w:tblGrid>
      <w:tr>
        <w:trPr>
          <w:trHeight w:val="906"/>
          <w:tblHeader/>
        </w:trPr>
        <w:tc>
          <w:tcPr>
            <w:tcW w:w="928"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line="240" w:lineRule="auto"/>
              <w:jc w:val="center"/>
              <w:rPr>
                <w:rFonts w:ascii="Times New Roman" w:eastAsia="Times New Roman" w:hAnsi="Times New Roman" w:cs="Times New Roman"/>
                <w:b/>
                <w:noProof/>
                <w:sz w:val="20"/>
                <w:szCs w:val="20"/>
              </w:rPr>
            </w:pPr>
            <w:r>
              <w:rPr>
                <w:rFonts w:ascii="Times New Roman" w:hAnsi="Times New Roman"/>
                <w:b/>
                <w:bCs/>
                <w:noProof/>
                <w:sz w:val="20"/>
                <w:szCs w:val="20"/>
              </w:rPr>
              <w:t>Номер</w:t>
            </w:r>
          </w:p>
        </w:tc>
        <w:tc>
          <w:tcPr>
            <w:tcW w:w="1239"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line="240" w:lineRule="auto"/>
              <w:jc w:val="center"/>
              <w:rPr>
                <w:rFonts w:ascii="Times New Roman" w:eastAsia="Times New Roman" w:hAnsi="Times New Roman" w:cs="Times New Roman"/>
                <w:b/>
                <w:noProof/>
                <w:sz w:val="20"/>
                <w:szCs w:val="20"/>
              </w:rPr>
            </w:pPr>
            <w:r>
              <w:rPr>
                <w:rFonts w:ascii="Times New Roman" w:hAnsi="Times New Roman"/>
                <w:b/>
                <w:bCs/>
                <w:noProof/>
                <w:sz w:val="20"/>
                <w:szCs w:val="20"/>
              </w:rPr>
              <w:t>Свързана мярка (реформа или инвестиция)</w:t>
            </w:r>
          </w:p>
        </w:tc>
        <w:tc>
          <w:tcPr>
            <w:tcW w:w="1230"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line="240" w:lineRule="auto"/>
              <w:jc w:val="center"/>
              <w:rPr>
                <w:rFonts w:ascii="Times New Roman" w:eastAsia="Times New Roman" w:hAnsi="Times New Roman" w:cs="Times New Roman"/>
                <w:b/>
                <w:noProof/>
                <w:sz w:val="20"/>
                <w:szCs w:val="20"/>
              </w:rPr>
            </w:pPr>
            <w:r>
              <w:rPr>
                <w:rFonts w:ascii="Times New Roman" w:hAnsi="Times New Roman"/>
                <w:b/>
                <w:bCs/>
                <w:noProof/>
                <w:sz w:val="20"/>
                <w:szCs w:val="20"/>
              </w:rPr>
              <w:t>Ключов етап /Цел</w:t>
            </w:r>
          </w:p>
        </w:tc>
        <w:tc>
          <w:tcPr>
            <w:tcW w:w="6485" w:type="dxa"/>
            <w:vMerge w:val="restart"/>
            <w:tcBorders>
              <w:top w:val="single" w:sz="4" w:space="0" w:color="auto"/>
              <w:left w:val="nil"/>
              <w:bottom w:val="single" w:sz="4" w:space="0" w:color="000000" w:themeColor="text1"/>
              <w:right w:val="single" w:sz="4" w:space="0" w:color="auto"/>
            </w:tcBorders>
            <w:shd w:val="clear" w:color="auto" w:fill="BDD7EE"/>
            <w:vAlign w:val="center"/>
            <w:hideMark/>
          </w:tcPr>
          <w:p>
            <w:pPr>
              <w:spacing w:after="0" w:line="240" w:lineRule="auto"/>
              <w:jc w:val="center"/>
              <w:rPr>
                <w:rFonts w:ascii="Times New Roman" w:eastAsia="Times New Roman" w:hAnsi="Times New Roman" w:cs="Times New Roman"/>
                <w:b/>
                <w:noProof/>
                <w:sz w:val="20"/>
                <w:szCs w:val="20"/>
              </w:rPr>
            </w:pPr>
            <w:r>
              <w:rPr>
                <w:rFonts w:ascii="Times New Roman" w:hAnsi="Times New Roman"/>
                <w:b/>
                <w:bCs/>
                <w:noProof/>
                <w:sz w:val="20"/>
                <w:szCs w:val="20"/>
              </w:rPr>
              <w:t>Наименование</w:t>
            </w:r>
          </w:p>
        </w:tc>
      </w:tr>
      <w:tr>
        <w:trPr>
          <w:trHeight w:val="230"/>
          <w:tblHeader/>
        </w:trPr>
        <w:tc>
          <w:tcPr>
            <w:tcW w:w="928"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20"/>
                <w:szCs w:val="20"/>
                <w:lang w:val="en-IE" w:eastAsia="en-GB"/>
              </w:rPr>
            </w:pPr>
          </w:p>
        </w:tc>
        <w:tc>
          <w:tcPr>
            <w:tcW w:w="1239"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20"/>
                <w:szCs w:val="20"/>
                <w:lang w:val="en-IE" w:eastAsia="en-GB"/>
              </w:rPr>
            </w:pPr>
          </w:p>
        </w:tc>
        <w:tc>
          <w:tcPr>
            <w:tcW w:w="1230"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20"/>
                <w:szCs w:val="20"/>
                <w:lang w:val="en-IE" w:eastAsia="en-GB"/>
              </w:rPr>
            </w:pPr>
          </w:p>
        </w:tc>
        <w:tc>
          <w:tcPr>
            <w:tcW w:w="6485" w:type="dxa"/>
            <w:vMerge/>
            <w:tcBorders>
              <w:top w:val="single" w:sz="4" w:space="0" w:color="auto"/>
              <w:left w:val="nil"/>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20"/>
                <w:szCs w:val="20"/>
                <w:lang w:val="en-IE" w:eastAsia="en-GB"/>
              </w:rPr>
            </w:pP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hideMark/>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4</w:t>
            </w:r>
          </w:p>
        </w:tc>
        <w:tc>
          <w:tcPr>
            <w:tcW w:w="1239" w:type="dxa"/>
            <w:tcBorders>
              <w:top w:val="nil"/>
              <w:left w:val="nil"/>
              <w:bottom w:val="single" w:sz="4" w:space="0" w:color="auto"/>
              <w:right w:val="single" w:sz="4" w:space="0" w:color="auto"/>
            </w:tcBorders>
            <w:shd w:val="clear" w:color="auto" w:fill="C6EFCE"/>
            <w:noWrap/>
            <w:vAlign w:val="center"/>
            <w:hideMark/>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C1.I1</w:t>
            </w:r>
          </w:p>
        </w:tc>
        <w:tc>
          <w:tcPr>
            <w:tcW w:w="1230" w:type="dxa"/>
            <w:tcBorders>
              <w:top w:val="nil"/>
              <w:left w:val="nil"/>
              <w:bottom w:val="single" w:sz="4" w:space="0" w:color="auto"/>
              <w:right w:val="single" w:sz="4" w:space="0" w:color="auto"/>
            </w:tcBorders>
            <w:shd w:val="clear" w:color="auto" w:fill="C6EFCE"/>
            <w:noWrap/>
            <w:vAlign w:val="center"/>
            <w:hideMark/>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hideMark/>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Бюджет, изразходван за покупки или отпуснат от общините с цел насърчаване на устойчивата мобилност</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22</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C2.R3</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 xml:space="preserve">Влизане в сила на Закона за жилищното настаняване, включително действия в подкрепа на увеличаването на предлагането на жилища в съответствие с нормите за сгради с почти нулево потребление на енергия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23</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C2.R4</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 xml:space="preserve">Влизане в сила на Закона за качеството на архитектурата и строителната среда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25</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C2.R6</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 xml:space="preserve">Влизане в сила на измененията на хоризонталното право в областта на недвижимото имущество с цел улесняване на финансирането за саниране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38</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C2.I6</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 xml:space="preserve">Планове за действие в рамките на испанската програма за градовете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41</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C3.R2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Влизане в сила на регулаторната рамка за разработване на общ регистър на най-добрите налични техники в земеделските стопанства с цел информиране относно емисиите на замърсители и парникови газове и реформиране на законодателството в областта на планирането с критерии за земеделските стопанства в различните сектори</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43</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C3.R4</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Влизане в сила на кралския указ за механизъм за управление с цел подобряване на испанската напоителна система.</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44</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C3.R5</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Приемане на втория план за действие на стратегията за цифровизация на хранително-вкусовия сектор и селските райони.</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47</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C3.I1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Изпълнение на споразумението между Министерството на земеделието, рибарството и храните (MAPA) и SEIASA за подпомагане на подобряването и устойчивостта на напояваните площи (етап II)</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55</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C3.I6</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Придобиване на ИКТ оборудване за морските запаси от риболовни интереси и договори за придобиване на плавателни съдове със специално предназначение за морските резервати</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60</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C3.I10</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 xml:space="preserve">Закупуване на леки патрулни катери и патрулни кораби в открито море за борба с незаконния, недеклариран и нерегулиран риболов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62</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C4.R1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 xml:space="preserve">Стратегически план за природното наследство и биологичното разнообразие и План за мрежата от защитени морски зони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64</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C4.R3</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 xml:space="preserve">Одобряване на испанската стратегия и план за подпомагане на горите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77</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C5.I2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Възстановяване на защитата от наводнения на речните брегове</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80</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C5.I4</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 xml:space="preserve">Възстановяване на деградирали зони и екосистеми на най-малко 50 километра брегова линия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84</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C6.R2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Индикативна стратегия за железопътния транспорт</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85</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C6.I1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Основна мрежа TEN-T: възлагане на проекти</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88</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C6.I2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Мрежа TEN-T различни видове транспорт (железопътен и автомобилен): частично отпускане на бюджетни средства</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95</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C6.I3</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 xml:space="preserve">Интермодални и логистични инфраструктури: частично отпускане на бюджетни средства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99</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C6.I4</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 xml:space="preserve">Подкрепа за програмата за устойчив и цифров транспорт.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140</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C10.I1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Подкрепа за екологични, цифрови и социални инфраструктурни проекти.</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145</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C11.R1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Влизане в сила на измененията на Закон 40/2015 за засилване на междутериториалното сътрудничество</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146</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C11.R1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Влизане в сила на закона за засилване на оценката на публичните политики</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147</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C11.R1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Влизане в сила на реформата на Закон 7/1985 за местните административни режими</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148</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C11.R1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Влизане в сила на Ley de Función Pública de la Administración del Estado</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152</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C11.R2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Влизане в сила на закона за подобряване на ефективността на съдебните производства</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156</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C11.R4</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Национална стратегия за обществените поръчки</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174</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C11.I5</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Нови инструменти и дейности за комуникация</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178</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C12.R2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Влизане в сила на актовете, които са част от пакета от мерки за кръговата икономика</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179</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C12.R2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 xml:space="preserve">Влизане в сила на Закона за отпадъците и замърсените почви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182</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C12.I2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PERTE в областта на електрическите превозни средства</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183</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C12.I2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 xml:space="preserve">PERTE в стратегически области, определени в плана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184</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C12.I2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 xml:space="preserve">Иновативни проекти за трансформация на промишлеността по отношение на енергийната ефективност, устойчивостта и цифровизацията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191</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C13.R1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Влизане в сила на Закона за създаване и растеж на предприятия</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192</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C13.R2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Влизане в сила на Закона за стартиращите предприятия</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200</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C13.I3</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Бюджет, заделен за програмата „Цифрови инструменти“</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201</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C13.I3</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Бюджет, предназначен за служители по програмата за промяна</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202</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C13.I3</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Бюджет, отпуснат за програмата за подкрепа на иновативни бизнес клъстери</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203</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C13.I3</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Бюджет, заделен за програмата за ЦЦИ</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218</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C14.I1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Отпускане на бюджетни средства за планове за насърчаване на устойчивостта на туризма в тяхната дестинация.</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234</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C15.R2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Предоставяне на 26-гигахерцовия честотен обхват</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235</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C15.R2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 xml:space="preserve">Влизане в сила на Закона за киберсигурността в областта на 5G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245</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C15.I7</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Стартиране на националната програма за подкрепа на сектора на киберсигурността, Програмата за иновации в областта на глобалната сигурност и свързаните с нея действия.</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259</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C17.I2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 xml:space="preserve">Награди за проекти за подобряване на националната научна инфраструктура и капацитета на испанската система за научни технологии и иновации, както и двустранни споразумения, подписани с международни субекти и други инструменти за финансиране на проекти за европейска и международна инфраструктура.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261</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C17.I3</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 xml:space="preserve">Възлагане на нови частни, интердисциплинарни, публични научноизследователски и развойни проекти, проектни тестове, международни конкурентни покани и авангардни научноизследователски и развойни дейности, насочени към социалните предизвикателства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300</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C20.I3</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Най-малко 50 000 нови места за ПОО в сравнение с края на 2020 г.</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319</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C22.R5</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Публикуване на „План за реорганизация и опростяване на системата на независещи от вноски финансови обезщетения на общата държавна администрация“.</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335</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C23.R5</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Влизане в сила на изменението на Закона за заетостта (Кралски законодателен декрет 3/2015)</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337</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C23.R7</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Влизане в сила на реформата на Закон № 43/2006 за опростяване и повишаване на ефективността на системата за стимулиране на набирането на персонал, като се вземат предвид препоръките, отправени от AIReF</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340</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C23.R10</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Влизане в сила на изменението на Кралски указ 8/2015 за реформиране на регулирането на помощите за безработица, независещи от вноски</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352</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C24.R1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Влизане в сила на статута, спонсорството и режима на данъчни стимули на художника.</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367</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C26.R1s</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 xml:space="preserve">Влизане в сила на Закона за спорта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377</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C27.R1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Междинна оценка на последиците от Закона срещу данъчните измами и данъчните измами.</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404</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C29.R3</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Доклад за привеждане в съответствие на екологосъобразното бюджетиране</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408</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C30.R2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 xml:space="preserve">Корекция на изчислителния период за изчисляване на пенсията за осигурителен стаж и възраст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409</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C30.R2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Замяна на фактора за устойчивост с механизъм за справедливост между поколенията</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410</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C30.R2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Актуализирани прогнози, показващи как пенсионните реформи, предприети през 2021 г. и 2022 г., гарантират дългосрочна фискална устойчивост</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415</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C30.R6</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Корекция на максималната основа за вноските</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lang w:eastAsia="en-GB"/>
              </w:rPr>
            </w:pPr>
          </w:p>
        </w:tc>
        <w:tc>
          <w:tcPr>
            <w:tcW w:w="1239" w:type="dxa"/>
            <w:tcBorders>
              <w:top w:val="single" w:sz="4" w:space="0" w:color="auto"/>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lang w:eastAsia="en-GB"/>
              </w:rPr>
            </w:pPr>
          </w:p>
        </w:tc>
        <w:tc>
          <w:tcPr>
            <w:tcW w:w="1230" w:type="dxa"/>
            <w:tcBorders>
              <w:top w:val="single" w:sz="4" w:space="0" w:color="auto"/>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6100"/>
                <w:sz w:val="20"/>
                <w:szCs w:val="20"/>
              </w:rPr>
              <w:t>Размер на вноската</w:t>
            </w:r>
          </w:p>
        </w:tc>
        <w:tc>
          <w:tcPr>
            <w:tcW w:w="6485" w:type="dxa"/>
            <w:tcBorders>
              <w:top w:val="single" w:sz="4" w:space="0" w:color="auto"/>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6100"/>
                <w:sz w:val="20"/>
                <w:szCs w:val="20"/>
              </w:rPr>
              <w:t xml:space="preserve">11 494 252 874 EUR  </w:t>
            </w:r>
          </w:p>
        </w:tc>
      </w:tr>
    </w:tbl>
    <w:p>
      <w:pPr>
        <w:pStyle w:val="Text1"/>
        <w:rPr>
          <w:noProof/>
          <w:lang w:val="en-IE"/>
        </w:rPr>
      </w:pPr>
    </w:p>
    <w:p>
      <w:pPr>
        <w:rPr>
          <w:rFonts w:ascii="Times New Roman" w:hAnsi="Times New Roman" w:cs="Times New Roman"/>
          <w:noProof/>
          <w:sz w:val="24"/>
          <w:lang w:val="en-IE"/>
        </w:rPr>
      </w:pPr>
      <w:r>
        <w:rPr>
          <w:noProof/>
          <w:lang w:val="en-IE"/>
        </w:rPr>
        <w:br w:type="page"/>
      </w:r>
    </w:p>
    <w:p>
      <w:pPr>
        <w:pStyle w:val="NumPar2"/>
        <w:rPr>
          <w:noProof/>
        </w:rPr>
      </w:pPr>
      <w:r>
        <w:rPr>
          <w:noProof/>
        </w:rPr>
        <w:t xml:space="preserve">Пети транш (безвъзмездна помощ) </w:t>
      </w:r>
    </w:p>
    <w:tbl>
      <w:tblPr>
        <w:tblW w:w="9882" w:type="dxa"/>
        <w:tblInd w:w="113" w:type="dxa"/>
        <w:tblLook w:val="04A0" w:firstRow="1" w:lastRow="0" w:firstColumn="1" w:lastColumn="0" w:noHBand="0" w:noVBand="1"/>
      </w:tblPr>
      <w:tblGrid>
        <w:gridCol w:w="928"/>
        <w:gridCol w:w="1351"/>
        <w:gridCol w:w="1230"/>
        <w:gridCol w:w="6485"/>
      </w:tblGrid>
      <w:tr>
        <w:trPr>
          <w:trHeight w:val="906"/>
          <w:tblHeader/>
        </w:trPr>
        <w:tc>
          <w:tcPr>
            <w:tcW w:w="928"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line="240" w:lineRule="auto"/>
              <w:jc w:val="center"/>
              <w:rPr>
                <w:rFonts w:ascii="Times New Roman" w:eastAsia="Times New Roman" w:hAnsi="Times New Roman" w:cs="Times New Roman"/>
                <w:b/>
                <w:noProof/>
                <w:sz w:val="20"/>
                <w:szCs w:val="20"/>
              </w:rPr>
            </w:pPr>
            <w:r>
              <w:rPr>
                <w:rFonts w:ascii="Times New Roman" w:hAnsi="Times New Roman"/>
                <w:b/>
                <w:bCs/>
                <w:noProof/>
                <w:sz w:val="20"/>
                <w:szCs w:val="20"/>
              </w:rPr>
              <w:t>Номер</w:t>
            </w:r>
          </w:p>
        </w:tc>
        <w:tc>
          <w:tcPr>
            <w:tcW w:w="1239"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line="240" w:lineRule="auto"/>
              <w:jc w:val="center"/>
              <w:rPr>
                <w:rFonts w:ascii="Times New Roman" w:eastAsia="Times New Roman" w:hAnsi="Times New Roman" w:cs="Times New Roman"/>
                <w:b/>
                <w:noProof/>
                <w:sz w:val="20"/>
                <w:szCs w:val="20"/>
              </w:rPr>
            </w:pPr>
            <w:r>
              <w:rPr>
                <w:rFonts w:ascii="Times New Roman" w:hAnsi="Times New Roman"/>
                <w:b/>
                <w:bCs/>
                <w:noProof/>
                <w:sz w:val="20"/>
                <w:szCs w:val="20"/>
              </w:rPr>
              <w:t>Свързана мярка (реформа или инвестиция)</w:t>
            </w:r>
          </w:p>
        </w:tc>
        <w:tc>
          <w:tcPr>
            <w:tcW w:w="1230"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line="240" w:lineRule="auto"/>
              <w:jc w:val="center"/>
              <w:rPr>
                <w:rFonts w:ascii="Times New Roman" w:eastAsia="Times New Roman" w:hAnsi="Times New Roman" w:cs="Times New Roman"/>
                <w:b/>
                <w:noProof/>
                <w:sz w:val="20"/>
                <w:szCs w:val="20"/>
              </w:rPr>
            </w:pPr>
            <w:r>
              <w:rPr>
                <w:rFonts w:ascii="Times New Roman" w:hAnsi="Times New Roman"/>
                <w:b/>
                <w:bCs/>
                <w:noProof/>
                <w:sz w:val="20"/>
                <w:szCs w:val="20"/>
              </w:rPr>
              <w:t>Ключов етап /Цел</w:t>
            </w:r>
          </w:p>
        </w:tc>
        <w:tc>
          <w:tcPr>
            <w:tcW w:w="6485" w:type="dxa"/>
            <w:vMerge w:val="restart"/>
            <w:tcBorders>
              <w:top w:val="single" w:sz="4" w:space="0" w:color="auto"/>
              <w:left w:val="nil"/>
              <w:bottom w:val="single" w:sz="4" w:space="0" w:color="000000" w:themeColor="text1"/>
              <w:right w:val="single" w:sz="4" w:space="0" w:color="auto"/>
            </w:tcBorders>
            <w:shd w:val="clear" w:color="auto" w:fill="BDD7EE"/>
            <w:vAlign w:val="center"/>
            <w:hideMark/>
          </w:tcPr>
          <w:p>
            <w:pPr>
              <w:spacing w:after="0" w:line="240" w:lineRule="auto"/>
              <w:jc w:val="center"/>
              <w:rPr>
                <w:rFonts w:ascii="Times New Roman" w:eastAsia="Times New Roman" w:hAnsi="Times New Roman" w:cs="Times New Roman"/>
                <w:b/>
                <w:noProof/>
                <w:sz w:val="20"/>
                <w:szCs w:val="20"/>
              </w:rPr>
            </w:pPr>
            <w:r>
              <w:rPr>
                <w:rFonts w:ascii="Times New Roman" w:hAnsi="Times New Roman"/>
                <w:b/>
                <w:bCs/>
                <w:noProof/>
                <w:sz w:val="20"/>
                <w:szCs w:val="20"/>
              </w:rPr>
              <w:t>Наименование</w:t>
            </w:r>
          </w:p>
        </w:tc>
      </w:tr>
      <w:tr>
        <w:trPr>
          <w:trHeight w:val="230"/>
          <w:tblHeader/>
        </w:trPr>
        <w:tc>
          <w:tcPr>
            <w:tcW w:w="928"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20"/>
                <w:szCs w:val="20"/>
                <w:lang w:val="en-IE" w:eastAsia="en-GB"/>
              </w:rPr>
            </w:pPr>
          </w:p>
        </w:tc>
        <w:tc>
          <w:tcPr>
            <w:tcW w:w="1239"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20"/>
                <w:szCs w:val="20"/>
                <w:lang w:val="en-IE" w:eastAsia="en-GB"/>
              </w:rPr>
            </w:pPr>
          </w:p>
        </w:tc>
        <w:tc>
          <w:tcPr>
            <w:tcW w:w="1230"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20"/>
                <w:szCs w:val="20"/>
                <w:lang w:val="en-IE" w:eastAsia="en-GB"/>
              </w:rPr>
            </w:pPr>
          </w:p>
        </w:tc>
        <w:tc>
          <w:tcPr>
            <w:tcW w:w="6485" w:type="dxa"/>
            <w:vMerge/>
            <w:tcBorders>
              <w:top w:val="single" w:sz="4" w:space="0" w:color="auto"/>
              <w:left w:val="nil"/>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20"/>
                <w:szCs w:val="20"/>
                <w:lang w:val="en-IE" w:eastAsia="en-GB"/>
              </w:rPr>
            </w:pP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hideMark/>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11</w:t>
            </w:r>
          </w:p>
        </w:tc>
        <w:tc>
          <w:tcPr>
            <w:tcW w:w="1239" w:type="dxa"/>
            <w:tcBorders>
              <w:top w:val="nil"/>
              <w:left w:val="nil"/>
              <w:bottom w:val="single" w:sz="4" w:space="0" w:color="auto"/>
              <w:right w:val="single" w:sz="4" w:space="0" w:color="auto"/>
            </w:tcBorders>
            <w:shd w:val="clear" w:color="auto" w:fill="C6EFCE"/>
            <w:noWrap/>
            <w:vAlign w:val="center"/>
            <w:hideMark/>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C1.I2</w:t>
            </w:r>
          </w:p>
        </w:tc>
        <w:tc>
          <w:tcPr>
            <w:tcW w:w="1230" w:type="dxa"/>
            <w:tcBorders>
              <w:top w:val="nil"/>
              <w:left w:val="nil"/>
              <w:bottom w:val="single" w:sz="4" w:space="0" w:color="auto"/>
              <w:right w:val="single" w:sz="4" w:space="0" w:color="auto"/>
            </w:tcBorders>
            <w:shd w:val="clear" w:color="auto" w:fill="C6EFCE"/>
            <w:noWrap/>
            <w:vAlign w:val="center"/>
            <w:hideMark/>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hideMark/>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 xml:space="preserve">Възлагане на иновативни проекти за насърчаване на електромобилността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21bis</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szCs w:val="18"/>
              </w:rPr>
              <w:t>C2.R2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hAnsi="Times New Roman" w:cs="Times New Roman"/>
                <w:noProof/>
                <w:color w:val="000000"/>
                <w:sz w:val="18"/>
                <w:szCs w:val="18"/>
              </w:rPr>
            </w:pPr>
            <w:r>
              <w:rPr>
                <w:rFonts w:ascii="Times New Roman" w:hAnsi="Times New Roman"/>
                <w:noProof/>
                <w:color w:val="000000"/>
                <w:sz w:val="18"/>
                <w:szCs w:val="18"/>
              </w:rPr>
              <w:t>Публикуване на препоръките на работните групи за изпълнение на дългосрочната стратегия за саниране в Испания</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hideMark/>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42</w:t>
            </w:r>
          </w:p>
        </w:tc>
        <w:tc>
          <w:tcPr>
            <w:tcW w:w="1239" w:type="dxa"/>
            <w:tcBorders>
              <w:top w:val="nil"/>
              <w:left w:val="nil"/>
              <w:bottom w:val="single" w:sz="4" w:space="0" w:color="auto"/>
              <w:right w:val="single" w:sz="4" w:space="0" w:color="auto"/>
            </w:tcBorders>
            <w:shd w:val="clear" w:color="auto" w:fill="C6EFCE"/>
            <w:noWrap/>
            <w:vAlign w:val="center"/>
            <w:hideMark/>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C3.R3</w:t>
            </w:r>
          </w:p>
        </w:tc>
        <w:tc>
          <w:tcPr>
            <w:tcW w:w="1230" w:type="dxa"/>
            <w:tcBorders>
              <w:top w:val="nil"/>
              <w:left w:val="nil"/>
              <w:bottom w:val="single" w:sz="4" w:space="0" w:color="auto"/>
              <w:right w:val="single" w:sz="4" w:space="0" w:color="auto"/>
            </w:tcBorders>
            <w:shd w:val="clear" w:color="auto" w:fill="C6EFCE"/>
            <w:noWrap/>
            <w:vAlign w:val="center"/>
            <w:hideMark/>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hideMark/>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Влизане в сила на нормативната уредба относно устойчивото хранене в земеделските почви.</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hideMark/>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53</w:t>
            </w:r>
          </w:p>
        </w:tc>
        <w:tc>
          <w:tcPr>
            <w:tcW w:w="1239" w:type="dxa"/>
            <w:tcBorders>
              <w:top w:val="nil"/>
              <w:left w:val="nil"/>
              <w:bottom w:val="single" w:sz="4" w:space="0" w:color="auto"/>
              <w:right w:val="single" w:sz="4" w:space="0" w:color="auto"/>
            </w:tcBorders>
            <w:shd w:val="clear" w:color="auto" w:fill="C6EFCE"/>
            <w:noWrap/>
            <w:vAlign w:val="center"/>
            <w:hideMark/>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C3.I5</w:t>
            </w:r>
          </w:p>
        </w:tc>
        <w:tc>
          <w:tcPr>
            <w:tcW w:w="1230" w:type="dxa"/>
            <w:tcBorders>
              <w:top w:val="nil"/>
              <w:left w:val="nil"/>
              <w:bottom w:val="single" w:sz="4" w:space="0" w:color="auto"/>
              <w:right w:val="single" w:sz="4" w:space="0" w:color="auto"/>
            </w:tcBorders>
            <w:shd w:val="clear" w:color="auto" w:fill="C6EFCE"/>
            <w:noWrap/>
            <w:vAlign w:val="center"/>
            <w:hideMark/>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hideMark/>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Подписване на договорни споразумения между Министерството на земеделието, рибарството и храните (MAPA) и ENISA</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70</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C4.I3</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Рехабилитация на бивши мини (най-малко 20 бивши мини)</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73</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C4.I4</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 xml:space="preserve">Действия за устойчиво управление на горите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75</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C5.R1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Влизане в сила на изменението на Закона за водите и новата наредба, заменяща Кралски указ 1620/2007</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76</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C5.I1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 xml:space="preserve">Подобрена инфраструктура за пречистване на водите и отпадъчните води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109</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C7.R2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Приключване на мерките по националната стратегия за собствено потребление</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113</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C7.R4</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Влизане в сила на регулаторните мерки, посочени в картата за вятърна енергия от разположени в морето инсталации и друга морска енергия.</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131</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C9.I1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Финансиране на МСП за укрепване на веригата за създаване на стойност в областта на водорода</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138</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C10.R1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 xml:space="preserve">Протоколи за справедлив преход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241</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C15.I5</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Подобряване на трансграничната цифрова инфраструктура: възлагане;</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267</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C17.I6</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Подкрепа за проекти за укрепване на стратегическия капацитет и интернационализация на националната здравна система, проекти, свързани със стратегията за прецизно персонализирана медицина и принос към публично-частно инвестиционно средство за модерни терапии.</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307</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C21.R3</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Влизане в сила на Устройствения закон за университетската система</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315</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C22.R2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Влизане в сила на Закона за социалните услуги и министерските наредби</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316</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C22.R3</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Влизане в сила на Закона за семейното многообразие</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321</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C22.I1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Проекти, изпълнявани от Министерството на социалните права и Програмата до 2030 г.</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326</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C22.I3</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Проекти за подобряване на достъпността</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386</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C28.R2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Преглед и изменения на данъчните облекчения</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388</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C28.R3</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Влизане в сила на реформите, произтичащи от препоръките на Комитета</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402</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C29.R1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Етап III от прегледа на разходите</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lang w:eastAsia="en-GB"/>
              </w:rPr>
            </w:pPr>
          </w:p>
        </w:tc>
        <w:tc>
          <w:tcPr>
            <w:tcW w:w="1239" w:type="dxa"/>
            <w:tcBorders>
              <w:top w:val="single" w:sz="4" w:space="0" w:color="auto"/>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lang w:eastAsia="en-GB"/>
              </w:rPr>
            </w:pPr>
          </w:p>
        </w:tc>
        <w:tc>
          <w:tcPr>
            <w:tcW w:w="1230" w:type="dxa"/>
            <w:tcBorders>
              <w:top w:val="single" w:sz="4" w:space="0" w:color="auto"/>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6100"/>
                <w:sz w:val="20"/>
                <w:szCs w:val="20"/>
              </w:rPr>
              <w:t>Размер на вноската</w:t>
            </w:r>
          </w:p>
        </w:tc>
        <w:tc>
          <w:tcPr>
            <w:tcW w:w="6485" w:type="dxa"/>
            <w:tcBorders>
              <w:top w:val="single" w:sz="4" w:space="0" w:color="auto"/>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6100"/>
                <w:sz w:val="20"/>
                <w:szCs w:val="20"/>
              </w:rPr>
              <w:t xml:space="preserve">8 045 977 011 EUR </w:t>
            </w:r>
          </w:p>
        </w:tc>
      </w:tr>
    </w:tbl>
    <w:p>
      <w:pPr>
        <w:pStyle w:val="Text1"/>
        <w:rPr>
          <w:noProof/>
          <w:lang w:val="en-IE"/>
        </w:rPr>
      </w:pPr>
    </w:p>
    <w:p>
      <w:pPr>
        <w:pStyle w:val="NumPar2"/>
        <w:rPr>
          <w:noProof/>
        </w:rPr>
      </w:pPr>
      <w:r>
        <w:rPr>
          <w:noProof/>
        </w:rPr>
        <w:t xml:space="preserve">Шести транш (безвъзмездна помощ) </w:t>
      </w:r>
    </w:p>
    <w:tbl>
      <w:tblPr>
        <w:tblW w:w="9882" w:type="dxa"/>
        <w:tblInd w:w="113" w:type="dxa"/>
        <w:tblLook w:val="04A0" w:firstRow="1" w:lastRow="0" w:firstColumn="1" w:lastColumn="0" w:noHBand="0" w:noVBand="1"/>
      </w:tblPr>
      <w:tblGrid>
        <w:gridCol w:w="928"/>
        <w:gridCol w:w="1351"/>
        <w:gridCol w:w="1230"/>
        <w:gridCol w:w="6485"/>
      </w:tblGrid>
      <w:tr>
        <w:trPr>
          <w:trHeight w:val="906"/>
          <w:tblHeader/>
        </w:trPr>
        <w:tc>
          <w:tcPr>
            <w:tcW w:w="928"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line="240" w:lineRule="auto"/>
              <w:jc w:val="center"/>
              <w:rPr>
                <w:rFonts w:ascii="Times New Roman" w:eastAsia="Times New Roman" w:hAnsi="Times New Roman" w:cs="Times New Roman"/>
                <w:b/>
                <w:noProof/>
                <w:sz w:val="20"/>
                <w:szCs w:val="20"/>
              </w:rPr>
            </w:pPr>
            <w:r>
              <w:rPr>
                <w:rFonts w:ascii="Times New Roman" w:hAnsi="Times New Roman"/>
                <w:b/>
                <w:bCs/>
                <w:noProof/>
                <w:sz w:val="20"/>
                <w:szCs w:val="20"/>
              </w:rPr>
              <w:t>Номер</w:t>
            </w:r>
          </w:p>
        </w:tc>
        <w:tc>
          <w:tcPr>
            <w:tcW w:w="1239"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line="240" w:lineRule="auto"/>
              <w:jc w:val="center"/>
              <w:rPr>
                <w:rFonts w:ascii="Times New Roman" w:eastAsia="Times New Roman" w:hAnsi="Times New Roman" w:cs="Times New Roman"/>
                <w:b/>
                <w:noProof/>
                <w:sz w:val="20"/>
                <w:szCs w:val="20"/>
              </w:rPr>
            </w:pPr>
            <w:r>
              <w:rPr>
                <w:rFonts w:ascii="Times New Roman" w:hAnsi="Times New Roman"/>
                <w:b/>
                <w:bCs/>
                <w:noProof/>
                <w:sz w:val="20"/>
                <w:szCs w:val="20"/>
              </w:rPr>
              <w:t>Свързана мярка (реформа или инвестиция)</w:t>
            </w:r>
          </w:p>
        </w:tc>
        <w:tc>
          <w:tcPr>
            <w:tcW w:w="1230"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line="240" w:lineRule="auto"/>
              <w:jc w:val="center"/>
              <w:rPr>
                <w:rFonts w:ascii="Times New Roman" w:eastAsia="Times New Roman" w:hAnsi="Times New Roman" w:cs="Times New Roman"/>
                <w:b/>
                <w:noProof/>
                <w:sz w:val="20"/>
                <w:szCs w:val="20"/>
              </w:rPr>
            </w:pPr>
            <w:r>
              <w:rPr>
                <w:rFonts w:ascii="Times New Roman" w:hAnsi="Times New Roman"/>
                <w:b/>
                <w:bCs/>
                <w:noProof/>
                <w:sz w:val="20"/>
                <w:szCs w:val="20"/>
              </w:rPr>
              <w:t>Ключов етап /Цел</w:t>
            </w:r>
          </w:p>
        </w:tc>
        <w:tc>
          <w:tcPr>
            <w:tcW w:w="6485" w:type="dxa"/>
            <w:vMerge w:val="restart"/>
            <w:tcBorders>
              <w:top w:val="single" w:sz="4" w:space="0" w:color="auto"/>
              <w:left w:val="nil"/>
              <w:bottom w:val="single" w:sz="4" w:space="0" w:color="000000" w:themeColor="text1"/>
              <w:right w:val="single" w:sz="4" w:space="0" w:color="auto"/>
            </w:tcBorders>
            <w:shd w:val="clear" w:color="auto" w:fill="BDD7EE"/>
            <w:vAlign w:val="center"/>
            <w:hideMark/>
          </w:tcPr>
          <w:p>
            <w:pPr>
              <w:spacing w:after="0" w:line="240" w:lineRule="auto"/>
              <w:jc w:val="center"/>
              <w:rPr>
                <w:rFonts w:ascii="Times New Roman" w:eastAsia="Times New Roman" w:hAnsi="Times New Roman" w:cs="Times New Roman"/>
                <w:b/>
                <w:noProof/>
                <w:sz w:val="20"/>
                <w:szCs w:val="20"/>
              </w:rPr>
            </w:pPr>
            <w:r>
              <w:rPr>
                <w:rFonts w:ascii="Times New Roman" w:hAnsi="Times New Roman"/>
                <w:b/>
                <w:bCs/>
                <w:noProof/>
                <w:sz w:val="20"/>
                <w:szCs w:val="20"/>
              </w:rPr>
              <w:t>Наименование</w:t>
            </w:r>
          </w:p>
        </w:tc>
      </w:tr>
      <w:tr>
        <w:trPr>
          <w:trHeight w:val="230"/>
          <w:tblHeader/>
        </w:trPr>
        <w:tc>
          <w:tcPr>
            <w:tcW w:w="928"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20"/>
                <w:szCs w:val="20"/>
                <w:lang w:val="en-IE" w:eastAsia="en-GB"/>
              </w:rPr>
            </w:pPr>
          </w:p>
        </w:tc>
        <w:tc>
          <w:tcPr>
            <w:tcW w:w="1239"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20"/>
                <w:szCs w:val="20"/>
                <w:lang w:val="en-IE" w:eastAsia="en-GB"/>
              </w:rPr>
            </w:pPr>
          </w:p>
        </w:tc>
        <w:tc>
          <w:tcPr>
            <w:tcW w:w="1230"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20"/>
                <w:szCs w:val="20"/>
                <w:lang w:val="en-IE" w:eastAsia="en-GB"/>
              </w:rPr>
            </w:pPr>
          </w:p>
        </w:tc>
        <w:tc>
          <w:tcPr>
            <w:tcW w:w="6485" w:type="dxa"/>
            <w:vMerge/>
            <w:tcBorders>
              <w:top w:val="single" w:sz="4" w:space="0" w:color="auto"/>
              <w:left w:val="nil"/>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20"/>
                <w:szCs w:val="20"/>
                <w:lang w:val="en-IE" w:eastAsia="en-GB"/>
              </w:rPr>
            </w:pP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hideMark/>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3</w:t>
            </w:r>
          </w:p>
        </w:tc>
        <w:tc>
          <w:tcPr>
            <w:tcW w:w="1239" w:type="dxa"/>
            <w:tcBorders>
              <w:top w:val="nil"/>
              <w:left w:val="nil"/>
              <w:bottom w:val="single" w:sz="4" w:space="0" w:color="auto"/>
              <w:right w:val="single" w:sz="4" w:space="0" w:color="auto"/>
            </w:tcBorders>
            <w:shd w:val="clear" w:color="auto" w:fill="C6EFCE"/>
            <w:noWrap/>
            <w:vAlign w:val="center"/>
            <w:hideMark/>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C1.R2</w:t>
            </w:r>
          </w:p>
        </w:tc>
        <w:tc>
          <w:tcPr>
            <w:tcW w:w="1230" w:type="dxa"/>
            <w:tcBorders>
              <w:top w:val="nil"/>
              <w:left w:val="nil"/>
              <w:bottom w:val="single" w:sz="4" w:space="0" w:color="auto"/>
              <w:right w:val="single" w:sz="4" w:space="0" w:color="auto"/>
            </w:tcBorders>
            <w:shd w:val="clear" w:color="auto" w:fill="C6EFCE"/>
            <w:noWrap/>
            <w:vAlign w:val="center"/>
            <w:hideMark/>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hideMark/>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 xml:space="preserve">Приемане на закон за устойчивата мобилност и финансирането на транспорта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hideMark/>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5</w:t>
            </w:r>
          </w:p>
        </w:tc>
        <w:tc>
          <w:tcPr>
            <w:tcW w:w="1239" w:type="dxa"/>
            <w:tcBorders>
              <w:top w:val="nil"/>
              <w:left w:val="nil"/>
              <w:bottom w:val="single" w:sz="4" w:space="0" w:color="auto"/>
              <w:right w:val="single" w:sz="4" w:space="0" w:color="auto"/>
            </w:tcBorders>
            <w:shd w:val="clear" w:color="auto" w:fill="C6EFCE"/>
            <w:noWrap/>
            <w:vAlign w:val="center"/>
            <w:hideMark/>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C1.I1</w:t>
            </w:r>
          </w:p>
        </w:tc>
        <w:tc>
          <w:tcPr>
            <w:tcW w:w="1230" w:type="dxa"/>
            <w:tcBorders>
              <w:top w:val="nil"/>
              <w:left w:val="nil"/>
              <w:bottom w:val="single" w:sz="4" w:space="0" w:color="auto"/>
              <w:right w:val="single" w:sz="4" w:space="0" w:color="auto"/>
            </w:tcBorders>
            <w:shd w:val="clear" w:color="auto" w:fill="C6EFCE"/>
            <w:noWrap/>
            <w:vAlign w:val="center"/>
            <w:hideMark/>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hideMark/>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 xml:space="preserve">Бюджет, изразходван за покупки или отпуснат от автономните области, в размер на най-малко 900 милиона евро с цел насърчаване на устойчивата мобилност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hideMark/>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6</w:t>
            </w:r>
          </w:p>
        </w:tc>
        <w:tc>
          <w:tcPr>
            <w:tcW w:w="1239" w:type="dxa"/>
            <w:tcBorders>
              <w:top w:val="nil"/>
              <w:left w:val="nil"/>
              <w:bottom w:val="single" w:sz="4" w:space="0" w:color="auto"/>
              <w:right w:val="single" w:sz="4" w:space="0" w:color="auto"/>
            </w:tcBorders>
            <w:shd w:val="clear" w:color="auto" w:fill="C6EFCE"/>
            <w:noWrap/>
            <w:vAlign w:val="center"/>
            <w:hideMark/>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C1.I1</w:t>
            </w:r>
          </w:p>
        </w:tc>
        <w:tc>
          <w:tcPr>
            <w:tcW w:w="1230" w:type="dxa"/>
            <w:tcBorders>
              <w:top w:val="nil"/>
              <w:left w:val="nil"/>
              <w:bottom w:val="single" w:sz="4" w:space="0" w:color="auto"/>
              <w:right w:val="single" w:sz="4" w:space="0" w:color="auto"/>
            </w:tcBorders>
            <w:shd w:val="clear" w:color="auto" w:fill="C6EFCE"/>
            <w:noWrap/>
            <w:vAlign w:val="center"/>
            <w:hideMark/>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hideMark/>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 xml:space="preserve">Приключени проекти за насърчаване на устойчивата мобилност, включително в градските и метрополните региони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12</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C1.I2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 xml:space="preserve">Електрически превозни средства и зарядни точки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14</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C1.I3</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 xml:space="preserve">Железопътни линии на къси разстояния (Cercanías)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15</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C1.I3</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 xml:space="preserve">Подобряване на гарите в резултат на цифровизацията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16</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C1.I3</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 xml:space="preserve">Подобрени гари по линните „Cercanías“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27</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C2.I1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Приключване на дейности по саниране на жилищни сгради, постигане на средно намаление от най-малко 30 % в търсенето на първична енергия (най-малко 231 000 действия в най-малко 160 000 отделни жилища)</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32</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C2.I3</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Възлагане на саниране на жилищни и нежилищни сгради, постигане на средно намаление от най-малко 30 % на търсенето на първична енергия</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49</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C3.I2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Въвеждане в експлоатация на съоръжение за животни – лаборатория с ниво на биобезопасност 3 и Национална фитосанитарна лаборатория</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50</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C3.I3</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Подобрени центрове за почистване и дезинфекция и центрове за производство на материали за растителна защита със засилени системи за обучение и биологична сигурност</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54</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C3.I5</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Подпомагане на МСП в хранително-вкусовата промишленост за изпълнение на иновативни и цифрови бизнес проекти</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58</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C3.I8</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Проекти за научноизследователска развойна дейност и иновации в подкрепа на устойчивостта и устойчивостта на сектора на рибарството и аквакултурите</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59</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C3.I9</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 xml:space="preserve">Цифрово укрепване на Испанската информационна система за рибарството (SIPE) и на системата за наблюдение на риболова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67</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C4.I2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 xml:space="preserve">Морски защитени територии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78</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C5.I2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 xml:space="preserve">Намаляване на обема на водата, извлечена от водоносните хоризонти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79</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C5.I3</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 xml:space="preserve">Въвеждане в експлоатация на инструменти за подобряване на знанията и използването на водните ресурси, както и за мониторинг на валежите и други метеорологични данни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81</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C5.I4</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Възстановяване на деградирали зони и екосистеми на най-малко 100 километра брегова линия</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106</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C7.R1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 xml:space="preserve">Допълнителен производствен капацитет за енергия от възобновяеми източници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107</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C7.R1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 xml:space="preserve">Кумулативен допълнителен капацитет за енергия от възобновяеми източници, инсталиран в Испания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111</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C7.R3</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Приключване на свързани с енергетиката пилотни проекти в местните общности.</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114</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C7.R4</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Приключване на мерките, определени в пътната карта за биогаза.</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116</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C7.I1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Нови проекти, технологии или инсталации за морска инфраструктура за енергия от възобновяеми източници.</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118</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C7.I2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 xml:space="preserve">Служба „Чиста енергия и интелигентни проекти за островите“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123</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C8.R3</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Влизане в сила на регулаторни мерки за интегриране на гъвкавостта и оптимизацията на потреблението.</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125</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C8.I1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Възлагане на иновативни проекти за съхранение</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127</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C8.I2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Иновативни проекти за цифровизация в областта на електроразпределението</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128</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C8.I3</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Проекти за насърчаване на нови бизнес модели за енергийния преход</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132</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C9.I1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 xml:space="preserve">Технологично развитие във веригата за създаване на стойност при създаването на водород от възобновяеми източници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133</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C9.I1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 xml:space="preserve">Водородни клъстери от възобновяеми източници (или долини)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134</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C9.I1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 xml:space="preserve">Проекти—пионер в областта на водорода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135</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C9.I1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Изпитвателни съоръжения или нови производствени линии.</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141</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C10.I1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 xml:space="preserve">Помощ при търсене на работа и преквалификация за безработни лица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142</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C10.I1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Инвестиционни проекти за адаптиране на промишлените съоръжения за зелен водород и съхранение на енергия.</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149</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C11.R1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Устав на новия публичен орган за оценка</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160</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C11.I1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Взаимно свързване на националните платформи за обществени поръчки</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161</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C11.I1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Възлагане на проекти в подкрепа на цифровата трансформация на централната публична администрация</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163</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C11.I2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Оперативно съвместими платформи за обмен на данни в областта на социалната сигурност и здравеопазването</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164</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C11.I2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Съдебно производство, което трябва да се проведе по електронен път</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165</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C11.I2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Възлагане на проекти в подкрепа на проекти, стимулиращи цифровизацията на централната публична администрация</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167</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C11.I3</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Цифровизация на регионалните и местните субекти</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176</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C12.R1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Влизане в сила на Закона за промишлеността</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187</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C12.I3</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Приключване на проекти в подкрепа на прилагането на законодателството в областта на отпадъците и насърчаване на кръговата икономика в предприятието</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193</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C13.I1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Предприемачи или МСП, които се възползват от мерки за насърчаване на предприемаческата екосистема</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194</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C13.I1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Ползватели, възползващи се от мерки за насърчаване на предприемаческата екосистема</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195</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C13.I1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Други действия за разпространение на информация, комуникация и финансиране</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196</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C13.I2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Гаранция на CERSA</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197</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C13.I2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МСП, подпомагани от програмата „Умения за растеж на МСП“</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198</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C13.I2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Предприемачи и МСП, подпомагани от Програмата за подкрепа на предприемачеството в промишлеността</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204</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C13.I3</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МСП, подпомагани от програмата „Цифров инструментариум“</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205</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C13.I3</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Бюджетно изпълнение на служители по програмата за промяна</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206</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C13.I3</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 xml:space="preserve">Изпълнение на бюджета на програмата за подкрепа на иновативни бизнес клъстери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207</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C13.I3</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Изпълнение на бюджета на програмата DIH</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210</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C13.I4</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МСП и бизнес асоциации, получили подкрепа от Технологичния фонд</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219</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C14.I1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Отпускане на бюджетни средства за планове за насърчаване на устойчивостта на туризма в тяхната дестинация.</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236</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C15.I1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Разгръщане на свръхвисокоскоростен широколентов достъп: възлагане;</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238</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C15.I2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 xml:space="preserve">Подобряване на свързаността в ключови центрове и сектори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239</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C15.I3</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 xml:space="preserve">Ваучери за свързаност за МСП и уязвимите групи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240</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C15.I4</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Адаптиране на телекомуникационната инфраструктура в сградите</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243</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C15.I6</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Внедряване на 5G технология: възлагане;</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246</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C15.I7</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Укрепване и подобряване на капацитета за киберсигурност: Ресурси</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247</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C15.I7</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Укрепване и подобряване на капацитета за киберсигурност: Линия за помощ в областта на киберсигурността</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251</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C16.R1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 xml:space="preserve">Подкрепа за проекти в областта на изкуствения интелект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256</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C17.R2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 xml:space="preserve">Средносрочна оценка на испанската стратегия за наука, технологии и иновации за периода 2021—2027 г.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265</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C17.I5</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 xml:space="preserve">Иновационни и технологични дружества са получили капитал по програмата Innvierte, за да засилят своите научноизследователски дейности на ранен етап.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269</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C17.I7</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 xml:space="preserve">R &amp;D център за съхранение на енергия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hAnsi="Times New Roman" w:cs="Times New Roman"/>
                <w:bCs/>
                <w:noProof/>
                <w:color w:val="000000"/>
                <w:sz w:val="18"/>
                <w:szCs w:val="18"/>
              </w:rPr>
            </w:pPr>
            <w:r>
              <w:rPr>
                <w:rFonts w:ascii="Times New Roman" w:hAnsi="Times New Roman"/>
                <w:noProof/>
                <w:color w:val="000000"/>
                <w:sz w:val="18"/>
                <w:szCs w:val="18"/>
              </w:rPr>
              <w:t>271</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hAnsi="Times New Roman" w:cs="Times New Roman"/>
                <w:bCs/>
                <w:noProof/>
                <w:color w:val="000000"/>
                <w:sz w:val="18"/>
                <w:szCs w:val="18"/>
              </w:rPr>
            </w:pPr>
            <w:r>
              <w:rPr>
                <w:rFonts w:ascii="Times New Roman" w:hAnsi="Times New Roman"/>
                <w:noProof/>
                <w:color w:val="000000"/>
                <w:sz w:val="18"/>
                <w:szCs w:val="18"/>
              </w:rPr>
              <w:t>C17.I9</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hAnsi="Times New Roman" w:cs="Times New Roman"/>
                <w:bCs/>
                <w:noProof/>
                <w:color w:val="000000"/>
                <w:sz w:val="18"/>
                <w:szCs w:val="18"/>
              </w:rPr>
            </w:pPr>
            <w:r>
              <w:rPr>
                <w:rFonts w:ascii="Times New Roman" w:hAnsi="Times New Roman"/>
                <w:noProof/>
                <w:color w:val="000000"/>
                <w:sz w:val="18"/>
                <w:szCs w:val="18"/>
              </w:rPr>
              <w:t xml:space="preserve">Подкрепа за научноизследователска и развойна дейност; Иновационни проекти в областта на авиокосмическата дейност, с акцент върху ниските и нулевите емисии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275</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C18.R3</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Закон за справедливостта, универсалността и сближаването на националната здравна система</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276</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C18.R4</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Закон за рамковия статут на персонала на задължителните здравни служби.</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277</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C18.R5</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Закон за гаранциите и рационалното използване на медицински продукти</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279</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C18.I1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 xml:space="preserve">Инсталиране/подновяване/разширение на устройствата за оборудване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280</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C18.I2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Кампании и действия в областта на общественото здраве</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281</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C18.I3</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Информационна система на мрежата за наблюдение на общественото здраве</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282</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C18.I4</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 xml:space="preserve">Медицински специалисти, обучени в рамките на планове за продължаващо образование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283</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C18.I5</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 xml:space="preserve">Система VALTERMED и платформа за оценка на здравните технологии и ползи от националната здравна система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284</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C18.I6</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 xml:space="preserve">Езерото със здравни данни функционира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286</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C19.I1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Обучение на гражданите относно цифровите умения.</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308</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C21.I1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 xml:space="preserve">Бюджетна награда за насърчаване на първия цикъл на образованието в ранна детска възраст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312</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C21.I4</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Стипендии и стипендии за студенти постдокторанти, асистенти и изследователи</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313</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C21.I5</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 xml:space="preserve">Увеличение на „цифровия индекс за университетите“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320</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C22.R5</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Влизане в сила на законодателство за реорганизиране и опростяване на системата на независещи от вноски финансови обезщетения</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322</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C22.I1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 xml:space="preserve">Услуги за домашни грижи от разстояние в системата за автономност и грижи за зависими лица (SAAD)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323</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C22.I1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 xml:space="preserve">Места за настаняване, нежилищни и дневни грижи.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324</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C22.I2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Прилагане на специфични технологични инструменти за подобряване на информационните системи и системите за управление на социалните услуги.</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325</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C22.I2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 xml:space="preserve">Приключване на проекти за технологична трансформация на социалните услуги и за модернизиране на инфраструктурата и услугите, свързани със защитата на жилищата и приемните семейства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327</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C22.I4</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Центрове за жертви на сексуално насилие.</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341</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C23.R11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Удостоверения за завършване на услугите по договорите за модернизация на държавната публична служба по заетостта</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346</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C23.I4</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Приключени са териториални проекти за уязвими групи, предприемачество и микропредприятия, включващи най-малко 39 000 работници и 64 000 предприятия.</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347</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C23.I5</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Обществените центрове за ориентиране, предприемачество, подкрепа и иновации за нови работни места са напълно функциониращи.</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348</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C23.I5</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Дейности по обучение на персонала на ПСЗ</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349</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C23.I6</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Приключени проекти в областта на социалната икономика</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353</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C24.R2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Влизане в сила на законодателни и регулаторни мерки за укрепване на авторското право и сродните му права</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354</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C24.I1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 xml:space="preserve">Засилване на конкурентоспособността на културните индустрии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355</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C24.I2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Модернизация и устойчиво управление на инфраструктурата за сценични и музикални изкуства</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356</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C24.I2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Опазване, възстановяване и подобряване на испанското културно наследство</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357</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C24.I2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Лицензи за електронни книги за библиотеки</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358</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C24.I2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Покупки на книги за библиотеки</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359</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C24.I2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 xml:space="preserve">Насърчаване на културните и творческите инициативи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361</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C24.I3</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 xml:space="preserve">Завършване на цифровизацията и насърчаване на основни услуги в областта на културата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362</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C24.I3</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 xml:space="preserve">Завършване на цифровизацията на библиографското наследство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365</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C25.R1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 xml:space="preserve"> Влизане в сила на закона за киното.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366</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C25.I1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Подкрепа за МСП в аудио-визуалния сектор.</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368</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C26.R2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 xml:space="preserve">Влизане в сила на Закона за регулиране на някои професии в областта на спорта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369</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C26.R3</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Национална стратегия за насърчаване на спорта срещу заседналия начин на живот и липсата на физическа активност</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370</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C26.I1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Цифровизация на спортния сектор</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371</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C26.I1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 xml:space="preserve">Спортни центрове по медицина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372</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C26.I1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Приключване на проекти в областта на информационните технологии във високопроизводителните центрове и в антидопинговата администрация</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375</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C26.I3</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Приключване на действията по социалния план за спорта</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382</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C27.R3</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Предоставяне на четири платформи за цифрова подкрепа</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405</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C29.R3</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Доклад за привеждане в съответствие на екологосъобразното бюджетиране</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lang w:eastAsia="en-GB"/>
              </w:rPr>
            </w:pPr>
          </w:p>
        </w:tc>
        <w:tc>
          <w:tcPr>
            <w:tcW w:w="1239" w:type="dxa"/>
            <w:tcBorders>
              <w:top w:val="single" w:sz="4" w:space="0" w:color="auto"/>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lang w:eastAsia="en-GB"/>
              </w:rPr>
            </w:pPr>
          </w:p>
        </w:tc>
        <w:tc>
          <w:tcPr>
            <w:tcW w:w="1230" w:type="dxa"/>
            <w:tcBorders>
              <w:top w:val="single" w:sz="4" w:space="0" w:color="auto"/>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6100"/>
                <w:sz w:val="20"/>
                <w:szCs w:val="20"/>
              </w:rPr>
              <w:t>Размер на вноската</w:t>
            </w:r>
          </w:p>
        </w:tc>
        <w:tc>
          <w:tcPr>
            <w:tcW w:w="6485" w:type="dxa"/>
            <w:tcBorders>
              <w:top w:val="single" w:sz="4" w:space="0" w:color="auto"/>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6100"/>
                <w:sz w:val="20"/>
                <w:szCs w:val="20"/>
              </w:rPr>
              <w:t xml:space="preserve">9 195 402 299 EUR </w:t>
            </w:r>
          </w:p>
        </w:tc>
      </w:tr>
    </w:tbl>
    <w:p>
      <w:pPr>
        <w:pStyle w:val="Text1"/>
        <w:rPr>
          <w:noProof/>
          <w:lang w:val="fr-BE"/>
        </w:rPr>
      </w:pPr>
    </w:p>
    <w:p>
      <w:pPr>
        <w:pStyle w:val="NumPar2"/>
        <w:rPr>
          <w:noProof/>
        </w:rPr>
      </w:pPr>
      <w:r>
        <w:rPr>
          <w:noProof/>
        </w:rPr>
        <w:t xml:space="preserve">Седми транш (безвъзмездна помощ) </w:t>
      </w:r>
    </w:p>
    <w:tbl>
      <w:tblPr>
        <w:tblW w:w="9882" w:type="dxa"/>
        <w:tblInd w:w="113" w:type="dxa"/>
        <w:tblLook w:val="04A0" w:firstRow="1" w:lastRow="0" w:firstColumn="1" w:lastColumn="0" w:noHBand="0" w:noVBand="1"/>
      </w:tblPr>
      <w:tblGrid>
        <w:gridCol w:w="928"/>
        <w:gridCol w:w="1351"/>
        <w:gridCol w:w="1230"/>
        <w:gridCol w:w="6485"/>
      </w:tblGrid>
      <w:tr>
        <w:trPr>
          <w:trHeight w:val="906"/>
          <w:tblHeader/>
        </w:trPr>
        <w:tc>
          <w:tcPr>
            <w:tcW w:w="928"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line="240" w:lineRule="auto"/>
              <w:jc w:val="center"/>
              <w:rPr>
                <w:rFonts w:ascii="Times New Roman" w:eastAsia="Times New Roman" w:hAnsi="Times New Roman" w:cs="Times New Roman"/>
                <w:b/>
                <w:noProof/>
                <w:sz w:val="20"/>
                <w:szCs w:val="20"/>
              </w:rPr>
            </w:pPr>
            <w:r>
              <w:rPr>
                <w:rFonts w:ascii="Times New Roman" w:hAnsi="Times New Roman"/>
                <w:b/>
                <w:bCs/>
                <w:noProof/>
                <w:sz w:val="20"/>
                <w:szCs w:val="20"/>
              </w:rPr>
              <w:t>Номер</w:t>
            </w:r>
          </w:p>
        </w:tc>
        <w:tc>
          <w:tcPr>
            <w:tcW w:w="1239"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line="240" w:lineRule="auto"/>
              <w:jc w:val="center"/>
              <w:rPr>
                <w:rFonts w:ascii="Times New Roman" w:eastAsia="Times New Roman" w:hAnsi="Times New Roman" w:cs="Times New Roman"/>
                <w:b/>
                <w:noProof/>
                <w:sz w:val="20"/>
                <w:szCs w:val="20"/>
              </w:rPr>
            </w:pPr>
            <w:r>
              <w:rPr>
                <w:rFonts w:ascii="Times New Roman" w:hAnsi="Times New Roman"/>
                <w:b/>
                <w:bCs/>
                <w:noProof/>
                <w:sz w:val="20"/>
                <w:szCs w:val="20"/>
              </w:rPr>
              <w:t>Свързана мярка (реформа или инвестиция)</w:t>
            </w:r>
          </w:p>
        </w:tc>
        <w:tc>
          <w:tcPr>
            <w:tcW w:w="1230"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line="240" w:lineRule="auto"/>
              <w:jc w:val="center"/>
              <w:rPr>
                <w:rFonts w:ascii="Times New Roman" w:eastAsia="Times New Roman" w:hAnsi="Times New Roman" w:cs="Times New Roman"/>
                <w:b/>
                <w:noProof/>
                <w:sz w:val="20"/>
                <w:szCs w:val="20"/>
              </w:rPr>
            </w:pPr>
            <w:r>
              <w:rPr>
                <w:rFonts w:ascii="Times New Roman" w:hAnsi="Times New Roman"/>
                <w:b/>
                <w:bCs/>
                <w:noProof/>
                <w:sz w:val="20"/>
                <w:szCs w:val="20"/>
              </w:rPr>
              <w:t>Ключов етап /Цел</w:t>
            </w:r>
          </w:p>
        </w:tc>
        <w:tc>
          <w:tcPr>
            <w:tcW w:w="6485" w:type="dxa"/>
            <w:vMerge w:val="restart"/>
            <w:tcBorders>
              <w:top w:val="single" w:sz="4" w:space="0" w:color="auto"/>
              <w:left w:val="nil"/>
              <w:bottom w:val="single" w:sz="4" w:space="0" w:color="000000" w:themeColor="text1"/>
              <w:right w:val="single" w:sz="4" w:space="0" w:color="auto"/>
            </w:tcBorders>
            <w:shd w:val="clear" w:color="auto" w:fill="BDD7EE"/>
            <w:vAlign w:val="center"/>
            <w:hideMark/>
          </w:tcPr>
          <w:p>
            <w:pPr>
              <w:spacing w:after="0" w:line="240" w:lineRule="auto"/>
              <w:jc w:val="center"/>
              <w:rPr>
                <w:rFonts w:ascii="Times New Roman" w:eastAsia="Times New Roman" w:hAnsi="Times New Roman" w:cs="Times New Roman"/>
                <w:b/>
                <w:noProof/>
                <w:sz w:val="20"/>
                <w:szCs w:val="20"/>
              </w:rPr>
            </w:pPr>
            <w:r>
              <w:rPr>
                <w:rFonts w:ascii="Times New Roman" w:hAnsi="Times New Roman"/>
                <w:b/>
                <w:bCs/>
                <w:noProof/>
                <w:sz w:val="20"/>
                <w:szCs w:val="20"/>
              </w:rPr>
              <w:t>Наименование</w:t>
            </w:r>
          </w:p>
        </w:tc>
      </w:tr>
      <w:tr>
        <w:trPr>
          <w:trHeight w:val="230"/>
          <w:tblHeader/>
        </w:trPr>
        <w:tc>
          <w:tcPr>
            <w:tcW w:w="928"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20"/>
                <w:szCs w:val="20"/>
                <w:lang w:val="en-IE" w:eastAsia="en-GB"/>
              </w:rPr>
            </w:pPr>
          </w:p>
        </w:tc>
        <w:tc>
          <w:tcPr>
            <w:tcW w:w="1239"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20"/>
                <w:szCs w:val="20"/>
                <w:lang w:val="en-IE" w:eastAsia="en-GB"/>
              </w:rPr>
            </w:pPr>
          </w:p>
        </w:tc>
        <w:tc>
          <w:tcPr>
            <w:tcW w:w="1230"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20"/>
                <w:szCs w:val="20"/>
                <w:lang w:val="en-IE" w:eastAsia="en-GB"/>
              </w:rPr>
            </w:pPr>
          </w:p>
        </w:tc>
        <w:tc>
          <w:tcPr>
            <w:tcW w:w="6485" w:type="dxa"/>
            <w:vMerge/>
            <w:tcBorders>
              <w:top w:val="single" w:sz="4" w:space="0" w:color="auto"/>
              <w:left w:val="nil"/>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20"/>
                <w:szCs w:val="20"/>
                <w:lang w:val="en-IE" w:eastAsia="en-GB"/>
              </w:rPr>
            </w:pP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hideMark/>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7</w:t>
            </w:r>
          </w:p>
        </w:tc>
        <w:tc>
          <w:tcPr>
            <w:tcW w:w="1239" w:type="dxa"/>
            <w:tcBorders>
              <w:top w:val="nil"/>
              <w:left w:val="nil"/>
              <w:bottom w:val="single" w:sz="4" w:space="0" w:color="auto"/>
              <w:right w:val="single" w:sz="4" w:space="0" w:color="auto"/>
            </w:tcBorders>
            <w:shd w:val="clear" w:color="auto" w:fill="C6EFCE"/>
            <w:noWrap/>
            <w:vAlign w:val="center"/>
            <w:hideMark/>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C1.I1</w:t>
            </w:r>
          </w:p>
        </w:tc>
        <w:tc>
          <w:tcPr>
            <w:tcW w:w="1230" w:type="dxa"/>
            <w:tcBorders>
              <w:top w:val="nil"/>
              <w:left w:val="nil"/>
              <w:bottom w:val="single" w:sz="4" w:space="0" w:color="auto"/>
              <w:right w:val="single" w:sz="4" w:space="0" w:color="auto"/>
            </w:tcBorders>
            <w:shd w:val="clear" w:color="auto" w:fill="C6EFCE"/>
            <w:noWrap/>
            <w:vAlign w:val="center"/>
            <w:hideMark/>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hideMark/>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Бюджет, изразходван за покупки или отпуснат от общините с цел насърчаване на устойчивата мобилност</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hideMark/>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8</w:t>
            </w:r>
          </w:p>
        </w:tc>
        <w:tc>
          <w:tcPr>
            <w:tcW w:w="1239" w:type="dxa"/>
            <w:tcBorders>
              <w:top w:val="nil"/>
              <w:left w:val="nil"/>
              <w:bottom w:val="single" w:sz="4" w:space="0" w:color="auto"/>
              <w:right w:val="single" w:sz="4" w:space="0" w:color="auto"/>
            </w:tcBorders>
            <w:shd w:val="clear" w:color="auto" w:fill="C6EFCE"/>
            <w:noWrap/>
            <w:vAlign w:val="center"/>
            <w:hideMark/>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C1.I1</w:t>
            </w:r>
          </w:p>
        </w:tc>
        <w:tc>
          <w:tcPr>
            <w:tcW w:w="1230" w:type="dxa"/>
            <w:tcBorders>
              <w:top w:val="nil"/>
              <w:left w:val="nil"/>
              <w:bottom w:val="single" w:sz="4" w:space="0" w:color="auto"/>
              <w:right w:val="single" w:sz="4" w:space="0" w:color="auto"/>
            </w:tcBorders>
            <w:shd w:val="clear" w:color="auto" w:fill="C6EFCE"/>
            <w:noWrap/>
            <w:vAlign w:val="center"/>
            <w:hideMark/>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hideMark/>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Възлагане на проекти за подобряване на новите форми на мобилност по държавните пътища</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17</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C1.I3</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 xml:space="preserve">Кумулативен бюджет, отпуснат за инвестиции в железопътни линии на къси разстояния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36</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C2.I5</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Завършване на санирането на обществени сгради, постигане на средно намаление от най-малко 30 % на търсенето на първична енергия (най-малко 290 000 m</w:t>
            </w:r>
            <w:r>
              <w:rPr>
                <w:rFonts w:ascii="Times New Roman" w:hAnsi="Times New Roman"/>
                <w:bCs/>
                <w:noProof/>
                <w:color w:val="000000"/>
                <w:sz w:val="18"/>
                <w:szCs w:val="18"/>
              </w:rPr>
              <w:t>²</w:t>
            </w:r>
            <w:r>
              <w:rPr>
                <w:rFonts w:ascii="Times New Roman" w:hAnsi="Times New Roman"/>
                <w:noProof/>
                <w:color w:val="000000"/>
                <w:sz w:val="18"/>
                <w:szCs w:val="18"/>
              </w:rPr>
              <w:t>)</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71</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C4.I3</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 xml:space="preserve">Действия за възстановяване на екосистемите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86</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C6.I1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 xml:space="preserve">Основна мрежа TEN-T: напредък на строителните работи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89</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C6.I2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Неосновна мрежа TEN-T: напредък по отношение на железопътните дейности</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90</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C6.I2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Единно европейско небе: възложени проекти и напредък по завършването на проектите</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91</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C6.I2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Цифровизация на Министерството на транспорта, мобилността и програмата за градовете</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96</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C6.I3</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 xml:space="preserve">Изпълнение на бюджета за интермодална и логистична инфраструктура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100</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C6.I4</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Устойчив и цифров транспорт: начало на строителните работи,</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119</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C7.I2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Приключване на проекти в подкрепа на енергийния преход на островите</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150</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C11.R1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Стабилизиране на публичната заетост</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170</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C11.I4</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Обновяване на превозни средства в публичната администрация</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171</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C11.I4</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Енергийно саниране на обществени сгради (140 000 m</w:t>
            </w:r>
            <w:r>
              <w:rPr>
                <w:rFonts w:ascii="Times New Roman" w:hAnsi="Times New Roman"/>
                <w:bCs/>
                <w:noProof/>
                <w:color w:val="000000"/>
                <w:sz w:val="18"/>
                <w:szCs w:val="18"/>
              </w:rPr>
              <w:t>²</w:t>
            </w:r>
            <w:r>
              <w:rPr>
                <w:rFonts w:ascii="Times New Roman" w:hAnsi="Times New Roman"/>
                <w:noProof/>
                <w:color w:val="000000"/>
                <w:sz w:val="18"/>
                <w:szCs w:val="18"/>
              </w:rPr>
              <w:t>)</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185</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C12.I2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 xml:space="preserve">Изпълнение на бюджета на PERTE и иновативни проекти за трансформация на промишлеността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208</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C13.I3</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Приключване на програмата „Цифров инструментариум“</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211</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C13.I4</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Действия за модернизация на общинските пазари или търговските зони</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212</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C13.I4</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Модернизиране на пазарната инфраструктура в малките общини</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213</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C13.I5</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Дружества, участващи в проекти в подкрепа на тяхната интернационализация</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220</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C14.I1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Изпълнение на планове за насърчаване на устойчивостта на туризма в тяхната дестинация.</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225</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C14.I4</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Проекти, насочени към търговски зони, разположени в местни райони с голям приток на туристи</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262</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C17.I3</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Одобряване на проекти за научни изследвания и иновации, при които най-малко 35 % са свързани с екологичния и цифровия преход</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263</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C17.I4</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 xml:space="preserve">Подкрепа за научноизследователска кариера чрез стипендии и безвъзмездни средства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266</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C17.I5</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Подкрепа за новосъздадени предприятия, основани на технологии, за изпълнение на техния бизнес план.</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287</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C19.I1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Приключване на действия за подобряване на цифровия капацитет</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290</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C19.I2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Приключване на действията за цифровата трансформация на образованието</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293</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C19.I4</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 xml:space="preserve">Програми за стипендии за таланти в областта на цифровите технологии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297</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C20.I1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 xml:space="preserve">Нови единици на компетентност в Националния каталог на професионалните квалификации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298</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C20.I1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 xml:space="preserve">Модулни обучения за повишаване на квалификацията и преквалификация на заетите и безработните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299</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C20.I2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Центрове за високи постижения и иновации в професионалното обучение</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301</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C20.I3</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 xml:space="preserve">Двуезични цикли на професионално обучение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302</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C20.I3</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Нови места за ПОО в сравнение с края на 2020 г.</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305</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C21.R2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 xml:space="preserve">Материали за насочване и подпомагане на учителите при прилагането на новата учебна програма и обучение на специалисти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309</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C21.I1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 xml:space="preserve">Нови места за първия цикъл на образованието в ранна детска възраст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310</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C21.I2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 xml:space="preserve">Подкрепа за училищата по програмата PROA+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311</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C21.I3</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 xml:space="preserve">Екипи за придружаване и ориентиране за уязвими ученици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328</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C22.I5</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 xml:space="preserve">Капацитет на системата за приемане на мигранти и кандидати за международна закрила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351</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C23.I7</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Оценка на обхвата, ефективността и успеха на схемите за минимален доход</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lang w:eastAsia="en-GB"/>
              </w:rPr>
            </w:pPr>
          </w:p>
        </w:tc>
        <w:tc>
          <w:tcPr>
            <w:tcW w:w="1239" w:type="dxa"/>
            <w:tcBorders>
              <w:top w:val="single" w:sz="4" w:space="0" w:color="auto"/>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lang w:eastAsia="en-GB"/>
              </w:rPr>
            </w:pPr>
          </w:p>
        </w:tc>
        <w:tc>
          <w:tcPr>
            <w:tcW w:w="1230" w:type="dxa"/>
            <w:tcBorders>
              <w:top w:val="single" w:sz="4" w:space="0" w:color="auto"/>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6100"/>
                <w:sz w:val="20"/>
                <w:szCs w:val="20"/>
              </w:rPr>
              <w:t>Размер на вноската</w:t>
            </w:r>
          </w:p>
        </w:tc>
        <w:tc>
          <w:tcPr>
            <w:tcW w:w="6485" w:type="dxa"/>
            <w:tcBorders>
              <w:top w:val="single" w:sz="4" w:space="0" w:color="auto"/>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6100"/>
                <w:sz w:val="20"/>
                <w:szCs w:val="20"/>
              </w:rPr>
              <w:t xml:space="preserve">3 995 348 232 EUR </w:t>
            </w:r>
          </w:p>
        </w:tc>
      </w:tr>
    </w:tbl>
    <w:p>
      <w:pPr>
        <w:pStyle w:val="Text1"/>
        <w:rPr>
          <w:noProof/>
          <w:lang w:val="en-IE"/>
        </w:rPr>
      </w:pPr>
    </w:p>
    <w:p>
      <w:pPr>
        <w:pStyle w:val="NumPar2"/>
        <w:keepNext/>
        <w:rPr>
          <w:noProof/>
        </w:rPr>
      </w:pPr>
      <w:r>
        <w:rPr>
          <w:noProof/>
        </w:rPr>
        <w:t xml:space="preserve">Осми транш (безвъзмездна помощ) </w:t>
      </w:r>
    </w:p>
    <w:tbl>
      <w:tblPr>
        <w:tblW w:w="9882" w:type="dxa"/>
        <w:tblInd w:w="113" w:type="dxa"/>
        <w:tblLook w:val="04A0" w:firstRow="1" w:lastRow="0" w:firstColumn="1" w:lastColumn="0" w:noHBand="0" w:noVBand="1"/>
      </w:tblPr>
      <w:tblGrid>
        <w:gridCol w:w="928"/>
        <w:gridCol w:w="1351"/>
        <w:gridCol w:w="1230"/>
        <w:gridCol w:w="6485"/>
      </w:tblGrid>
      <w:tr>
        <w:trPr>
          <w:trHeight w:val="906"/>
          <w:tblHeader/>
        </w:trPr>
        <w:tc>
          <w:tcPr>
            <w:tcW w:w="928"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keepNext/>
              <w:spacing w:after="0" w:line="240" w:lineRule="auto"/>
              <w:jc w:val="center"/>
              <w:rPr>
                <w:rFonts w:ascii="Times New Roman" w:eastAsia="Times New Roman" w:hAnsi="Times New Roman" w:cs="Times New Roman"/>
                <w:b/>
                <w:noProof/>
                <w:sz w:val="20"/>
                <w:szCs w:val="20"/>
              </w:rPr>
            </w:pPr>
            <w:r>
              <w:rPr>
                <w:rFonts w:ascii="Times New Roman" w:hAnsi="Times New Roman"/>
                <w:b/>
                <w:bCs/>
                <w:noProof/>
                <w:sz w:val="20"/>
                <w:szCs w:val="20"/>
              </w:rPr>
              <w:t>Номер</w:t>
            </w:r>
          </w:p>
        </w:tc>
        <w:tc>
          <w:tcPr>
            <w:tcW w:w="1239"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keepNext/>
              <w:spacing w:after="0" w:line="240" w:lineRule="auto"/>
              <w:jc w:val="center"/>
              <w:rPr>
                <w:rFonts w:ascii="Times New Roman" w:eastAsia="Times New Roman" w:hAnsi="Times New Roman" w:cs="Times New Roman"/>
                <w:b/>
                <w:noProof/>
                <w:sz w:val="20"/>
                <w:szCs w:val="20"/>
              </w:rPr>
            </w:pPr>
            <w:r>
              <w:rPr>
                <w:rFonts w:ascii="Times New Roman" w:hAnsi="Times New Roman"/>
                <w:b/>
                <w:bCs/>
                <w:noProof/>
                <w:sz w:val="20"/>
                <w:szCs w:val="20"/>
              </w:rPr>
              <w:t>Свързана мярка (реформа или инвестиция)</w:t>
            </w:r>
          </w:p>
        </w:tc>
        <w:tc>
          <w:tcPr>
            <w:tcW w:w="1230"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keepNext/>
              <w:spacing w:after="0" w:line="240" w:lineRule="auto"/>
              <w:jc w:val="center"/>
              <w:rPr>
                <w:rFonts w:ascii="Times New Roman" w:eastAsia="Times New Roman" w:hAnsi="Times New Roman" w:cs="Times New Roman"/>
                <w:b/>
                <w:noProof/>
                <w:sz w:val="20"/>
                <w:szCs w:val="20"/>
              </w:rPr>
            </w:pPr>
            <w:r>
              <w:rPr>
                <w:rFonts w:ascii="Times New Roman" w:hAnsi="Times New Roman"/>
                <w:b/>
                <w:bCs/>
                <w:noProof/>
                <w:sz w:val="20"/>
                <w:szCs w:val="20"/>
              </w:rPr>
              <w:t>Ключов етап /Цел</w:t>
            </w:r>
          </w:p>
        </w:tc>
        <w:tc>
          <w:tcPr>
            <w:tcW w:w="6485" w:type="dxa"/>
            <w:vMerge w:val="restart"/>
            <w:tcBorders>
              <w:top w:val="single" w:sz="4" w:space="0" w:color="auto"/>
              <w:left w:val="nil"/>
              <w:bottom w:val="single" w:sz="4" w:space="0" w:color="000000" w:themeColor="text1"/>
              <w:right w:val="single" w:sz="4" w:space="0" w:color="auto"/>
            </w:tcBorders>
            <w:shd w:val="clear" w:color="auto" w:fill="BDD7EE"/>
            <w:vAlign w:val="center"/>
            <w:hideMark/>
          </w:tcPr>
          <w:p>
            <w:pPr>
              <w:keepNext/>
              <w:spacing w:after="0" w:line="240" w:lineRule="auto"/>
              <w:jc w:val="center"/>
              <w:rPr>
                <w:rFonts w:ascii="Times New Roman" w:eastAsia="Times New Roman" w:hAnsi="Times New Roman" w:cs="Times New Roman"/>
                <w:b/>
                <w:noProof/>
                <w:sz w:val="20"/>
                <w:szCs w:val="20"/>
              </w:rPr>
            </w:pPr>
            <w:r>
              <w:rPr>
                <w:rFonts w:ascii="Times New Roman" w:hAnsi="Times New Roman"/>
                <w:b/>
                <w:bCs/>
                <w:noProof/>
                <w:sz w:val="20"/>
                <w:szCs w:val="20"/>
              </w:rPr>
              <w:t>Наименование</w:t>
            </w:r>
          </w:p>
        </w:tc>
      </w:tr>
      <w:tr>
        <w:trPr>
          <w:trHeight w:val="230"/>
          <w:tblHeader/>
        </w:trPr>
        <w:tc>
          <w:tcPr>
            <w:tcW w:w="928" w:type="dxa"/>
            <w:vMerge/>
            <w:tcBorders>
              <w:top w:val="single" w:sz="4" w:space="0" w:color="auto"/>
              <w:left w:val="single" w:sz="4" w:space="0" w:color="auto"/>
              <w:bottom w:val="single" w:sz="4" w:space="0" w:color="000000"/>
              <w:right w:val="single" w:sz="4" w:space="0" w:color="auto"/>
            </w:tcBorders>
            <w:vAlign w:val="center"/>
            <w:hideMark/>
          </w:tcPr>
          <w:p>
            <w:pPr>
              <w:keepNext/>
              <w:spacing w:after="0" w:line="240" w:lineRule="auto"/>
              <w:rPr>
                <w:rFonts w:ascii="Times New Roman" w:eastAsia="Times New Roman" w:hAnsi="Times New Roman" w:cs="Times New Roman"/>
                <w:b/>
                <w:bCs/>
                <w:noProof/>
                <w:sz w:val="20"/>
                <w:szCs w:val="20"/>
                <w:lang w:val="en-IE" w:eastAsia="en-GB"/>
              </w:rPr>
            </w:pPr>
          </w:p>
        </w:tc>
        <w:tc>
          <w:tcPr>
            <w:tcW w:w="1239" w:type="dxa"/>
            <w:vMerge/>
            <w:tcBorders>
              <w:top w:val="single" w:sz="4" w:space="0" w:color="auto"/>
              <w:left w:val="single" w:sz="4" w:space="0" w:color="auto"/>
              <w:bottom w:val="single" w:sz="4" w:space="0" w:color="000000"/>
              <w:right w:val="single" w:sz="4" w:space="0" w:color="auto"/>
            </w:tcBorders>
            <w:vAlign w:val="center"/>
            <w:hideMark/>
          </w:tcPr>
          <w:p>
            <w:pPr>
              <w:keepNext/>
              <w:spacing w:after="0" w:line="240" w:lineRule="auto"/>
              <w:rPr>
                <w:rFonts w:ascii="Times New Roman" w:eastAsia="Times New Roman" w:hAnsi="Times New Roman" w:cs="Times New Roman"/>
                <w:b/>
                <w:bCs/>
                <w:noProof/>
                <w:sz w:val="20"/>
                <w:szCs w:val="20"/>
                <w:lang w:val="en-IE" w:eastAsia="en-GB"/>
              </w:rPr>
            </w:pPr>
          </w:p>
        </w:tc>
        <w:tc>
          <w:tcPr>
            <w:tcW w:w="1230" w:type="dxa"/>
            <w:vMerge/>
            <w:tcBorders>
              <w:top w:val="single" w:sz="4" w:space="0" w:color="auto"/>
              <w:left w:val="single" w:sz="4" w:space="0" w:color="auto"/>
              <w:bottom w:val="single" w:sz="4" w:space="0" w:color="000000"/>
              <w:right w:val="single" w:sz="4" w:space="0" w:color="auto"/>
            </w:tcBorders>
            <w:vAlign w:val="center"/>
            <w:hideMark/>
          </w:tcPr>
          <w:p>
            <w:pPr>
              <w:keepNext/>
              <w:spacing w:after="0" w:line="240" w:lineRule="auto"/>
              <w:rPr>
                <w:rFonts w:ascii="Times New Roman" w:eastAsia="Times New Roman" w:hAnsi="Times New Roman" w:cs="Times New Roman"/>
                <w:b/>
                <w:bCs/>
                <w:noProof/>
                <w:sz w:val="20"/>
                <w:szCs w:val="20"/>
                <w:lang w:val="en-IE" w:eastAsia="en-GB"/>
              </w:rPr>
            </w:pPr>
          </w:p>
        </w:tc>
        <w:tc>
          <w:tcPr>
            <w:tcW w:w="6485" w:type="dxa"/>
            <w:vMerge/>
            <w:tcBorders>
              <w:top w:val="single" w:sz="4" w:space="0" w:color="auto"/>
              <w:left w:val="nil"/>
              <w:bottom w:val="single" w:sz="4" w:space="0" w:color="000000"/>
              <w:right w:val="single" w:sz="4" w:space="0" w:color="auto"/>
            </w:tcBorders>
            <w:vAlign w:val="center"/>
            <w:hideMark/>
          </w:tcPr>
          <w:p>
            <w:pPr>
              <w:keepNext/>
              <w:spacing w:after="0" w:line="240" w:lineRule="auto"/>
              <w:rPr>
                <w:rFonts w:ascii="Times New Roman" w:eastAsia="Times New Roman" w:hAnsi="Times New Roman" w:cs="Times New Roman"/>
                <w:b/>
                <w:bCs/>
                <w:noProof/>
                <w:sz w:val="20"/>
                <w:szCs w:val="20"/>
                <w:lang w:val="en-IE" w:eastAsia="en-GB"/>
              </w:rPr>
            </w:pP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hideMark/>
          </w:tcPr>
          <w:p>
            <w:pPr>
              <w:keepNext/>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9</w:t>
            </w:r>
          </w:p>
        </w:tc>
        <w:tc>
          <w:tcPr>
            <w:tcW w:w="1239" w:type="dxa"/>
            <w:tcBorders>
              <w:top w:val="nil"/>
              <w:left w:val="nil"/>
              <w:bottom w:val="single" w:sz="4" w:space="0" w:color="auto"/>
              <w:right w:val="single" w:sz="4" w:space="0" w:color="auto"/>
            </w:tcBorders>
            <w:shd w:val="clear" w:color="auto" w:fill="C6EFCE"/>
            <w:noWrap/>
            <w:vAlign w:val="center"/>
            <w:hideMark/>
          </w:tcPr>
          <w:p>
            <w:pPr>
              <w:keepNext/>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C1.I1</w:t>
            </w:r>
          </w:p>
        </w:tc>
        <w:tc>
          <w:tcPr>
            <w:tcW w:w="1230" w:type="dxa"/>
            <w:tcBorders>
              <w:top w:val="nil"/>
              <w:left w:val="nil"/>
              <w:bottom w:val="single" w:sz="4" w:space="0" w:color="auto"/>
              <w:right w:val="single" w:sz="4" w:space="0" w:color="auto"/>
            </w:tcBorders>
            <w:shd w:val="clear" w:color="auto" w:fill="C6EFCE"/>
            <w:noWrap/>
            <w:vAlign w:val="center"/>
            <w:hideMark/>
          </w:tcPr>
          <w:p>
            <w:pPr>
              <w:keepNext/>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hideMark/>
          </w:tcPr>
          <w:p>
            <w:pPr>
              <w:keepNext/>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Приключени проекти за насърчаване на устойчивата мобилност, включително в градските и метрополните региони</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hideMark/>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10</w:t>
            </w:r>
          </w:p>
        </w:tc>
        <w:tc>
          <w:tcPr>
            <w:tcW w:w="1239" w:type="dxa"/>
            <w:tcBorders>
              <w:top w:val="nil"/>
              <w:left w:val="nil"/>
              <w:bottom w:val="single" w:sz="4" w:space="0" w:color="auto"/>
              <w:right w:val="single" w:sz="4" w:space="0" w:color="auto"/>
            </w:tcBorders>
            <w:shd w:val="clear" w:color="auto" w:fill="C6EFCE"/>
            <w:noWrap/>
            <w:vAlign w:val="center"/>
            <w:hideMark/>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C1.I1</w:t>
            </w:r>
          </w:p>
        </w:tc>
        <w:tc>
          <w:tcPr>
            <w:tcW w:w="1230" w:type="dxa"/>
            <w:tcBorders>
              <w:top w:val="nil"/>
              <w:left w:val="nil"/>
              <w:bottom w:val="single" w:sz="4" w:space="0" w:color="auto"/>
              <w:right w:val="single" w:sz="4" w:space="0" w:color="auto"/>
            </w:tcBorders>
            <w:shd w:val="clear" w:color="auto" w:fill="C6EFCE"/>
            <w:noWrap/>
            <w:vAlign w:val="center"/>
            <w:hideMark/>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hideMark/>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Подобряване на държавните пътища в градските райони с цел насърчаване на нови форми на мобилност</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hideMark/>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13</w:t>
            </w:r>
          </w:p>
        </w:tc>
        <w:tc>
          <w:tcPr>
            <w:tcW w:w="1239" w:type="dxa"/>
            <w:tcBorders>
              <w:top w:val="nil"/>
              <w:left w:val="nil"/>
              <w:bottom w:val="single" w:sz="4" w:space="0" w:color="auto"/>
              <w:right w:val="single" w:sz="4" w:space="0" w:color="auto"/>
            </w:tcBorders>
            <w:shd w:val="clear" w:color="auto" w:fill="C6EFCE"/>
            <w:noWrap/>
            <w:vAlign w:val="center"/>
            <w:hideMark/>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C1.I2</w:t>
            </w:r>
          </w:p>
        </w:tc>
        <w:tc>
          <w:tcPr>
            <w:tcW w:w="1230" w:type="dxa"/>
            <w:tcBorders>
              <w:top w:val="nil"/>
              <w:left w:val="nil"/>
              <w:bottom w:val="single" w:sz="4" w:space="0" w:color="auto"/>
              <w:right w:val="single" w:sz="4" w:space="0" w:color="auto"/>
            </w:tcBorders>
            <w:shd w:val="clear" w:color="auto" w:fill="C6EFCE"/>
            <w:noWrap/>
            <w:vAlign w:val="center"/>
            <w:hideMark/>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hideMark/>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Приключване на иновационни проекти за насърчаване на електромобилността</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18</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C1.I3</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 xml:space="preserve">Модернизирани железопътни линии на къси разстояния (Cercanías)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19</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C1.I3</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 xml:space="preserve">Подобряване на гарите в резултат на цифровизацията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20</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C1.I3</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 xml:space="preserve">Подобрени гари по линните „Cercanías“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28</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C2.I1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Хектари земя в райони или квартали, които подлежат на обновяване, със средно намаление от най-малко 30 % на търсенето на първична енергия</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29</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C2.I1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 xml:space="preserve">Приключване на дейности по саниране на жилищни сгради, постигане на средно намаление от най-малко 30 % на търсенето на първична енергия (най-малко 510 000 действия в най-малко 355 000 отделни жилища)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31</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C2.I2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Нови жилища, построени за социални жилища, или на достъпни цени в съответствие с критериите за енергийна ефективност</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33</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C2.I3</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 xml:space="preserve">Приключване на санирането на жилищни и нежилищни сгради, постигане на средно намаление от най-малко 30 % на търсенето на първична енергия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34</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C2.I4</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 xml:space="preserve">Саниране на жилищни сгради в общини с по-малко от 5 000 жители, като се постигне средно намаление от най-малко 30 % на търсенето на първична енергия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35</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C2.I4</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 xml:space="preserve">Проекти за чиста енергия в общини с по-малко от 5 000 жители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37</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C2.I5</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Завършване на санирането на обществени сгради, постигане на средно намаление от най-малко 30 % на търсенето на първична енергия (най-малко 1 230 000 m</w:t>
            </w:r>
            <w:r>
              <w:rPr>
                <w:rFonts w:ascii="Times New Roman" w:hAnsi="Times New Roman"/>
                <w:bCs/>
                <w:noProof/>
                <w:color w:val="000000"/>
                <w:sz w:val="18"/>
                <w:szCs w:val="18"/>
              </w:rPr>
              <w:t>²</w:t>
            </w:r>
            <w:r>
              <w:rPr>
                <w:rFonts w:ascii="Times New Roman" w:hAnsi="Times New Roman"/>
                <w:noProof/>
                <w:color w:val="000000"/>
                <w:sz w:val="18"/>
                <w:szCs w:val="18"/>
              </w:rPr>
              <w:t>)</w:t>
            </w:r>
            <w:r>
              <w:rPr>
                <w:rFonts w:ascii="Times New Roman" w:hAnsi="Times New Roman"/>
                <w:bCs/>
                <w:noProof/>
                <w:color w:val="000000"/>
                <w:sz w:val="18"/>
                <w:szCs w:val="18"/>
              </w:rPr>
              <w:t xml:space="preserve">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48</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C3.I1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 xml:space="preserve">Модернизиране на напоителните системи по отношение на икономията на вода и енергийната ефективност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52</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C3.I4</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 xml:space="preserve">Завършени проекти за прецизно земеделие, енергийна ефективност, кръгова икономика и използване на енергия от възобновяеми източници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66</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C4.I1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Завършване на актуализациите и модернизирането на противопожарните въздухоплавателни средства и привеждане в действие на системата за мониторинг и управление на знанията за биологичното разнообразие</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68</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C4.I2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 xml:space="preserve">Морски защитени територии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69</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C4.I2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Действия за опазване на биологичното разнообразие</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72</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C4.I3</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Завършване на санирането на бивши мини (най-малко 30 бивши мини)</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87</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C6.I1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 xml:space="preserve">Основна мрежа TEN-T: довършване на строителните работи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92</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C6.I2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 xml:space="preserve">Нова или модернизирана мрежа TEN-T, други дейности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93</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C6.I2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Единно европейско небе: приключване на проекта</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94</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C6.I2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 xml:space="preserve">Държавна пътна мрежа, адаптирана към действащата нормативна уредба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97</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C6.I3</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 xml:space="preserve">Интермодална и логистична инфраструктура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98</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C6.I3</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 xml:space="preserve">Приключване на проекти за достъпност на железопътния транспорт и на проекти за устойчивост в пристанищата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101</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C6.I4</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Устойчив и цифров транспорт: довършване на строителните работи</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117</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C7.I1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Допълнителен производствен капацитет за иновативна енергия от възобновяеми източници или енергия с добавена стойност.</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120</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C7.I2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Допълнителен производствен капацитет за възобновяема енергия на островите.</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126</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C8.I1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 xml:space="preserve">Действащи иновативни проекти за съхранение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136</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C9.I1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Разрешен капацитет на електролизьора</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143</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C10.I1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Рехабилитирани земи в затворени въгледобивни мини или в съседни на електроцентрали райони.</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162</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C11.I1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Приключване на проекти в подкрепа на цифровата трансформация на централната публична администрация</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166</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C11.I2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Приключване на проекти в подкрепа на проектите за цифровизация на централната публична администрация</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168</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C11.I3</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Възлагане на проекти в подкрепа на цифровата трансформация на регионалните и местните публични администрации и Министерството на териториалната политика и публичната администрация</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169</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C11.I3</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Приключване на всички проекти в подкрепа на цифровата трансформация на регионалните и местните публични администрации и Министерството на териториалната политика и публичната администрация</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172</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C11.I4</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Енергийно саниране на обществени сгради (1 000 000 m</w:t>
            </w:r>
            <w:r>
              <w:rPr>
                <w:rFonts w:ascii="Times New Roman" w:hAnsi="Times New Roman"/>
                <w:bCs/>
                <w:noProof/>
                <w:color w:val="000000"/>
                <w:sz w:val="18"/>
                <w:szCs w:val="18"/>
              </w:rPr>
              <w:t>²</w:t>
            </w:r>
            <w:r>
              <w:rPr>
                <w:rFonts w:ascii="Times New Roman" w:hAnsi="Times New Roman"/>
                <w:noProof/>
                <w:color w:val="000000"/>
                <w:sz w:val="18"/>
                <w:szCs w:val="18"/>
              </w:rPr>
              <w:t xml:space="preserve">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175</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C11.I5</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 xml:space="preserve">Обучен персонал от публичната администрация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180</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C12.I1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Секторни и оперативно съвместими пространства за данни с висока стойност</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186</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C12.I2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Завършване на PERTE и иновативни проекти за трансформация на промишлеността</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188</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C12.I3</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Увеличаване на разделно събираните битови отпадъци</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209</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C13.I3</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МСП, които са приключили действия, насочени към увеличаване на използването на цифрови технологии от тях (с изключение на набор от цифрови инструменти)</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221</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C14.I1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 xml:space="preserve">Приключване на проекти за насърчаване на устойчивостта на туристическите дестинации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222</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C14.I2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Стартиране на Платформата за интелигентна дестинация на туристическия сектор.</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223</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C14.I2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Бенефициери на иновативни технологични проекти, свързани с ИИ и други базови технологии</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224</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C14.I3</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 xml:space="preserve">Бенефициери в извънболничните региони, които са приключили проекти за подобряване на конкурентоспособността си и способността си да се адаптират към промените на международните пазари.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226</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C14.I4</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 xml:space="preserve">Туристически продукти, предоставени в съответствие със стратегията за туризма.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227</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C14.I4</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Туристически обекти, които намаляват годишното си потребление на отпадъци или енергия</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228</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C14.I4</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Проекти за възстановяване на обекти на историческото наследство с настоящо или бъдещо туристическо ползване.</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237</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C15.I1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Разгръщане на свръхвисокоскоростен широколентов достъп: Приключване на проект.</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242</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C15.I5</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Подобряване на трансграничната цифрова инфраструктура: приключване на проекта</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244</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C15.I6</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Внедряване на 5G технология: Приключване на проект.</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248</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C15.I7</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Приключване на проектите в рамките на националната програма за подкрепа на сектора на киберсигурността, Програмата за иновации в областта на глобалната сигурност и свързаните с нея действия.</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252</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C16.R1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 xml:space="preserve">Посетени мисии по държави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253</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C16.R1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M</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 xml:space="preserve">Приключване на проекти в областта на изкуствения интелект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260</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C17.I2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Приключване на всички проекти за подобряване на научната инфраструктура и капацитета на испанската система за научни технологии и иновации, включително проекти за европейска и международна инфраструктура.</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264</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C17.I4</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 xml:space="preserve">Приключване на стипендии и безвъзмездни средства в подкрепа на испанската научноизследователска кариера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268</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C17.I6</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 xml:space="preserve">Приключване на всички проекти за засилване на научноизследователската дейност и иновациите в сектора на здравеопазването.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272</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C17.I9</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 xml:space="preserve">Приключване на научноизследователските и развойни проекти; Иновационни проекти в областта на авиокосмическата дейност, с акцент върху ниските и нулевите емисии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288</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C19.I1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Обучение на гражданите относно цифровите умения.</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291</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C19.I2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Предоставяне на свързани цифрови устройства в публични и публично субсидирани училища за преодоляване на „цифровото разделение“ и оборудване на минимум 240 000 класни стаи</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292</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C19.I3</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Обучение в областта на цифровите технологии за заетост</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294</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C19.I4</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Обучение на ИТ специалисти</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342</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C23.I1</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 xml:space="preserve">Хора, завършили младежките програми. </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343</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C23.I2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Хора, завършили програмата „Plan Empleo Mujer, селските и градските райони„и „Жертви на насилие, основано на пола, и трафик на хора“</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344</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C23.I3</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bCs/>
                <w:noProof/>
                <w:color w:val="000000"/>
                <w:sz w:val="18"/>
                <w:szCs w:val="18"/>
              </w:rPr>
              <w:t>Хора, завършили програми за обучение с цел придобиване на умения за цифровата, екологичната и производствената трансформация</w:t>
            </w:r>
          </w:p>
        </w:tc>
      </w:tr>
      <w:tr>
        <w:trPr>
          <w:trHeight w:val="302"/>
        </w:trPr>
        <w:tc>
          <w:tcPr>
            <w:tcW w:w="928"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hAnsi="Times New Roman" w:cs="Times New Roman"/>
                <w:bCs/>
                <w:noProof/>
                <w:color w:val="000000"/>
                <w:sz w:val="18"/>
                <w:szCs w:val="18"/>
              </w:rPr>
            </w:pPr>
            <w:r>
              <w:rPr>
                <w:rFonts w:ascii="Times New Roman" w:hAnsi="Times New Roman"/>
                <w:bCs/>
                <w:noProof/>
                <w:color w:val="000000"/>
                <w:sz w:val="18"/>
                <w:szCs w:val="18"/>
              </w:rPr>
              <w:t>373</w:t>
            </w:r>
          </w:p>
        </w:tc>
        <w:tc>
          <w:tcPr>
            <w:tcW w:w="1239"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hAnsi="Times New Roman" w:cs="Times New Roman"/>
                <w:bCs/>
                <w:noProof/>
                <w:color w:val="000000"/>
                <w:sz w:val="18"/>
                <w:szCs w:val="18"/>
              </w:rPr>
            </w:pPr>
            <w:r>
              <w:rPr>
                <w:rFonts w:ascii="Times New Roman" w:hAnsi="Times New Roman"/>
                <w:bCs/>
                <w:noProof/>
                <w:color w:val="000000"/>
                <w:sz w:val="18"/>
                <w:szCs w:val="18"/>
              </w:rPr>
              <w:t>C26.I2</w:t>
            </w:r>
          </w:p>
        </w:tc>
        <w:tc>
          <w:tcPr>
            <w:tcW w:w="1230" w:type="dxa"/>
            <w:tcBorders>
              <w:top w:val="nil"/>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hAnsi="Times New Roman" w:cs="Times New Roman"/>
                <w:noProof/>
                <w:color w:val="000000"/>
                <w:sz w:val="18"/>
                <w:szCs w:val="18"/>
              </w:rPr>
            </w:pPr>
            <w:r>
              <w:rPr>
                <w:rFonts w:ascii="Times New Roman" w:hAnsi="Times New Roman"/>
                <w:noProof/>
                <w:color w:val="000000"/>
                <w:sz w:val="18"/>
                <w:szCs w:val="18"/>
              </w:rPr>
              <w:t>T</w:t>
            </w:r>
          </w:p>
        </w:tc>
        <w:tc>
          <w:tcPr>
            <w:tcW w:w="6485" w:type="dxa"/>
            <w:tcBorders>
              <w:top w:val="nil"/>
              <w:left w:val="nil"/>
              <w:bottom w:val="single" w:sz="4" w:space="0" w:color="auto"/>
              <w:right w:val="single" w:sz="4" w:space="0" w:color="auto"/>
            </w:tcBorders>
            <w:shd w:val="clear" w:color="auto" w:fill="C6EFCE"/>
            <w:noWrap/>
            <w:vAlign w:val="center"/>
          </w:tcPr>
          <w:p>
            <w:pPr>
              <w:spacing w:after="0" w:line="240" w:lineRule="auto"/>
              <w:rPr>
                <w:rFonts w:ascii="Times New Roman" w:hAnsi="Times New Roman" w:cs="Times New Roman"/>
                <w:bCs/>
                <w:noProof/>
                <w:color w:val="000000"/>
                <w:sz w:val="18"/>
                <w:szCs w:val="18"/>
              </w:rPr>
            </w:pPr>
            <w:r>
              <w:rPr>
                <w:rFonts w:ascii="Times New Roman" w:hAnsi="Times New Roman"/>
                <w:bCs/>
                <w:noProof/>
                <w:color w:val="000000"/>
                <w:sz w:val="18"/>
                <w:szCs w:val="18"/>
              </w:rPr>
              <w:t xml:space="preserve">Обновяване и подобряване на техническите центрове за спорт и спортни съоръжения </w:t>
            </w:r>
          </w:p>
        </w:tc>
      </w:tr>
      <w:tr>
        <w:trPr>
          <w:trHeight w:val="302"/>
        </w:trPr>
        <w:tc>
          <w:tcPr>
            <w:tcW w:w="928" w:type="dxa"/>
            <w:tcBorders>
              <w:top w:val="single" w:sz="4" w:space="0" w:color="auto"/>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cs="Times New Roman"/>
                <w:noProof/>
                <w:color w:val="006100"/>
                <w:sz w:val="20"/>
                <w:szCs w:val="20"/>
                <w:lang w:eastAsia="en-GB"/>
              </w:rPr>
            </w:pPr>
          </w:p>
        </w:tc>
        <w:tc>
          <w:tcPr>
            <w:tcW w:w="1239" w:type="dxa"/>
            <w:tcBorders>
              <w:top w:val="single" w:sz="4" w:space="0" w:color="auto"/>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lang w:eastAsia="en-GB"/>
              </w:rPr>
            </w:pPr>
          </w:p>
        </w:tc>
        <w:tc>
          <w:tcPr>
            <w:tcW w:w="1230" w:type="dxa"/>
            <w:tcBorders>
              <w:top w:val="single" w:sz="4" w:space="0" w:color="auto"/>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6100"/>
                <w:sz w:val="20"/>
                <w:szCs w:val="20"/>
              </w:rPr>
              <w:t>Размер на вноската</w:t>
            </w:r>
          </w:p>
        </w:tc>
        <w:tc>
          <w:tcPr>
            <w:tcW w:w="6485" w:type="dxa"/>
            <w:tcBorders>
              <w:top w:val="single" w:sz="4" w:space="0" w:color="auto"/>
              <w:left w:val="nil"/>
              <w:bottom w:val="single" w:sz="4" w:space="0" w:color="auto"/>
              <w:right w:val="single" w:sz="4" w:space="0" w:color="auto"/>
            </w:tcBorders>
            <w:shd w:val="clear" w:color="auto" w:fill="C6EFCE"/>
            <w:noWrap/>
            <w:vAlign w:val="center"/>
          </w:tcPr>
          <w:p>
            <w:pPr>
              <w:spacing w:after="0" w:line="240" w:lineRule="auto"/>
              <w:rPr>
                <w:rFonts w:ascii="Times New Roman" w:eastAsia="Times New Roman" w:hAnsi="Times New Roman" w:cs="Times New Roman"/>
                <w:noProof/>
                <w:color w:val="006100"/>
                <w:sz w:val="20"/>
                <w:szCs w:val="20"/>
              </w:rPr>
            </w:pPr>
            <w:r>
              <w:rPr>
                <w:rFonts w:ascii="Times New Roman" w:hAnsi="Times New Roman"/>
                <w:noProof/>
                <w:color w:val="006100"/>
                <w:sz w:val="20"/>
                <w:szCs w:val="20"/>
              </w:rPr>
              <w:t xml:space="preserve">4 597 701 149 EUR </w:t>
            </w:r>
          </w:p>
        </w:tc>
      </w:tr>
    </w:tbl>
    <w:p>
      <w:pPr>
        <w:spacing w:before="120" w:after="120" w:line="240" w:lineRule="auto"/>
        <w:jc w:val="both"/>
        <w:rPr>
          <w:rFonts w:ascii="Times New Roman" w:hAnsi="Times New Roman" w:cs="Times New Roman"/>
          <w:noProof/>
          <w:sz w:val="24"/>
          <w:lang w:val="en-IE"/>
        </w:rPr>
      </w:pPr>
    </w:p>
    <w:p>
      <w:pPr>
        <w:rPr>
          <w:rFonts w:ascii="Times New Roman" w:hAnsi="Times New Roman" w:cs="Times New Roman"/>
          <w:b/>
          <w:bCs/>
          <w:noProof/>
          <w:sz w:val="28"/>
          <w:szCs w:val="28"/>
        </w:rPr>
      </w:pPr>
      <w:r>
        <w:rPr>
          <w:noProof/>
        </w:rPr>
        <w:br w:type="page"/>
      </w:r>
    </w:p>
    <w:p>
      <w:pPr>
        <w:spacing w:before="60" w:after="60" w:line="240" w:lineRule="auto"/>
        <w:rPr>
          <w:rFonts w:ascii="Times New Roman" w:hAnsi="Times New Roman" w:cs="Times New Roman"/>
          <w:b/>
          <w:noProof/>
          <w:sz w:val="28"/>
          <w:szCs w:val="28"/>
        </w:rPr>
      </w:pPr>
      <w:r>
        <w:rPr>
          <w:rFonts w:ascii="Times New Roman" w:hAnsi="Times New Roman"/>
          <w:b/>
          <w:noProof/>
          <w:sz w:val="28"/>
          <w:szCs w:val="28"/>
        </w:rPr>
        <w:t xml:space="preserve">РАЗДЕЛ 3: ДОПЪЛНИТЕЛНИ МЕРКИ </w:t>
      </w:r>
    </w:p>
    <w:p>
      <w:pPr>
        <w:pStyle w:val="NumPar1"/>
        <w:numPr>
          <w:ilvl w:val="0"/>
          <w:numId w:val="150"/>
        </w:numPr>
        <w:spacing w:before="60" w:after="60"/>
        <w:rPr>
          <w:b/>
          <w:noProof/>
        </w:rPr>
      </w:pPr>
      <w:r>
        <w:rPr>
          <w:b/>
          <w:noProof/>
          <w:sz w:val="28"/>
          <w:szCs w:val="28"/>
        </w:rPr>
        <w:t>Мерки за мониторинг и изпълнение на плана за възстановяване и устойчивост</w:t>
      </w:r>
    </w:p>
    <w:p>
      <w:pPr>
        <w:spacing w:before="60" w:after="60" w:line="240" w:lineRule="auto"/>
        <w:jc w:val="both"/>
        <w:rPr>
          <w:rFonts w:ascii="Times New Roman" w:hAnsi="Times New Roman" w:cs="Times New Roman"/>
          <w:noProof/>
          <w:sz w:val="24"/>
        </w:rPr>
      </w:pPr>
      <w:r>
        <w:rPr>
          <w:rFonts w:ascii="Times New Roman" w:hAnsi="Times New Roman"/>
          <w:noProof/>
          <w:sz w:val="24"/>
        </w:rPr>
        <w:t>Мониторингът и изпълнението на плана за възстановяване и устойчивост на Испания са определени в Кралски законодателен указ 36/2020 от 30 декември за одобряване на спешни мерки за модернизиране на публичната администрация и за изпълнение на плана за възстановяване („RDL 36/2020“).</w:t>
      </w:r>
      <w:r>
        <w:rPr>
          <w:rFonts w:ascii="Times New Roman" w:hAnsi="Times New Roman"/>
          <w:noProof/>
          <w:sz w:val="24"/>
          <w:szCs w:val="24"/>
        </w:rPr>
        <w:t xml:space="preserve"> </w:t>
      </w:r>
      <w:r>
        <w:rPr>
          <w:rFonts w:ascii="Times New Roman" w:hAnsi="Times New Roman"/>
          <w:noProof/>
          <w:sz w:val="24"/>
        </w:rPr>
        <w:t>Те се провеждат в съответствие със следните договорености:</w:t>
      </w:r>
    </w:p>
    <w:p>
      <w:pPr>
        <w:pStyle w:val="ListParagraph"/>
        <w:numPr>
          <w:ilvl w:val="0"/>
          <w:numId w:val="180"/>
        </w:numPr>
        <w:spacing w:before="60" w:after="60" w:line="240" w:lineRule="auto"/>
        <w:contextualSpacing w:val="0"/>
        <w:jc w:val="both"/>
        <w:rPr>
          <w:rFonts w:ascii="Times New Roman" w:hAnsi="Times New Roman" w:cs="Times New Roman"/>
          <w:iCs/>
          <w:noProof/>
          <w:sz w:val="24"/>
          <w:szCs w:val="24"/>
        </w:rPr>
      </w:pPr>
      <w:r>
        <w:rPr>
          <w:rFonts w:ascii="Times New Roman" w:hAnsi="Times New Roman"/>
          <w:noProof/>
          <w:sz w:val="24"/>
          <w:szCs w:val="24"/>
        </w:rPr>
        <w:t>Беше създадена Комисия за възстановяване, трансформация и устойчивост, която обединява всички министри, компетентни по плана, и ще бъде председателствана от президента на правителството. Комисията е установила общите политически насоки за разработването и изпълнението на плана за възстановяване и наблюдава неговото изпълнение. Неговата работа ще бъде подпомагана от Технически комитет, съставен от 20 членове на публичната администрация, председателстван от Генералния секретариат за европейските фондове.</w:t>
      </w:r>
    </w:p>
    <w:p>
      <w:pPr>
        <w:pStyle w:val="ListParagraph"/>
        <w:numPr>
          <w:ilvl w:val="0"/>
          <w:numId w:val="180"/>
        </w:numPr>
        <w:spacing w:before="60" w:after="60" w:line="240" w:lineRule="auto"/>
        <w:contextualSpacing w:val="0"/>
        <w:jc w:val="both"/>
        <w:rPr>
          <w:rFonts w:ascii="Times New Roman" w:hAnsi="Times New Roman" w:cs="Times New Roman"/>
          <w:iCs/>
          <w:noProof/>
          <w:sz w:val="24"/>
          <w:szCs w:val="24"/>
        </w:rPr>
      </w:pPr>
      <w:r>
        <w:rPr>
          <w:rFonts w:ascii="Times New Roman" w:hAnsi="Times New Roman"/>
          <w:noProof/>
          <w:sz w:val="24"/>
          <w:szCs w:val="24"/>
        </w:rPr>
        <w:t>Новосъздаден Генерален секретариат за европейските фондове към Министерството на финансите ще бъде отговорният орган за плана пред Европейската комисия. Този орган ще бъде от ключово значение при мониторинга на подаването на искания за плащане, които ще се основават на постигането на етапните цели и целевите стойности.</w:t>
      </w:r>
    </w:p>
    <w:p>
      <w:pPr>
        <w:pStyle w:val="ListParagraph"/>
        <w:numPr>
          <w:ilvl w:val="0"/>
          <w:numId w:val="180"/>
        </w:numPr>
        <w:spacing w:before="60" w:after="60" w:line="240" w:lineRule="auto"/>
        <w:contextualSpacing w:val="0"/>
        <w:jc w:val="both"/>
        <w:rPr>
          <w:rFonts w:ascii="Times New Roman" w:hAnsi="Times New Roman" w:cs="Times New Roman"/>
          <w:iCs/>
          <w:noProof/>
          <w:sz w:val="24"/>
          <w:szCs w:val="24"/>
        </w:rPr>
      </w:pPr>
      <w:r>
        <w:rPr>
          <w:rFonts w:ascii="Times New Roman" w:hAnsi="Times New Roman"/>
          <w:bCs/>
          <w:iCs/>
          <w:noProof/>
          <w:sz w:val="24"/>
          <w:szCs w:val="24"/>
        </w:rPr>
        <w:t>Планът включва 416 ключови етапи и цели, повечето от които се отнасят до периода 2021—2023 г. Предложените ключови етапи и цели са ясни и реалистични, а предложените показатели са уместни, приемливи и надеждни.</w:t>
      </w:r>
    </w:p>
    <w:p>
      <w:pPr>
        <w:pStyle w:val="ListParagraph"/>
        <w:numPr>
          <w:ilvl w:val="0"/>
          <w:numId w:val="180"/>
        </w:numPr>
        <w:spacing w:before="60" w:after="60" w:line="240" w:lineRule="auto"/>
        <w:contextualSpacing w:val="0"/>
        <w:jc w:val="both"/>
        <w:rPr>
          <w:rFonts w:ascii="Times New Roman" w:hAnsi="Times New Roman" w:cs="Times New Roman"/>
          <w:noProof/>
          <w:sz w:val="24"/>
          <w:szCs w:val="24"/>
        </w:rPr>
      </w:pPr>
      <w:r>
        <w:rPr>
          <w:rFonts w:ascii="Times New Roman" w:hAnsi="Times New Roman"/>
          <w:noProof/>
          <w:sz w:val="24"/>
          <w:szCs w:val="24"/>
        </w:rPr>
        <w:t>Докато Министерството, отговарящо за всяка мярка, ще отговаря за предприемането на действия за постигане на съответните етапни цели и цели в съответствие с предвидените в бюджета средства, Генералният секретариат за европейските фондове ще бъде органът, който изготвя исканията за плащане до Европейската комисия. Всяко искане за плащане се придружава от декларация за управлението въз основа на докладите, изготвени от органите, отговарящи за компонентите. Освен това главният контрольор на държавната администрация (</w:t>
      </w:r>
      <w:r>
        <w:rPr>
          <w:rFonts w:ascii="Times New Roman" w:hAnsi="Times New Roman"/>
          <w:i/>
          <w:noProof/>
          <w:sz w:val="24"/>
          <w:szCs w:val="24"/>
        </w:rPr>
        <w:t>Intervención General de la Administración del Estado</w:t>
      </w:r>
      <w:r>
        <w:rPr>
          <w:rFonts w:ascii="Times New Roman" w:hAnsi="Times New Roman"/>
          <w:noProof/>
          <w:sz w:val="24"/>
          <w:szCs w:val="24"/>
        </w:rPr>
        <w:t xml:space="preserve"> — IGAE) ще извършва проверки, за да удостовери постигането на основните етапи и целите, както и постигнатите резултати. Средствата, предназначени за изпълнението на плана, ще бъдат включени в бюджета на централното правителство.</w:t>
      </w:r>
    </w:p>
    <w:p>
      <w:pPr>
        <w:pStyle w:val="ListParagraph"/>
        <w:numPr>
          <w:ilvl w:val="0"/>
          <w:numId w:val="180"/>
        </w:numPr>
        <w:spacing w:before="60" w:after="60" w:line="240" w:lineRule="auto"/>
        <w:contextualSpacing w:val="0"/>
        <w:jc w:val="both"/>
        <w:rPr>
          <w:rFonts w:ascii="Times New Roman" w:hAnsi="Times New Roman" w:cs="Times New Roman"/>
          <w:noProof/>
          <w:sz w:val="24"/>
          <w:szCs w:val="24"/>
        </w:rPr>
      </w:pPr>
      <w:r>
        <w:rPr>
          <w:rFonts w:ascii="Times New Roman" w:hAnsi="Times New Roman"/>
          <w:noProof/>
          <w:sz w:val="24"/>
          <w:szCs w:val="24"/>
        </w:rPr>
        <w:t>Създадени са договорености за включване на ключови участници в изпълнението на плана. Създава се нова секторна конференция за плана с цел насочване на сътрудничеството между регионите, местните органи и централното управление за изпълнението на плана. Що се отнася до парламентарния контрол, в член 22 от Кралски указ-закон 36/2020 се предвижда правителството да докладва на всеки три месеца на Съвместния парламентарен комитет за Европейския съюз относно напредъка по плана за възстановяване, трансформация и устойчивост.</w:t>
      </w:r>
    </w:p>
    <w:p>
      <w:pPr>
        <w:rPr>
          <w:rFonts w:ascii="Times New Roman" w:hAnsi="Times New Roman"/>
          <w:noProof/>
          <w:sz w:val="24"/>
          <w:szCs w:val="24"/>
        </w:rPr>
      </w:pPr>
      <w:r>
        <w:rPr>
          <w:rFonts w:ascii="Times New Roman" w:hAnsi="Times New Roman"/>
          <w:noProof/>
          <w:sz w:val="24"/>
          <w:szCs w:val="24"/>
        </w:rPr>
        <w:br w:type="page"/>
      </w:r>
    </w:p>
    <w:p>
      <w:pPr>
        <w:pStyle w:val="NumPar1"/>
        <w:numPr>
          <w:ilvl w:val="0"/>
          <w:numId w:val="147"/>
        </w:numPr>
        <w:spacing w:before="60" w:after="60"/>
        <w:rPr>
          <w:b/>
          <w:noProof/>
          <w:sz w:val="28"/>
          <w:szCs w:val="28"/>
        </w:rPr>
      </w:pPr>
      <w:r>
        <w:rPr>
          <w:b/>
          <w:noProof/>
          <w:sz w:val="28"/>
          <w:szCs w:val="28"/>
        </w:rPr>
        <w:t>Ред и условия за предоставяне на пълен достъп на Комисията до основните данни</w:t>
      </w:r>
    </w:p>
    <w:p>
      <w:pPr>
        <w:spacing w:before="60" w:after="60" w:line="240" w:lineRule="auto"/>
        <w:jc w:val="both"/>
        <w:rPr>
          <w:noProof/>
          <w:sz w:val="24"/>
          <w:szCs w:val="24"/>
        </w:rPr>
      </w:pPr>
      <w:r>
        <w:rPr>
          <w:rFonts w:ascii="Times New Roman" w:hAnsi="Times New Roman"/>
          <w:noProof/>
          <w:sz w:val="24"/>
          <w:szCs w:val="24"/>
        </w:rPr>
        <w:t>Генералният секретариат за европейските фондове (Министерството на финансите), в качеството си на координатор на испанския план за възстановяване и устойчивост, отговаря за цялостното изпълнение на плановете за възстановяване и устойчивост, за осигуряването на координация с други съответни органи в страната (включително осигуряване на съгласуваност по отношение на използването на други фондове на ЕС), за наблюдението на напредъка по ключовите етапи и цели, за надзора и гарантирането на изпълнението на мерките за контрол и одит, както и за предоставянето на всички необходими доклади, исканията за плащане и придружаващата го декларация за управлението. Очаква се Генералният секретариат за европейските фондове да разчита на ИТ система, която позволява на министерствата и други изпълнителни, контролни и одитни органи да въвеждат цялата необходима информация, включително докладването на ключовите етапи и цели и показателите за мониторинг, докладите за контрол и одит и докладите за управлението на изпълнителните органи, които се очаква да послужат като основа за декларациите за управление, които да придружават исканията за плащане. Системата позволява също така записването на качествена финансова информация и други данни, като например за крайните получатели, изпълнителите, подизпълнителите и действителните собственици.</w:t>
      </w:r>
    </w:p>
    <w:p>
      <w:pPr>
        <w:spacing w:before="60" w:after="60" w:line="240" w:lineRule="auto"/>
        <w:jc w:val="both"/>
        <w:rPr>
          <w:rFonts w:ascii="Times New Roman" w:hAnsi="Times New Roman" w:cs="Times New Roman"/>
          <w:noProof/>
          <w:sz w:val="24"/>
          <w:szCs w:val="24"/>
        </w:rPr>
      </w:pPr>
      <w:r>
        <w:rPr>
          <w:rFonts w:ascii="Times New Roman" w:hAnsi="Times New Roman"/>
          <w:noProof/>
          <w:sz w:val="24"/>
          <w:szCs w:val="24"/>
        </w:rPr>
        <w:t xml:space="preserve">В съответствие с член 24, параграф 2 от Регламент (ЕС) 2021/241 след приключването на съответните договорени ключови етапи и цели в раздел 2.1 от настоящото приложение Испания представя на Комисията надлежно обосновано искане за плащане на финансовото участие. Испания гарантира, че при поискване Комисията разполага с пълен достъп до съответните основни данни, които подкрепят надлежната обосновка на искането за плащане, както за оценката на искането за плащане в съответствие с член 24, параграф 3 от Регламент (ЕС) 2021/241, така и за целите на одита и контрола. </w:t>
      </w:r>
    </w:p>
    <w:p>
      <w:pPr>
        <w:spacing w:before="60" w:after="60" w:line="240" w:lineRule="auto"/>
        <w:jc w:val="both"/>
        <w:rPr>
          <w:rFonts w:ascii="Times New Roman" w:hAnsi="Times New Roman" w:cs="Times New Roman"/>
          <w:noProof/>
          <w:sz w:val="24"/>
          <w:szCs w:val="24"/>
        </w:rPr>
      </w:pPr>
    </w:p>
    <w:p>
      <w:pPr>
        <w:spacing w:after="360"/>
        <w:jc w:val="both"/>
        <w:rPr>
          <w:rFonts w:ascii="Times New Roman" w:hAnsi="Times New Roman" w:cs="Times New Roman"/>
          <w:noProof/>
          <w:sz w:val="24"/>
          <w:szCs w:val="24"/>
        </w:rPr>
      </w:pPr>
    </w:p>
    <w:sectPr>
      <w:headerReference w:type="even" r:id="rId379"/>
      <w:headerReference w:type="default" r:id="rId380"/>
      <w:footerReference w:type="even" r:id="rId381"/>
      <w:footerReference w:type="default" r:id="rId382"/>
      <w:headerReference w:type="first" r:id="rId383"/>
      <w:footerReference w:type="first" r:id="rId384"/>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p/>
  </w:endnote>
  <w:endnote w:type="continuationSeparator" w:id="0">
    <w:p>
      <w:pPr>
        <w:spacing w:after="0" w:line="240" w:lineRule="auto"/>
      </w:pPr>
      <w:r>
        <w:continuationSeparator/>
      </w:r>
    </w:p>
    <w:p/>
  </w:endnote>
  <w:endnote w:type="continuationNotice" w:id="1">
    <w:p>
      <w:pPr>
        <w:spacing w:after="0" w:line="240" w:lineRule="auto"/>
      </w:pPr>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5136471"/>
      <w:docPartObj>
        <w:docPartGallery w:val="Page Numbers (Bottom of Page)"/>
        <w:docPartUnique/>
      </w:docPartObj>
    </w:sdtPr>
    <w:sdtEndPr>
      <w:rPr>
        <w:noProof/>
        <w:sz w:val="20"/>
        <w:szCs w:val="20"/>
      </w:rPr>
    </w:sdtEndPr>
    <w:sdtContent>
      <w:p>
        <w:pPr>
          <w:pStyle w:val="Footer"/>
          <w:jc w:val="cen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196</w:t>
        </w:r>
        <w:r>
          <w:rPr>
            <w:sz w:val="20"/>
            <w:szCs w:val="20"/>
          </w:rPr>
          <w:fldChar w:fldCharType="end"/>
        </w:r>
      </w:p>
    </w:sdtContent>
  </w:sdt>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20"/>
        <w:szCs w:val="20"/>
      </w:rPr>
    </w:pPr>
    <w:r>
      <w:rPr>
        <w:rFonts w:ascii="Arial" w:hAnsi="Arial"/>
        <w:b/>
        <w:sz w:val="48"/>
      </w:rPr>
      <w:tab/>
    </w: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203</w:t>
    </w:r>
    <w:r>
      <w:rPr>
        <w:sz w:val="20"/>
        <w:szCs w:val="20"/>
      </w:rPr>
      <w:fldChar w:fldCharType="end"/>
    </w:r>
    <w:r>
      <w:rPr>
        <w:sz w:val="20"/>
        <w:szCs w:val="20"/>
      </w:rPr>
      <w:tab/>
    </w:r>
    <w:r>
      <w:rPr>
        <w:sz w:val="20"/>
        <w:szCs w:val="20"/>
      </w:rPr>
      <w:tab/>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5747792"/>
      <w:docPartObj>
        <w:docPartGallery w:val="Page Numbers (Bottom of Page)"/>
        <w:docPartUnique/>
      </w:docPartObj>
    </w:sdtPr>
    <w:sdtEndPr>
      <w:rPr>
        <w:noProof/>
      </w:rPr>
    </w:sdtEndPr>
    <w:sdtContent>
      <w:p>
        <w:pPr>
          <w:pStyle w:val="Footer"/>
          <w:jc w:val="center"/>
        </w:pP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210</w:t>
        </w:r>
        <w:r>
          <w:rPr>
            <w:sz w:val="20"/>
            <w:szCs w:val="20"/>
          </w:rPr>
          <w:fldChar w:fldCharType="end"/>
        </w:r>
      </w:p>
    </w:sdtContent>
  </w:sdt>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6360681"/>
      <w:docPartObj>
        <w:docPartGallery w:val="Page Numbers (Bottom of Page)"/>
        <w:docPartUnique/>
      </w:docPartObj>
    </w:sdtPr>
    <w:sdtEndPr>
      <w:rPr>
        <w:noProof/>
        <w:sz w:val="20"/>
        <w:szCs w:val="20"/>
      </w:rPr>
    </w:sdtEndPr>
    <w:sdtContent>
      <w:p>
        <w:pPr>
          <w:pStyle w:val="Footer"/>
          <w:jc w:val="cen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22</w:t>
        </w:r>
        <w:r>
          <w:rPr>
            <w:sz w:val="20"/>
            <w:szCs w:val="20"/>
          </w:rPr>
          <w:fldChar w:fldCharType="end"/>
        </w:r>
      </w:p>
    </w:sdtContent>
  </w:sdt>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20"/>
        <w:szCs w:val="20"/>
      </w:rPr>
    </w:pPr>
    <w:r>
      <w:rPr>
        <w:rFonts w:ascii="Arial" w:hAnsi="Arial"/>
        <w:b/>
        <w:sz w:val="48"/>
      </w:rPr>
      <w:tab/>
    </w: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214</w:t>
    </w:r>
    <w:r>
      <w:rPr>
        <w:sz w:val="20"/>
        <w:szCs w:val="20"/>
      </w:rPr>
      <w:fldChar w:fldCharType="end"/>
    </w:r>
    <w:r>
      <w:rPr>
        <w:sz w:val="20"/>
        <w:szCs w:val="20"/>
      </w:rPr>
      <w:tab/>
    </w:r>
    <w:r>
      <w:rPr>
        <w:sz w:val="20"/>
        <w:szCs w:val="20"/>
      </w:rPr>
      <w:tab/>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8508906"/>
      <w:docPartObj>
        <w:docPartGallery w:val="Page Numbers (Bottom of Page)"/>
        <w:docPartUnique/>
      </w:docPartObj>
    </w:sdtPr>
    <w:sdtEndPr>
      <w:rPr>
        <w:noProof/>
        <w:sz w:val="20"/>
        <w:szCs w:val="20"/>
      </w:rPr>
    </w:sdtEndPr>
    <w:sdtContent>
      <w:p>
        <w:pPr>
          <w:pStyle w:val="Footer"/>
          <w:jc w:val="cen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217</w:t>
        </w:r>
        <w:r>
          <w:rPr>
            <w:sz w:val="20"/>
            <w:szCs w:val="20"/>
          </w:rPr>
          <w:fldChar w:fldCharType="end"/>
        </w:r>
      </w:p>
    </w:sdtContent>
  </w:sdt>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20"/>
        <w:szCs w:val="20"/>
      </w:rPr>
    </w:pPr>
    <w:r>
      <w:rPr>
        <w:rFonts w:ascii="Arial" w:hAnsi="Arial"/>
        <w:b/>
        <w:sz w:val="48"/>
      </w:rPr>
      <w:tab/>
    </w: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219</w:t>
    </w:r>
    <w:r>
      <w:rPr>
        <w:sz w:val="20"/>
        <w:szCs w:val="20"/>
      </w:rPr>
      <w:fldChar w:fldCharType="end"/>
    </w:r>
    <w:r>
      <w:rPr>
        <w:sz w:val="20"/>
        <w:szCs w:val="20"/>
      </w:rPr>
      <w:tab/>
    </w:r>
    <w:r>
      <w:rPr>
        <w:sz w:val="20"/>
        <w:szCs w:val="20"/>
      </w:rPr>
      <w:tab/>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4729217"/>
      <w:docPartObj>
        <w:docPartGallery w:val="Page Numbers (Bottom of Page)"/>
        <w:docPartUnique/>
      </w:docPartObj>
    </w:sdtPr>
    <w:sdtEndPr>
      <w:rPr>
        <w:noProof/>
        <w:sz w:val="20"/>
        <w:szCs w:val="20"/>
      </w:rPr>
    </w:sdtEndPr>
    <w:sdtContent>
      <w:p>
        <w:pPr>
          <w:pStyle w:val="Footer"/>
          <w:jc w:val="cen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224</w:t>
        </w:r>
        <w:r>
          <w:rPr>
            <w:sz w:val="20"/>
            <w:szCs w:val="20"/>
          </w:rPr>
          <w:fldChar w:fldCharType="end"/>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Cs w:val="24"/>
      </w:rPr>
    </w:pPr>
    <w:r>
      <w:rPr>
        <w:rFonts w:ascii="Arial" w:hAnsi="Arial"/>
        <w:b/>
        <w:sz w:val="48"/>
      </w:rPr>
      <w:tab/>
    </w:r>
    <w:r>
      <w:fldChar w:fldCharType="begin"/>
    </w:r>
    <w:r>
      <w:instrText xml:space="preserve"> PAGE  \* MERGEFORMAT </w:instrText>
    </w:r>
    <w:r>
      <w:fldChar w:fldCharType="separate"/>
    </w:r>
    <w:r>
      <w:rPr>
        <w:noProof/>
      </w:rPr>
      <w:t>226</w:t>
    </w:r>
    <w:r>
      <w:fldChar w:fldCharType="end"/>
    </w:r>
    <w:r>
      <w:tab/>
    </w:r>
    <w:r>
      <w:tab/>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9905917"/>
      <w:docPartObj>
        <w:docPartGallery w:val="Page Numbers (Bottom of Page)"/>
        <w:docPartUnique/>
      </w:docPartObj>
    </w:sdtPr>
    <w:sdtEndPr>
      <w:rPr>
        <w:noProof/>
      </w:rPr>
    </w:sdtEndPr>
    <w:sdtContent>
      <w:p>
        <w:pPr>
          <w:pStyle w:val="Footer"/>
          <w:jc w:val="center"/>
        </w:pP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232</w:t>
        </w:r>
        <w:r>
          <w:rPr>
            <w:sz w:val="20"/>
            <w:szCs w:val="20"/>
          </w:rPr>
          <w:fldChar w:fldCharType="end"/>
        </w:r>
      </w:p>
    </w:sdtContent>
  </w:sdt>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20"/>
        <w:szCs w:val="20"/>
      </w:rPr>
    </w:pPr>
    <w:r>
      <w:rPr>
        <w:rFonts w:ascii="Arial" w:hAnsi="Arial"/>
        <w:b/>
        <w:sz w:val="48"/>
      </w:rPr>
      <w:tab/>
    </w: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235</w:t>
    </w:r>
    <w:r>
      <w:rPr>
        <w:sz w:val="20"/>
        <w:szCs w:val="20"/>
      </w:rPr>
      <w:fldChar w:fldCharType="end"/>
    </w:r>
    <w:r>
      <w:rPr>
        <w:sz w:val="20"/>
        <w:szCs w:val="20"/>
      </w:rPr>
      <w:tab/>
    </w:r>
    <w:r>
      <w:rPr>
        <w:sz w:val="20"/>
        <w:szCs w:val="20"/>
      </w:rPr>
      <w:tab/>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0664382"/>
      <w:docPartObj>
        <w:docPartGallery w:val="Page Numbers (Bottom of Page)"/>
        <w:docPartUnique/>
      </w:docPartObj>
    </w:sdtPr>
    <w:sdtEndPr>
      <w:rPr>
        <w:noProof/>
        <w:sz w:val="20"/>
        <w:szCs w:val="20"/>
      </w:rPr>
    </w:sdtEndPr>
    <w:sdtContent>
      <w:p>
        <w:pPr>
          <w:pStyle w:val="Footer"/>
          <w:jc w:val="cen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241</w:t>
        </w:r>
        <w:r>
          <w:rPr>
            <w:sz w:val="20"/>
            <w:szCs w:val="20"/>
          </w:rPr>
          <w:fldChar w:fldCharType="end"/>
        </w:r>
      </w:p>
    </w:sdtContent>
  </w:sdt>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20"/>
        <w:szCs w:val="20"/>
      </w:rPr>
    </w:pPr>
    <w:r>
      <w:rPr>
        <w:rFonts w:ascii="Arial" w:hAnsi="Arial"/>
        <w:b/>
        <w:sz w:val="48"/>
      </w:rPr>
      <w:tab/>
    </w: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245</w:t>
    </w:r>
    <w:r>
      <w:rPr>
        <w:sz w:val="20"/>
        <w:szCs w:val="20"/>
      </w:rPr>
      <w:fldChar w:fldCharType="end"/>
    </w:r>
    <w:r>
      <w:rPr>
        <w:sz w:val="20"/>
        <w:szCs w:val="20"/>
      </w:rPr>
      <w:tab/>
    </w:r>
    <w:r>
      <w:rPr>
        <w:sz w:val="20"/>
        <w:szCs w:val="20"/>
      </w:rPr>
      <w:tab/>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3839761"/>
      <w:docPartObj>
        <w:docPartGallery w:val="Page Numbers (Bottom of Page)"/>
        <w:docPartUnique/>
      </w:docPartObj>
    </w:sdtPr>
    <w:sdtEndPr>
      <w:rPr>
        <w:noProof/>
      </w:rPr>
    </w:sdtEndPr>
    <w:sdtContent>
      <w:p>
        <w:pPr>
          <w:pStyle w:val="Footer"/>
          <w:jc w:val="center"/>
        </w:pP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255</w:t>
        </w:r>
        <w:r>
          <w:rPr>
            <w:sz w:val="20"/>
            <w:szCs w:val="20"/>
          </w:rPr>
          <w:fldChar w:fldCharType="end"/>
        </w:r>
      </w:p>
    </w:sdtContent>
  </w:sdt>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20"/>
        <w:szCs w:val="20"/>
      </w:rPr>
    </w:pPr>
    <w:r>
      <w:rPr>
        <w:rFonts w:ascii="Arial" w:hAnsi="Arial"/>
        <w:b/>
        <w:sz w:val="48"/>
      </w:rPr>
      <w:tab/>
    </w: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29</w:t>
    </w:r>
    <w:r>
      <w:rPr>
        <w:sz w:val="20"/>
        <w:szCs w:val="20"/>
      </w:rPr>
      <w:fldChar w:fldCharType="end"/>
    </w:r>
    <w:r>
      <w:rPr>
        <w:sz w:val="20"/>
        <w:szCs w:val="20"/>
      </w:rPr>
      <w:tab/>
    </w:r>
    <w:r>
      <w:rPr>
        <w:sz w:val="20"/>
        <w:szCs w:val="20"/>
      </w:rPr>
      <w:tab/>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20"/>
        <w:szCs w:val="20"/>
      </w:rPr>
    </w:pPr>
    <w:r>
      <w:rPr>
        <w:rFonts w:ascii="Arial" w:hAnsi="Arial"/>
        <w:b/>
        <w:sz w:val="48"/>
      </w:rPr>
      <w:tab/>
    </w: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262</w:t>
    </w:r>
    <w:r>
      <w:rPr>
        <w:sz w:val="20"/>
        <w:szCs w:val="20"/>
      </w:rPr>
      <w:fldChar w:fldCharType="end"/>
    </w:r>
    <w:r>
      <w:rPr>
        <w:sz w:val="20"/>
        <w:szCs w:val="20"/>
      </w:rPr>
      <w:tab/>
    </w:r>
    <w:r>
      <w:rPr>
        <w:sz w:val="20"/>
        <w:szCs w:val="20"/>
      </w:rPr>
      <w:tab/>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0614336"/>
      <w:docPartObj>
        <w:docPartGallery w:val="Page Numbers (Bottom of Page)"/>
        <w:docPartUnique/>
      </w:docPartObj>
    </w:sdtPr>
    <w:sdtEndPr>
      <w:rPr>
        <w:noProof/>
      </w:rPr>
    </w:sdtEndPr>
    <w:sdtContent>
      <w:p>
        <w:pPr>
          <w:pStyle w:val="Footer"/>
          <w:jc w:val="center"/>
        </w:pP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268</w:t>
        </w:r>
        <w:r>
          <w:rPr>
            <w:sz w:val="20"/>
            <w:szCs w:val="20"/>
          </w:rPr>
          <w:fldChar w:fldCharType="end"/>
        </w:r>
      </w:p>
    </w:sdtContent>
  </w:sdt>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86456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271</w:t>
        </w:r>
        <w:r>
          <w:fldChar w:fldCharType="end"/>
        </w:r>
      </w:p>
    </w:sdtContent>
  </w:sdt>
  <w:p>
    <w:pPr>
      <w:pStyle w:val="FooterLandscape"/>
      <w:rPr>
        <w:rFonts w:ascii="Arial" w:hAnsi="Arial" w:cs="Arial"/>
        <w:b/>
        <w:szCs w:val="24"/>
      </w:rPr>
    </w:pP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15307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274</w:t>
        </w:r>
        <w:r>
          <w:fldChar w:fldCharType="end"/>
        </w:r>
      </w:p>
    </w:sdtContent>
  </w:sdt>
  <w:p>
    <w:pPr>
      <w:pStyle w:val="FooterLandscape"/>
      <w:rPr>
        <w:rFonts w:ascii="Arial" w:hAnsi="Arial" w:cs="Arial"/>
        <w:b/>
        <w:szCs w:val="24"/>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25515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275</w:t>
        </w:r>
        <w:r>
          <w:fldChar w:fldCharType="end"/>
        </w:r>
      </w:p>
    </w:sdtContent>
  </w:sdt>
  <w:p>
    <w:pPr>
      <w:pStyle w:val="FooterLandscape"/>
      <w:rPr>
        <w:rFonts w:ascii="Arial" w:hAnsi="Arial" w:cs="Arial"/>
        <w:b/>
        <w:szCs w:val="24"/>
      </w:rPr>
    </w:pP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097447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278</w:t>
        </w:r>
        <w:r>
          <w:fldChar w:fldCharType="end"/>
        </w:r>
      </w:p>
    </w:sdtContent>
  </w:sdt>
  <w:p>
    <w:pPr>
      <w:pStyle w:val="FooterLandscape"/>
      <w:rPr>
        <w:rFonts w:ascii="Arial" w:hAnsi="Arial" w:cs="Arial"/>
        <w:b/>
        <w:szCs w:val="24"/>
      </w:rPr>
    </w:pP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078308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281</w:t>
        </w:r>
        <w:r>
          <w:fldChar w:fldCharType="end"/>
        </w:r>
      </w:p>
    </w:sdtContent>
  </w:sdt>
  <w:p>
    <w:pPr>
      <w:pStyle w:val="Footer"/>
      <w:rPr>
        <w:rFonts w:ascii="Arial" w:hAnsi="Arial" w:cs="Arial"/>
        <w:b/>
        <w:szCs w:val="24"/>
      </w:rPr>
    </w:pP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638762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284</w:t>
        </w:r>
        <w:r>
          <w:fldChar w:fldCharType="end"/>
        </w:r>
      </w:p>
    </w:sdtContent>
  </w:sdt>
  <w:p>
    <w:pPr>
      <w:pStyle w:val="Footer"/>
      <w:rPr>
        <w:rFonts w:ascii="Arial" w:hAnsi="Arial" w:cs="Arial"/>
        <w:b/>
        <w:szCs w:val="24"/>
      </w:rPr>
    </w:pP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174546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287</w:t>
        </w:r>
        <w:r>
          <w:fldChar w:fldCharType="end"/>
        </w:r>
      </w:p>
    </w:sdtContent>
  </w:sdt>
  <w:p>
    <w:pPr>
      <w:pStyle w:val="Footer"/>
      <w:rPr>
        <w:rFonts w:ascii="Arial" w:hAnsi="Arial" w:cs="Arial"/>
        <w:b/>
        <w:szCs w:val="24"/>
      </w:rPr>
    </w:pP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427174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291</w:t>
        </w:r>
        <w:r>
          <w:fldChar w:fldCharType="end"/>
        </w:r>
      </w:p>
    </w:sdtContent>
  </w:sdt>
  <w:p>
    <w:pPr>
      <w:pStyle w:val="Footer"/>
      <w:rPr>
        <w:rFonts w:ascii="Arial" w:hAnsi="Arial" w:cs="Arial"/>
        <w:b/>
        <w:szCs w:val="24"/>
      </w:rPr>
    </w:pP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1033638"/>
      <w:docPartObj>
        <w:docPartGallery w:val="Page Numbers (Bottom of Page)"/>
        <w:docPartUnique/>
      </w:docPartObj>
    </w:sdtPr>
    <w:sdtEndPr>
      <w:rPr>
        <w:noProof/>
        <w:sz w:val="20"/>
        <w:szCs w:val="20"/>
      </w:rPr>
    </w:sdtEndPr>
    <w:sdtContent>
      <w:p>
        <w:pPr>
          <w:pStyle w:val="Footer"/>
          <w:jc w:val="cen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40</w:t>
        </w:r>
        <w:r>
          <w:rPr>
            <w:sz w:val="20"/>
            <w:szCs w:val="20"/>
          </w:rPr>
          <w:fldChar w:fldCharType="end"/>
        </w:r>
      </w:p>
    </w:sdtContent>
  </w:sdt>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301875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295</w:t>
        </w:r>
        <w:r>
          <w:fldChar w:fldCharType="end"/>
        </w:r>
      </w:p>
    </w:sdtContent>
  </w:sdt>
  <w:p>
    <w:pPr>
      <w:pStyle w:val="Footer"/>
      <w:rPr>
        <w:rFonts w:ascii="Arial" w:hAnsi="Arial" w:cs="Arial"/>
        <w:b/>
        <w:bCs/>
        <w:sz w:val="2"/>
        <w:szCs w:val="2"/>
      </w:rPr>
    </w:pP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210972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297</w:t>
        </w:r>
        <w:r>
          <w:fldChar w:fldCharType="end"/>
        </w:r>
      </w:p>
    </w:sdtContent>
  </w:sdt>
  <w:p>
    <w:pPr>
      <w:pStyle w:val="Footer"/>
      <w:rPr>
        <w:rFonts w:ascii="Arial" w:hAnsi="Arial" w:cs="Arial"/>
        <w:b/>
        <w:bCs/>
        <w:szCs w:val="24"/>
      </w:rPr>
    </w:pP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059429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299</w:t>
        </w:r>
        <w:r>
          <w:fldChar w:fldCharType="end"/>
        </w:r>
      </w:p>
    </w:sdtContent>
  </w:sdt>
  <w:p>
    <w:pPr>
      <w:pStyle w:val="Footer"/>
      <w:rPr>
        <w:rFonts w:ascii="Arial" w:hAnsi="Arial" w:cs="Arial"/>
        <w:b/>
        <w:szCs w:val="24"/>
      </w:rPr>
    </w:pP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165057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303</w:t>
        </w:r>
        <w:r>
          <w:fldChar w:fldCharType="end"/>
        </w:r>
      </w:p>
    </w:sdtContent>
  </w:sdt>
  <w:p>
    <w:pPr>
      <w:pStyle w:val="Footer"/>
      <w:rPr>
        <w:rFonts w:ascii="Arial" w:hAnsi="Arial" w:cs="Arial"/>
        <w:b/>
        <w:szCs w:val="24"/>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jc w:val="center"/>
      <w:rPr>
        <w:rFonts w:ascii="Arial" w:hAnsi="Arial" w:cs="Arial"/>
        <w:b/>
        <w:sz w:val="20"/>
        <w:szCs w:val="20"/>
      </w:rPr>
    </w:pP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306</w:t>
    </w:r>
    <w:r>
      <w:rPr>
        <w:sz w:val="20"/>
        <w:szCs w:val="20"/>
      </w:rPr>
      <w:fldChar w:fldCharType="end"/>
    </w:r>
  </w:p>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jc w:val="center"/>
      <w:rPr>
        <w:rFonts w:ascii="Arial" w:hAnsi="Arial" w:cs="Arial"/>
        <w:b/>
        <w:sz w:val="20"/>
        <w:szCs w:val="20"/>
      </w:rPr>
    </w:pP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325</w:t>
    </w:r>
    <w:r>
      <w:rPr>
        <w:sz w:val="20"/>
        <w:szCs w:val="20"/>
      </w:rPr>
      <w:fldChar w:fldCharType="end"/>
    </w:r>
  </w:p>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4347752"/>
      <w:docPartObj>
        <w:docPartGallery w:val="Page Numbers (Bottom of Page)"/>
        <w:docPartUnique/>
      </w:docPartObj>
    </w:sdtPr>
    <w:sdtEndPr>
      <w:rPr>
        <w:noProof/>
      </w:rPr>
    </w:sdtEndPr>
    <w:sdtContent>
      <w:p>
        <w:pPr>
          <w:pStyle w:val="Footer"/>
          <w:jc w:val="center"/>
        </w:pP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48</w:t>
        </w:r>
        <w:r>
          <w:rPr>
            <w:sz w:val="20"/>
            <w:szCs w:val="20"/>
          </w:rPr>
          <w:fldChar w:fldCharType="end"/>
        </w:r>
      </w:p>
    </w:sdtContent>
  </w:sdt>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902353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54</w:t>
        </w:r>
        <w:r>
          <w:fldChar w:fldCharType="end"/>
        </w:r>
      </w:p>
    </w:sdtContent>
  </w:sdt>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268938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57</w:t>
        </w:r>
        <w:r>
          <w:fldChar w:fldCharType="end"/>
        </w:r>
      </w:p>
    </w:sdtContent>
  </w:sdt>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1549261"/>
      <w:docPartObj>
        <w:docPartGallery w:val="Page Numbers (Bottom of Page)"/>
        <w:docPartUnique/>
      </w:docPartObj>
    </w:sdtPr>
    <w:sdtEndPr>
      <w:rPr>
        <w:noProof/>
      </w:rPr>
    </w:sdtEndPr>
    <w:sdtContent>
      <w:p>
        <w:pPr>
          <w:pStyle w:val="Footer"/>
          <w:jc w:val="center"/>
        </w:pP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62</w:t>
        </w:r>
        <w:r>
          <w:rPr>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20"/>
        <w:szCs w:val="20"/>
      </w:rPr>
    </w:pPr>
    <w:r>
      <w:rPr>
        <w:rFonts w:ascii="Arial" w:hAnsi="Arial"/>
        <w:b/>
        <w:sz w:val="48"/>
      </w:rPr>
      <w:tab/>
    </w: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65</w:t>
    </w:r>
    <w:r>
      <w:rPr>
        <w:sz w:val="20"/>
        <w:szCs w:val="20"/>
      </w:rPr>
      <w:fldChar w:fldCharType="end"/>
    </w:r>
    <w:r>
      <w:rPr>
        <w:sz w:val="20"/>
        <w:szCs w:val="20"/>
      </w:rPr>
      <w:tab/>
    </w:r>
    <w:r>
      <w:rPr>
        <w:sz w:val="20"/>
        <w:szCs w:val="20"/>
      </w:rPr>
      <w:tab/>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0125478"/>
      <w:docPartObj>
        <w:docPartGallery w:val="Page Numbers (Bottom of Page)"/>
        <w:docPartUnique/>
      </w:docPartObj>
    </w:sdtPr>
    <w:sdtEndPr>
      <w:rPr>
        <w:noProof/>
      </w:rPr>
    </w:sdtEndPr>
    <w:sdtContent>
      <w:p>
        <w:pPr>
          <w:pStyle w:val="Footer"/>
          <w:jc w:val="center"/>
        </w:pP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71</w:t>
        </w:r>
        <w:r>
          <w:rPr>
            <w:sz w:val="20"/>
            <w:szCs w:val="20"/>
          </w:rPr>
          <w:fldChar w:fldCharType="end"/>
        </w:r>
      </w:p>
    </w:sdtContent>
  </w:sdt>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20"/>
        <w:szCs w:val="20"/>
      </w:rPr>
    </w:pPr>
    <w:r>
      <w:rPr>
        <w:rFonts w:ascii="Arial" w:hAnsi="Arial"/>
        <w:b/>
        <w:sz w:val="48"/>
      </w:rPr>
      <w:tab/>
    </w: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82</w:t>
    </w:r>
    <w:r>
      <w:rPr>
        <w:sz w:val="20"/>
        <w:szCs w:val="20"/>
      </w:rPr>
      <w:fldChar w:fldCharType="end"/>
    </w:r>
    <w:r>
      <w:rPr>
        <w:sz w:val="20"/>
        <w:szCs w:val="20"/>
      </w:rPr>
      <w:tab/>
    </w:r>
    <w:r>
      <w:rPr>
        <w:sz w:val="20"/>
        <w:szCs w:val="20"/>
      </w:rPr>
      <w:tab/>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2000005"/>
      <w:docPartObj>
        <w:docPartGallery w:val="Page Numbers (Bottom of Page)"/>
        <w:docPartUnique/>
      </w:docPartObj>
    </w:sdtPr>
    <w:sdtEndPr>
      <w:rPr>
        <w:noProof/>
      </w:rPr>
    </w:sdtEndPr>
    <w:sdtContent>
      <w:p>
        <w:pPr>
          <w:pStyle w:val="Footer"/>
          <w:jc w:val="center"/>
        </w:pP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86</w:t>
        </w:r>
        <w:r>
          <w:rPr>
            <w:sz w:val="20"/>
            <w:szCs w:val="20"/>
          </w:rPr>
          <w:fldChar w:fldCharType="end"/>
        </w:r>
      </w:p>
    </w:sdtContent>
  </w:sdt>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ind w:left="0"/>
      <w:rPr>
        <w:rFonts w:ascii="Arial" w:hAnsi="Arial" w:cs="Arial"/>
        <w:b/>
        <w:sz w:val="20"/>
        <w:szCs w:val="20"/>
      </w:rPr>
    </w:pPr>
    <w:r>
      <w:rPr>
        <w:rFonts w:ascii="Arial" w:hAnsi="Arial"/>
        <w:b/>
        <w:sz w:val="48"/>
      </w:rPr>
      <w:tab/>
    </w: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90</w:t>
    </w:r>
    <w:r>
      <w:rPr>
        <w:sz w:val="20"/>
        <w:szCs w:val="20"/>
      </w:rPr>
      <w:fldChar w:fldCharType="end"/>
    </w:r>
    <w:r>
      <w:rPr>
        <w:sz w:val="20"/>
        <w:szCs w:val="20"/>
      </w:rPr>
      <w:tab/>
    </w:r>
    <w:r>
      <w:rPr>
        <w:sz w:val="20"/>
        <w:szCs w:val="20"/>
      </w:rPr>
      <w:tab/>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5106000"/>
      <w:docPartObj>
        <w:docPartGallery w:val="Page Numbers (Bottom of Page)"/>
        <w:docPartUnique/>
      </w:docPartObj>
    </w:sdtPr>
    <w:sdtEndPr>
      <w:rPr>
        <w:noProof/>
      </w:rPr>
    </w:sdtEndPr>
    <w:sdtContent>
      <w:p>
        <w:pPr>
          <w:pStyle w:val="Footer"/>
          <w:jc w:val="center"/>
        </w:pP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95</w:t>
        </w:r>
        <w:r>
          <w:rPr>
            <w:sz w:val="20"/>
            <w:szCs w:val="20"/>
          </w:rPr>
          <w:fldChar w:fldCharType="end"/>
        </w:r>
      </w:p>
    </w:sdtContent>
  </w:sdt>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5096451"/>
      <w:docPartObj>
        <w:docPartGallery w:val="Page Numbers (Bottom of Page)"/>
        <w:docPartUnique/>
      </w:docPartObj>
    </w:sdtPr>
    <w:sdtEndPr>
      <w:rPr>
        <w:noProof/>
        <w:sz w:val="20"/>
        <w:szCs w:val="20"/>
      </w:rPr>
    </w:sdtEndPr>
    <w:sdtContent>
      <w:p>
        <w:pPr>
          <w:pStyle w:val="Footer"/>
          <w:jc w:val="cen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1</w:t>
        </w:r>
        <w:r>
          <w:rPr>
            <w:sz w:val="20"/>
            <w:szCs w:val="20"/>
          </w:rPr>
          <w:fldChar w:fldCharType="end"/>
        </w:r>
      </w:p>
    </w:sdtContent>
  </w:sdt>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20"/>
        <w:szCs w:val="20"/>
      </w:rPr>
    </w:pPr>
    <w:r>
      <w:rPr>
        <w:rFonts w:ascii="Arial" w:hAnsi="Arial"/>
        <w:b/>
        <w:sz w:val="48"/>
      </w:rPr>
      <w:tab/>
    </w: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97</w:t>
    </w:r>
    <w:r>
      <w:rPr>
        <w:sz w:val="20"/>
        <w:szCs w:val="20"/>
      </w:rPr>
      <w:fldChar w:fldCharType="end"/>
    </w:r>
    <w:r>
      <w:rPr>
        <w:sz w:val="20"/>
        <w:szCs w:val="20"/>
      </w:rPr>
      <w:tab/>
    </w:r>
    <w:r>
      <w:rPr>
        <w:sz w:val="20"/>
        <w:szCs w:val="20"/>
      </w:rPr>
      <w:tab/>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094972"/>
      <w:docPartObj>
        <w:docPartGallery w:val="Page Numbers (Bottom of Page)"/>
        <w:docPartUnique/>
      </w:docPartObj>
    </w:sdtPr>
    <w:sdtEndPr>
      <w:rPr>
        <w:noProof/>
      </w:rPr>
    </w:sdtEndPr>
    <w:sdtContent>
      <w:p>
        <w:pPr>
          <w:pStyle w:val="Footer"/>
          <w:jc w:val="center"/>
        </w:pP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100</w:t>
        </w:r>
        <w:r>
          <w:rPr>
            <w:sz w:val="20"/>
            <w:szCs w:val="20"/>
          </w:rPr>
          <w:fldChar w:fldCharType="end"/>
        </w:r>
      </w:p>
    </w:sdtContent>
  </w:sdt>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20"/>
        <w:szCs w:val="20"/>
      </w:rPr>
    </w:pPr>
    <w:r>
      <w:rPr>
        <w:rFonts w:ascii="Arial" w:hAnsi="Arial"/>
        <w:b/>
        <w:sz w:val="48"/>
      </w:rPr>
      <w:tab/>
    </w: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102</w:t>
    </w:r>
    <w:r>
      <w:rPr>
        <w:sz w:val="20"/>
        <w:szCs w:val="20"/>
      </w:rPr>
      <w:fldChar w:fldCharType="end"/>
    </w:r>
    <w:r>
      <w:rPr>
        <w:sz w:val="20"/>
        <w:szCs w:val="20"/>
      </w:rPr>
      <w:tab/>
    </w:r>
    <w:r>
      <w:rPr>
        <w:sz w:val="20"/>
        <w:szCs w:val="20"/>
      </w:rPr>
      <w:tab/>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8627477"/>
      <w:docPartObj>
        <w:docPartGallery w:val="Page Numbers (Bottom of Page)"/>
        <w:docPartUnique/>
      </w:docPartObj>
    </w:sdtPr>
    <w:sdtEndPr>
      <w:rPr>
        <w:noProof/>
      </w:rPr>
    </w:sdtEndPr>
    <w:sdtContent>
      <w:p>
        <w:pPr>
          <w:pStyle w:val="Footer"/>
          <w:jc w:val="center"/>
        </w:pP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105</w:t>
        </w:r>
        <w:r>
          <w:rPr>
            <w:sz w:val="20"/>
            <w:szCs w:val="20"/>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Cs w:val="24"/>
      </w:rPr>
    </w:pPr>
    <w:r>
      <w:rPr>
        <w:rFonts w:ascii="Arial" w:hAnsi="Arial"/>
        <w:b/>
        <w:sz w:val="48"/>
      </w:rPr>
      <w:tab/>
    </w:r>
    <w:r>
      <w:fldChar w:fldCharType="begin"/>
    </w:r>
    <w:r>
      <w:instrText xml:space="preserve"> PAGE  \* MERGEFORMAT </w:instrText>
    </w:r>
    <w:r>
      <w:fldChar w:fldCharType="separate"/>
    </w:r>
    <w:r>
      <w:rPr>
        <w:noProof/>
      </w:rPr>
      <w:t>107</w:t>
    </w:r>
    <w:r>
      <w:fldChar w:fldCharType="end"/>
    </w:r>
    <w:r>
      <w:tab/>
    </w:r>
    <w:r>
      <w:tab/>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7337460"/>
      <w:docPartObj>
        <w:docPartGallery w:val="Page Numbers (Bottom of Page)"/>
        <w:docPartUnique/>
      </w:docPartObj>
    </w:sdtPr>
    <w:sdtEndPr>
      <w:rPr>
        <w:noProof/>
      </w:rPr>
    </w:sdtEndPr>
    <w:sdtContent>
      <w:p>
        <w:pPr>
          <w:pStyle w:val="Footer"/>
          <w:jc w:val="center"/>
        </w:pP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113</w:t>
        </w:r>
        <w:r>
          <w:rPr>
            <w:sz w:val="20"/>
            <w:szCs w:val="20"/>
          </w:rPr>
          <w:fldChar w:fldCharType="end"/>
        </w:r>
      </w:p>
    </w:sdtContent>
  </w:sdt>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20"/>
        <w:szCs w:val="20"/>
      </w:rPr>
    </w:pPr>
    <w:r>
      <w:rPr>
        <w:rFonts w:ascii="Arial" w:hAnsi="Arial"/>
        <w:b/>
        <w:sz w:val="48"/>
      </w:rPr>
      <w:tab/>
    </w: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121</w:t>
    </w:r>
    <w:r>
      <w:rPr>
        <w:sz w:val="20"/>
        <w:szCs w:val="20"/>
      </w:rPr>
      <w:fldChar w:fldCharType="end"/>
    </w:r>
    <w:r>
      <w:rPr>
        <w:sz w:val="20"/>
        <w:szCs w:val="20"/>
      </w:rPr>
      <w:tab/>
    </w:r>
    <w:r>
      <w:rPr>
        <w:sz w:val="20"/>
        <w:szCs w:val="20"/>
      </w:rPr>
      <w:tab/>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163779"/>
      <w:docPartObj>
        <w:docPartGallery w:val="Page Numbers (Bottom of Page)"/>
        <w:docPartUnique/>
      </w:docPartObj>
    </w:sdtPr>
    <w:sdtEndPr>
      <w:rPr>
        <w:noProof/>
      </w:rPr>
    </w:sdtEndPr>
    <w:sdtContent>
      <w:p>
        <w:pPr>
          <w:pStyle w:val="Footer"/>
          <w:jc w:val="center"/>
        </w:pP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127</w:t>
        </w:r>
        <w:r>
          <w:rPr>
            <w:sz w:val="20"/>
            <w:szCs w:val="20"/>
          </w:rPr>
          <w:fldChar w:fldCharType="end"/>
        </w:r>
      </w:p>
    </w:sdtContent>
  </w:sdt>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Cs w:val="24"/>
      </w:rPr>
    </w:pPr>
    <w:r>
      <w:rPr>
        <w:rFonts w:ascii="Arial" w:hAnsi="Arial"/>
        <w:b/>
        <w:sz w:val="48"/>
      </w:rPr>
      <w:tab/>
    </w:r>
    <w:r>
      <w:fldChar w:fldCharType="begin"/>
    </w:r>
    <w:r>
      <w:instrText xml:space="preserve"> PAGE  \* MERGEFORMAT </w:instrText>
    </w:r>
    <w:r>
      <w:fldChar w:fldCharType="separate"/>
    </w:r>
    <w:r>
      <w:rPr>
        <w:noProof/>
      </w:rPr>
      <w:t>131</w:t>
    </w:r>
    <w:r>
      <w:fldChar w:fldCharType="end"/>
    </w:r>
    <w:r>
      <w:tab/>
    </w:r>
    <w:r>
      <w:tab/>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659719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145</w:t>
        </w:r>
        <w:r>
          <w:fldChar w:fldCharType="end"/>
        </w:r>
      </w:p>
    </w:sdtContent>
  </w:sdt>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829136"/>
      <w:docPartObj>
        <w:docPartGallery w:val="Page Numbers (Bottom of Page)"/>
        <w:docPartUnique/>
      </w:docPartObj>
    </w:sdtPr>
    <w:sdtEndPr>
      <w:rPr>
        <w:noProof/>
      </w:rPr>
    </w:sdtEndPr>
    <w:sdtContent>
      <w:p>
        <w:pPr>
          <w:pStyle w:val="Footer"/>
          <w:jc w:val="center"/>
        </w:pP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14</w:t>
        </w:r>
        <w:r>
          <w:rPr>
            <w:sz w:val="20"/>
            <w:szCs w:val="20"/>
          </w:rPr>
          <w:fldChar w:fldCharType="end"/>
        </w:r>
      </w:p>
    </w:sdtContent>
  </w:sdt>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Cs w:val="24"/>
      </w:rPr>
    </w:pPr>
    <w:r>
      <w:rPr>
        <w:rFonts w:ascii="Arial" w:hAnsi="Arial"/>
        <w:b/>
        <w:sz w:val="48"/>
      </w:rPr>
      <w:tab/>
    </w:r>
    <w:r>
      <w:fldChar w:fldCharType="begin"/>
    </w:r>
    <w:r>
      <w:instrText xml:space="preserve"> PAGE  \* MERGEFORMAT </w:instrText>
    </w:r>
    <w:r>
      <w:fldChar w:fldCharType="separate"/>
    </w:r>
    <w:r>
      <w:rPr>
        <w:noProof/>
      </w:rPr>
      <w:t>156</w:t>
    </w:r>
    <w:r>
      <w:fldChar w:fldCharType="end"/>
    </w:r>
    <w:r>
      <w:tab/>
    </w:r>
    <w:r>
      <w:tab/>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1200683"/>
      <w:docPartObj>
        <w:docPartGallery w:val="Page Numbers (Bottom of Page)"/>
        <w:docPartUnique/>
      </w:docPartObj>
    </w:sdtPr>
    <w:sdtEndPr>
      <w:rPr>
        <w:noProof/>
      </w:rPr>
    </w:sdtEndPr>
    <w:sdtContent>
      <w:p>
        <w:pPr>
          <w:pStyle w:val="Footer"/>
          <w:jc w:val="center"/>
        </w:pP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158</w:t>
        </w:r>
        <w:r>
          <w:rPr>
            <w:sz w:val="20"/>
            <w:szCs w:val="20"/>
          </w:rPr>
          <w:fldChar w:fldCharType="end"/>
        </w:r>
      </w:p>
    </w:sdtContent>
  </w:sdt>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20"/>
        <w:szCs w:val="20"/>
      </w:rPr>
    </w:pPr>
    <w:r>
      <w:rPr>
        <w:rFonts w:ascii="Arial" w:hAnsi="Arial"/>
        <w:b/>
        <w:sz w:val="48"/>
      </w:rPr>
      <w:tab/>
    </w: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167</w:t>
    </w:r>
    <w:r>
      <w:rPr>
        <w:sz w:val="20"/>
        <w:szCs w:val="20"/>
      </w:rPr>
      <w:fldChar w:fldCharType="end"/>
    </w:r>
    <w:r>
      <w:rPr>
        <w:sz w:val="20"/>
        <w:szCs w:val="20"/>
      </w:rPr>
      <w:tab/>
    </w:r>
    <w:r>
      <w:rPr>
        <w:sz w:val="20"/>
        <w:szCs w:val="20"/>
      </w:rPr>
      <w:tab/>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9444570"/>
      <w:docPartObj>
        <w:docPartGallery w:val="Page Numbers (Bottom of Page)"/>
        <w:docPartUnique/>
      </w:docPartObj>
    </w:sdtPr>
    <w:sdtEndPr>
      <w:rPr>
        <w:noProof/>
      </w:rPr>
    </w:sdtEndPr>
    <w:sdtContent>
      <w:p>
        <w:pPr>
          <w:pStyle w:val="Footer"/>
          <w:jc w:val="center"/>
        </w:pP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173</w:t>
        </w:r>
        <w:r>
          <w:rPr>
            <w:sz w:val="20"/>
            <w:szCs w:val="20"/>
          </w:rP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b/>
        <w:sz w:val="20"/>
        <w:szCs w:val="20"/>
      </w:rPr>
    </w:pPr>
    <w:r>
      <w:rPr>
        <w:rFonts w:ascii="Arial" w:hAnsi="Arial"/>
        <w:b/>
        <w:sz w:val="48"/>
      </w:rPr>
      <w:tab/>
    </w: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179</w:t>
    </w:r>
    <w:r>
      <w:rPr>
        <w:sz w:val="20"/>
        <w:szCs w:val="20"/>
      </w:rPr>
      <w:fldChar w:fldCharType="end"/>
    </w:r>
    <w:r>
      <w:rPr>
        <w:sz w:val="20"/>
        <w:szCs w:val="20"/>
      </w:rPr>
      <w:tab/>
    </w:r>
    <w:r>
      <w:rPr>
        <w:sz w:val="20"/>
        <w:szCs w:val="20"/>
      </w:rPr>
      <w:tab/>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6103259"/>
      <w:docPartObj>
        <w:docPartGallery w:val="Page Numbers (Bottom of Page)"/>
        <w:docPartUnique/>
      </w:docPartObj>
    </w:sdtPr>
    <w:sdtEndPr>
      <w:rPr>
        <w:noProof/>
      </w:rPr>
    </w:sdtEndPr>
    <w:sdtContent>
      <w:p>
        <w:pPr>
          <w:pStyle w:val="Footer"/>
          <w:jc w:val="center"/>
        </w:pP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182</w:t>
        </w:r>
        <w:r>
          <w:rPr>
            <w:sz w:val="20"/>
            <w:szCs w:val="20"/>
          </w:rPr>
          <w:fldChar w:fldCharType="end"/>
        </w:r>
      </w:p>
    </w:sdtContent>
  </w:sdt>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20"/>
        <w:szCs w:val="20"/>
      </w:rPr>
    </w:pPr>
    <w:r>
      <w:rPr>
        <w:rFonts w:ascii="Arial" w:hAnsi="Arial"/>
        <w:b/>
        <w:sz w:val="48"/>
      </w:rPr>
      <w:tab/>
    </w: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184</w:t>
    </w:r>
    <w:r>
      <w:rPr>
        <w:sz w:val="20"/>
        <w:szCs w:val="20"/>
      </w:rPr>
      <w:fldChar w:fldCharType="end"/>
    </w:r>
    <w:r>
      <w:rPr>
        <w:sz w:val="20"/>
        <w:szCs w:val="20"/>
      </w:rPr>
      <w:tab/>
    </w:r>
    <w:r>
      <w:rPr>
        <w:sz w:val="20"/>
        <w:szCs w:val="20"/>
      </w:rPr>
      <w:tab/>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pPr>
        <w:spacing w:after="0" w:line="240" w:lineRule="auto"/>
      </w:pPr>
      <w:r>
        <w:continuationSeparator/>
      </w:r>
    </w:p>
    <w:p/>
  </w:footnote>
  <w:footnote w:type="continuationNotice" w:id="1">
    <w:p>
      <w:pPr>
        <w:spacing w:after="0" w:line="240" w:lineRule="auto"/>
      </w:pPr>
    </w:p>
    <w:p/>
  </w:footnote>
  <w:footnote w:id="2">
    <w:p>
      <w:pPr>
        <w:pStyle w:val="FootnoteText"/>
      </w:pPr>
      <w:r>
        <w:rPr>
          <w:rStyle w:val="FootnoteReference"/>
        </w:rPr>
        <w:footnoteRef/>
      </w:r>
      <w:r>
        <w:t xml:space="preserve"> </w:t>
      </w:r>
      <w:r>
        <w:tab/>
        <w:t>Съгласно член 3, точка 11 от Регламент (ЕС) 2019/1242. превозно средство без двигател с вътрешно горене или с двигател с вътрешно горене, който отделя по-малко от 1 g CO2/km.</w:t>
      </w:r>
    </w:p>
  </w:footnote>
  <w:footnote w:id="3">
    <w:p>
      <w:pPr>
        <w:pStyle w:val="FootnoteText"/>
      </w:pPr>
      <w:r>
        <w:rPr>
          <w:rStyle w:val="FootnoteReference"/>
        </w:rPr>
        <w:footnoteRef/>
      </w:r>
      <w:r>
        <w:t xml:space="preserve"> </w:t>
      </w:r>
      <w:r>
        <w:tab/>
        <w:t>Съгласно определението в член 3, параграф 12 от Регламент (ЕС) 2019/1242. с емисии на CO2 по-малко от половината от еталонните емисии на CO2 от всички превозни средства в подгрупата превозни средства; референтните стойности се различават в зависимост от вида на камиона.</w:t>
      </w:r>
    </w:p>
  </w:footnote>
  <w:footnote w:id="4">
    <w:p>
      <w:pPr>
        <w:pStyle w:val="FootnoteText"/>
      </w:pPr>
      <w:r>
        <w:rPr>
          <w:rStyle w:val="FootnoteReference"/>
        </w:rPr>
        <w:footnoteRef/>
      </w:r>
      <w:r>
        <w:t xml:space="preserve"> </w:t>
      </w:r>
      <w:r>
        <w:tab/>
        <w:t>Биогоривата, нетранспортните течни горива от биомаса и газообразните и твърдите горива от биомаса отговарят на критериите за устойчивост и за намаление на емисиите на парникови газове, определени в членове 29—31 и в правилата относно биогоривата на основата на храни и фуражи, установени в член 26 от Директивата за енергията от възобновяеми източници (Директива (ЕС) 2018/2001 (REDII), както и в свързаните с тях актове за изпълнение и делегирани актове; и изключително съответстващи на REDII биогоривата, течните горива от биомаса и газообразните и твърдите горива от биомаса се използват от превозните средства, подпомагани по Механизма за възстановяване и устойчивост; и равнището/делът на биогоривата, нетранспортните течни горива от биомаса и газообразните и твърди горива от биомаса в националния микс се увеличава с течение на времето.</w:t>
      </w:r>
    </w:p>
  </w:footnote>
  <w:footnote w:id="5">
    <w:p>
      <w:pPr>
        <w:pStyle w:val="FootnoteText"/>
      </w:pPr>
      <w:r>
        <w:rPr>
          <w:rStyle w:val="FootnoteReference"/>
        </w:rPr>
        <w:footnoteRef/>
      </w:r>
      <w:r>
        <w:tab/>
        <w:t>Биогоривата, течните горива от биомаса и газообразните и твърдите горива от биомаса отговарят на критериите за устойчивост и за намаление на емисиите на парникови газове, определени в членове 29—31 и в правилата относно биогоривата на основата на храни и фуражи, установени в член 26 от Директивата за енергията от възобновяеми източници (Директива (ЕС) 2018/2001 (REDII), както и в свързаните с тях актове за изпълнение и делегирани актове; и изключително съответстващи на REDII биогорива, нетранспортни течни горива от биомаса и газообразни и твърди горива от биомаса се използват от превозните средства, подпомагани по Механизма за възстановяване и устойчивост; а равнището/делът на биогоривата, нетранспортните течни горива от биомаса и газообразните и твърди горива от биомаса в националния микс се увеличава с течение на времето.</w:t>
      </w:r>
    </w:p>
  </w:footnote>
  <w:footnote w:id="6">
    <w:p>
      <w:pPr>
        <w:pStyle w:val="FootnoteText"/>
      </w:pPr>
      <w:r>
        <w:rPr>
          <w:rStyle w:val="FootnoteReference"/>
        </w:rPr>
        <w:footnoteRef/>
      </w:r>
      <w:r>
        <w:t xml:space="preserve"> </w:t>
      </w:r>
      <w:r>
        <w:tab/>
        <w:t>С изключение на проектите по тази мярка за производство на електроенергия и/или топлоенергия, както и свързаната с тях инфраструктура за пренос и разпределение, използващи природен газ, които отговарят на условията, определени в приложение III към Техническите насоки „Ненанасяне на значителни вреди“ (2021/C58/01).</w:t>
      </w:r>
    </w:p>
  </w:footnote>
  <w:footnote w:id="7">
    <w:p>
      <w:pPr>
        <w:pStyle w:val="FootnoteText"/>
      </w:pPr>
      <w:r>
        <w:rPr>
          <w:rStyle w:val="FootnoteReference"/>
        </w:rPr>
        <w:footnoteRef/>
      </w:r>
      <w:r>
        <w:t xml:space="preserve"> </w:t>
      </w:r>
      <w:r>
        <w:tab/>
        <w:t>Когато подпомаганата дейност постига прогнозираните емисии на парникови газове, които не са значително по-ниски от съответните референтни показатели, следва да се представи обяснение на причините, поради които това не е възможно. Целеви показатели, определени за безплатно предоставяне на квоти за дейности, попадащи в обхвата на схемата за търговия с емисии, както е посочено в Регламент за изпълнение (ЕС) 2021/447 на Комисията.</w:t>
      </w:r>
    </w:p>
  </w:footnote>
  <w:footnote w:id="8">
    <w:p>
      <w:pPr>
        <w:pStyle w:val="FootnoteText"/>
      </w:pPr>
      <w:r>
        <w:rPr>
          <w:rStyle w:val="FootnoteReference"/>
        </w:rPr>
        <w:footnoteRef/>
      </w:r>
      <w:r>
        <w:t xml:space="preserve"> </w:t>
      </w:r>
      <w:r>
        <w:tab/>
        <w:t>Това изключение не се прилага за действия по тази мярка в инсталации, предназначени изключително за третиране на опасни отпадъци, които не подлежат на рециклиране, и за съществуващи инсталации, при които действията по тази мярка имат за цел повишаване на енергийната ефективност, улавяне на отработени газове за съхранение или използване или оползотворяване на материали от пепел от изгаряне, при условие че тези действия по тази мярка не водят до увеличаване на капацитета на инсталациите за преработка на отпадъци или до удължаване на жизнения цикъл на инсталациите; за които се предоставят доказателства на равнище предприятие.</w:t>
      </w:r>
    </w:p>
  </w:footnote>
  <w:footnote w:id="9">
    <w:p>
      <w:pPr>
        <w:pStyle w:val="FootnoteText"/>
      </w:pPr>
      <w:r>
        <w:rPr>
          <w:rStyle w:val="FootnoteReference"/>
        </w:rPr>
        <w:footnoteRef/>
      </w:r>
      <w:r>
        <w:t xml:space="preserve"> </w:t>
      </w:r>
      <w:r>
        <w:tab/>
        <w:t>Това изключение не се прилага за действия по тази мярка в съществуващи заводи за механично биологично третиране, където действията по тази мярка са предназначени за повишаване на ресурсната ефективност или за модернизиране на дейностите по рециклиране на разделени отпадъци за компостиране на биоотпадъци и анаеробно разграждане на биоотпадъци, при условие че тези действия по тази мярка не водят до увеличаване на капацитета на предприятията за преработка на отпадъци или до удължаване на жизнения цикъл на инсталациите; за които се предоставят доказателства на равнище предприятие.</w:t>
      </w:r>
    </w:p>
  </w:footnote>
  <w:footnote w:id="10">
    <w:p>
      <w:pPr>
        <w:pStyle w:val="FootnoteText"/>
      </w:pPr>
      <w:r>
        <w:rPr>
          <w:rStyle w:val="FootnoteReference"/>
        </w:rPr>
        <w:footnoteRef/>
      </w:r>
      <w:r>
        <w:t xml:space="preserve"> </w:t>
      </w:r>
      <w:r>
        <w:tab/>
        <w:t>С изключение на проектите по тази мярка за производство на електроенергия и/или топлоенергия, както и свързаната с тях инфраструктура за пренос и разпределение, използващи природен газ, които отговарят на условията, определени в приложение III към Техническите насоки „Ненанасяне на значителни вреди“ (2021/C58/01).</w:t>
      </w:r>
    </w:p>
  </w:footnote>
  <w:footnote w:id="11">
    <w:p>
      <w:pPr>
        <w:pStyle w:val="FootnoteText"/>
      </w:pPr>
      <w:r>
        <w:rPr>
          <w:rStyle w:val="FootnoteReference"/>
        </w:rPr>
        <w:footnoteRef/>
      </w:r>
      <w:r>
        <w:t xml:space="preserve"> </w:t>
      </w:r>
      <w:r>
        <w:tab/>
        <w:t>Когато подпомаганата дейност постига прогнозираните емисии на парникови газове, които не са значително по-ниски от съответните референтни показатели, следва да се представи обяснение на причините, поради които това не е възможно. Целеви показатели, определени за безплатно предоставяне на квоти за дейности, попадащи в обхвата на схемата за търговия с емисии, както е посочено в Регламент за изпълнение (ЕС) 2021/447 на Комисията.</w:t>
      </w:r>
    </w:p>
  </w:footnote>
  <w:footnote w:id="12">
    <w:p>
      <w:pPr>
        <w:pStyle w:val="FootnoteText"/>
      </w:pPr>
      <w:r>
        <w:rPr>
          <w:rStyle w:val="FootnoteReference"/>
        </w:rPr>
        <w:footnoteRef/>
      </w:r>
      <w:r>
        <w:t xml:space="preserve"> </w:t>
      </w:r>
      <w:r>
        <w:tab/>
        <w:t>Това изключение не се прилага за действия по тази мярка в инсталации, предназначени изключително за третиране на опасни отпадъци, които не подлежат на рециклиране, и за съществуващи инсталации, при които действията по тази мярка имат за цел повишаване на енергийната ефективност , улавяне на отработени газове за съхранение или използване или оползотворяване на материали от пепел от изгаряне, при условие че тези действия по тази мярка не водят до увеличаване на капацитета на инсталациите за преработка на отпадъци или до удължаване на жизнения цикъл на инсталациите; за които се предоставят доказателства на равнище предприятие.</w:t>
      </w:r>
    </w:p>
  </w:footnote>
  <w:footnote w:id="13">
    <w:p>
      <w:pPr>
        <w:pStyle w:val="FootnoteText"/>
      </w:pPr>
      <w:r>
        <w:rPr>
          <w:rStyle w:val="FootnoteReference"/>
        </w:rPr>
        <w:footnoteRef/>
      </w:r>
      <w:r>
        <w:t xml:space="preserve"> </w:t>
      </w:r>
      <w:r>
        <w:tab/>
        <w:t>Това изключение не се прилага за действия по тази мярка в съществуващи заводи за механично биологично третиране, където действията по тази мярка са предназначени за повишаване на ресурсната ефективност или за модернизиране на дейностите по рециклиране на разделени отпадъци за компостиране на биоотпадъци и анаеробно разграждане на биоотпадъци, при условие че тези действия по тази мярка не водят до увеличаване на капацитета на предприятията за преработка на отпадъци или до удължаване на жизнения цикъл на инсталациите; за които се предоставят доказателства на равнище предприятие.</w:t>
      </w:r>
    </w:p>
  </w:footnote>
  <w:footnote w:id="14">
    <w:p>
      <w:pPr>
        <w:pStyle w:val="FootnoteText"/>
      </w:pPr>
      <w:r>
        <w:rPr>
          <w:rStyle w:val="FootnoteReference"/>
        </w:rPr>
        <w:footnoteRef/>
      </w:r>
      <w:r>
        <w:t xml:space="preserve"> </w:t>
      </w:r>
      <w:r>
        <w:tab/>
        <w:t>Под 50 gCO2/km в съответствие с категорията „чисти превозни средства“ от преразгледаната Директива 2009/33/ЕО за чисти превозни средства.</w:t>
      </w:r>
    </w:p>
  </w:footnote>
  <w:footnote w:id="15">
    <w:p>
      <w:pPr>
        <w:pStyle w:val="FootnoteText"/>
      </w:pPr>
      <w:r>
        <w:rPr>
          <w:rStyle w:val="FootnoteReference"/>
        </w:rPr>
        <w:footnoteRef/>
      </w:r>
      <w:r>
        <w:t xml:space="preserve"> </w:t>
      </w:r>
      <w:r>
        <w:tab/>
        <w:t>Под 50 gCO2/km в съответствие с категорията „чисти превозни средства“ от преразгледаната Директива 2009/33/ЕО за чисти превозни средства.</w:t>
      </w:r>
    </w:p>
  </w:footnote>
  <w:footnote w:id="16">
    <w:p>
      <w:pPr>
        <w:pStyle w:val="FootnoteText"/>
      </w:pPr>
      <w:r>
        <w:rPr>
          <w:rStyle w:val="FootnoteReference"/>
        </w:rPr>
        <w:footnoteRef/>
      </w:r>
      <w:r>
        <w:t xml:space="preserve"> </w:t>
      </w:r>
      <w:r>
        <w:tab/>
        <w:t>ОВ L 169, 25.6.2019 г., стр. 1—44.</w:t>
      </w:r>
    </w:p>
  </w:footnote>
  <w:footnote w:id="17">
    <w:p>
      <w:pPr>
        <w:pStyle w:val="FootnoteText"/>
      </w:pPr>
      <w:r>
        <w:rPr>
          <w:rStyle w:val="FootnoteReference"/>
        </w:rPr>
        <w:footnoteRef/>
      </w:r>
      <w:r>
        <w:t xml:space="preserve"> </w:t>
      </w:r>
      <w:r>
        <w:tab/>
        <w:t>COM/2020/66 final.</w:t>
      </w:r>
    </w:p>
  </w:footnote>
  <w:footnote w:id="18">
    <w:p>
      <w:pPr>
        <w:pStyle w:val="FootnoteText"/>
      </w:pPr>
      <w:r>
        <w:rPr>
          <w:rStyle w:val="FootnoteReference"/>
        </w:rPr>
        <w:footnoteRef/>
      </w:r>
      <w:r>
        <w:t xml:space="preserve"> </w:t>
      </w:r>
      <w:r>
        <w:tab/>
        <w:t>Вж. Предложение за Регламент на Европейския парламент и на Съвета относно европейското управление на данните, 25.11.2020 г., COM/2020/767 final.</w:t>
      </w:r>
    </w:p>
  </w:footnote>
  <w:footnote w:id="19">
    <w:p>
      <w:pPr>
        <w:pStyle w:val="FootnoteText"/>
      </w:pPr>
      <w:r>
        <w:rPr>
          <w:rStyle w:val="FootnoteReference"/>
        </w:rPr>
        <w:footnoteRef/>
      </w:r>
      <w:r>
        <w:t xml:space="preserve"> </w:t>
      </w:r>
      <w:r>
        <w:tab/>
        <w:t>https://digital-strategy.ec.europa.eu/en/activities/digital-programme.</w:t>
      </w:r>
    </w:p>
  </w:footnote>
  <w:footnote w:id="20">
    <w:p>
      <w:pPr>
        <w:pStyle w:val="FootnoteText"/>
      </w:pPr>
      <w:r>
        <w:rPr>
          <w:rStyle w:val="FootnoteReference"/>
        </w:rPr>
        <w:footnoteRef/>
      </w:r>
      <w:r>
        <w:t xml:space="preserve"> </w:t>
      </w:r>
      <w:r>
        <w:tab/>
        <w:t>С изключение на проектите по тази мярка за производство на електроенергия и/или топлоенергия, както и свързаната с тях инфраструктура за пренос и разпределение, използващи природен газ, които отговарят на условията, определени в приложение III към Техническите насоки „Ненанасяне на значителни вреди“ (2021/C58/01).</w:t>
      </w:r>
    </w:p>
  </w:footnote>
  <w:footnote w:id="21">
    <w:p>
      <w:pPr>
        <w:pStyle w:val="FootnoteText"/>
      </w:pPr>
      <w:r>
        <w:rPr>
          <w:rStyle w:val="FootnoteReference"/>
        </w:rPr>
        <w:footnoteRef/>
      </w:r>
      <w:r>
        <w:t xml:space="preserve"> </w:t>
      </w:r>
      <w:r>
        <w:tab/>
        <w:t>Когато подпомаганата дейност постига прогнозираните емисии на парникови газове, които не са значително по-ниски от съответните референтни показатели, следва да се представи обяснение на причините, поради които това не е възможно. Целеви показатели, определени за безплатно предоставяне на квоти за дейности, попадащи в обхвата на схемата за търговия с емисии, както е посочено в Регламент за изпълнение (ЕС) 2021/447 на Комисията.</w:t>
      </w:r>
    </w:p>
  </w:footnote>
  <w:footnote w:id="22">
    <w:p>
      <w:pPr>
        <w:pStyle w:val="FootnoteText"/>
      </w:pPr>
      <w:r>
        <w:rPr>
          <w:rStyle w:val="FootnoteReference"/>
        </w:rPr>
        <w:footnoteRef/>
      </w:r>
      <w:r>
        <w:t xml:space="preserve"> </w:t>
      </w:r>
      <w:r>
        <w:tab/>
        <w:t>Това изключение не се прилага за действия по тази мярка в инсталации, предназначени изключително за третиране на опасни отпадъци, които не подлежат на рециклиране, и за съществуващи инсталации, при които действията по тази мярка имат за цел повишаване на енергийната ефективност , улавяне на отработени газове за съхранение или използване или оползотворяване на материали от пепел от изгаряне, при условие че тези действия по тази мярка не водят до увеличаване на капацитета на инсталациите за преработка на отпадъци или до удължаване на жизнения цикъл на инсталациите; за които се предоставят доказателства на равнище предприятие.</w:t>
      </w:r>
    </w:p>
  </w:footnote>
  <w:footnote w:id="23">
    <w:p>
      <w:pPr>
        <w:pStyle w:val="FootnoteText"/>
      </w:pPr>
      <w:r>
        <w:rPr>
          <w:rStyle w:val="FootnoteReference"/>
        </w:rPr>
        <w:footnoteRef/>
      </w:r>
      <w:r>
        <w:t xml:space="preserve"> </w:t>
      </w:r>
      <w:r>
        <w:tab/>
        <w:t>Това изключение не се прилага за действия по тази мярка в съществуващи заводи за механично биологично третиране, където действията по тази мярка са предназначени за повишаване на ресурсната ефективност или за модернизиране на дейностите по рециклиране на разделени отпадъци за компостиране на биоотпадъци и анаеробно разграждане на биоотпадъци, при условие че тези действия по тази мярка не водят до увеличаване на капацитета на предприятията за преработка на отпадъци или до удължаване на жизнения цикъл на инсталациите; за които се предоставят доказателства на равнище предприятие.</w:t>
      </w:r>
    </w:p>
  </w:footnote>
  <w:footnote w:id="24">
    <w:p>
      <w:pPr>
        <w:pStyle w:val="FootnoteText"/>
      </w:pPr>
      <w:r>
        <w:rPr>
          <w:rStyle w:val="FootnoteReference"/>
        </w:rPr>
        <w:footnoteRef/>
      </w:r>
      <w:r>
        <w:t xml:space="preserve"> </w:t>
      </w:r>
      <w:r>
        <w:tab/>
        <w:t>OВ L 57, 18.2.2021 г., стр. 17—75.</w:t>
      </w:r>
    </w:p>
  </w:footnote>
  <w:footnote w:id="25">
    <w:p>
      <w:pPr>
        <w:pStyle w:val="FootnoteText"/>
      </w:pPr>
      <w:r>
        <w:rPr>
          <w:rStyle w:val="FootnoteReference"/>
        </w:rPr>
        <w:footnoteRef/>
      </w:r>
      <w:r>
        <w:t xml:space="preserve"> </w:t>
      </w:r>
      <w:r>
        <w:tab/>
        <w:t>С изключение на проектите по тази мярка за производство на електроенергия и/или топлоенергия, както и свързаната с тях инфраструктура за пренос и разпределение, използващи природен газ, които отговарят на условията, определени в приложение III към Техническите насоки „Ненанасяне на значителни вреди“ (2021/C58/01).</w:t>
      </w:r>
    </w:p>
  </w:footnote>
  <w:footnote w:id="26">
    <w:p>
      <w:pPr>
        <w:pStyle w:val="FootnoteText"/>
      </w:pPr>
      <w:r>
        <w:rPr>
          <w:rStyle w:val="FootnoteReference"/>
        </w:rPr>
        <w:footnoteRef/>
      </w:r>
      <w:r>
        <w:t xml:space="preserve"> </w:t>
      </w:r>
      <w:r>
        <w:tab/>
        <w:t>Когато подпомаганата дейност постига прогнозираните емисии на парникови газове, които не са значително по-ниски от съответните референтни показатели, следва да се представи обяснение на причините, поради които това не е възможно. Целеви показатели, определени за безплатно предоставяне на квоти за дейности, попадащи в обхвата на схемата за търговия с емисии, както е посочено в Регламент за изпълнение (ЕС) 2021/447 на Комисията.</w:t>
      </w:r>
    </w:p>
  </w:footnote>
  <w:footnote w:id="27">
    <w:p>
      <w:pPr>
        <w:pStyle w:val="FootnoteText"/>
      </w:pPr>
      <w:r>
        <w:rPr>
          <w:rStyle w:val="FootnoteReference"/>
        </w:rPr>
        <w:footnoteRef/>
      </w:r>
      <w:r>
        <w:t xml:space="preserve"> </w:t>
      </w:r>
      <w:r>
        <w:tab/>
        <w:t>Това изключение не се прилага за действия по тази мярка в инсталации, предназначени изключително за третиране на опасни отпадъци, които не подлежат на рециклиране, и за съществуващи инсталации, при които действията по тази мярка имат за цел повишаване на енергийната ефективност , улавяне на отработени газове за съхранение или използване или оползотворяване на материали от пепел от изгаряне, при условие че тези действия по тази мярка не водят до увеличаване на капацитета на инсталациите за преработка на отпадъци или до удължаване на жизнения цикъл на инсталациите; за които се предоставят доказателства на равнище предприятие.</w:t>
      </w:r>
    </w:p>
  </w:footnote>
  <w:footnote w:id="28">
    <w:p>
      <w:pPr>
        <w:pStyle w:val="FootnoteText"/>
      </w:pPr>
      <w:r>
        <w:rPr>
          <w:rStyle w:val="FootnoteReference"/>
        </w:rPr>
        <w:footnoteRef/>
      </w:r>
      <w:r>
        <w:t xml:space="preserve"> </w:t>
      </w:r>
      <w:r>
        <w:tab/>
        <w:t>Това изключение не се прилага за действия по тази мярка в съществуващи заводи за механично биологично третиране, където действията по тази мярка са предназначени за повишаване на ресурсната ефективност или за модернизиране на дейностите по рециклиране на разделени отпадъци за компостиране на биоотпадъци и анаеробно разграждане на биоотпадъци, при условие че тези действия по тази мярка не водят до увеличаване на капацитета на предприятията за преработка на отпадъци или до удължаване на жизнения цикъл на инсталациите; за които се предоставят доказателства на равнище предприятие.</w:t>
      </w:r>
    </w:p>
  </w:footnote>
  <w:footnote w:id="29">
    <w:p>
      <w:pPr>
        <w:pStyle w:val="FootnoteText"/>
      </w:pPr>
      <w:r>
        <w:rPr>
          <w:rStyle w:val="FootnoteReference"/>
        </w:rPr>
        <w:footnoteRef/>
      </w:r>
      <w:r>
        <w:t xml:space="preserve"> </w:t>
      </w:r>
      <w:r>
        <w:tab/>
        <w:t>С изключение на проектите по тази мярка за производство на електроенергия и/или топлоенергия, както и свързаната с тях инфраструктура за пренос и разпределение, използващи природен газ, които отговарят на условията, определени в приложение III към Техническите насоки „Ненанасяне на значителни вреди“ (2021/C58/01).</w:t>
      </w:r>
    </w:p>
  </w:footnote>
  <w:footnote w:id="30">
    <w:p>
      <w:pPr>
        <w:pStyle w:val="FootnoteText"/>
      </w:pPr>
      <w:r>
        <w:rPr>
          <w:rStyle w:val="FootnoteReference"/>
        </w:rPr>
        <w:footnoteRef/>
      </w:r>
      <w:r>
        <w:t xml:space="preserve"> </w:t>
      </w:r>
      <w:r>
        <w:tab/>
        <w:t>Когато подпомаганата дейност постига прогнозираните емисии на парникови газове, които не са значително по-ниски от съответните референтни показатели, следва да се представи обяснение на причините, поради които това не е възможно. Целеви показатели, определени за безплатно предоставяне на квоти за дейности, попадащи в обхвата на схемата за търговия с емисии, както е посочено в Регламент за изпълнение (ЕС) 2021/447 на Комисията.</w:t>
      </w:r>
    </w:p>
  </w:footnote>
  <w:footnote w:id="31">
    <w:p>
      <w:pPr>
        <w:pStyle w:val="FootnoteText"/>
      </w:pPr>
      <w:r>
        <w:rPr>
          <w:rStyle w:val="FootnoteReference"/>
        </w:rPr>
        <w:footnoteRef/>
      </w:r>
      <w:r>
        <w:t xml:space="preserve"> </w:t>
      </w:r>
      <w:r>
        <w:tab/>
        <w:t>Това изключение не се прилага за действия по тази мярка в инсталации, предназначени изключително за третиране на опасни отпадъци, които не подлежат на рециклиране, и за съществуващи инсталации, при които действията по тази мярка имат за цел повишаване на енергийната ефективност , улавяне на отработени газове за съхранение или използване или оползотворяване на материали от пепел от изгаряне, при условие че тези действия по тази мярка не водят до увеличаване на капацитета на инсталациите за преработка на отпадъци или до удължаване на жизнения цикъл на инсталациите; за които се предоставят доказателства на равнище предприятие.</w:t>
      </w:r>
    </w:p>
  </w:footnote>
  <w:footnote w:id="32">
    <w:p>
      <w:pPr>
        <w:pStyle w:val="FootnoteText"/>
      </w:pPr>
      <w:r>
        <w:rPr>
          <w:rStyle w:val="FootnoteReference"/>
        </w:rPr>
        <w:footnoteRef/>
      </w:r>
      <w:r>
        <w:t xml:space="preserve"> </w:t>
      </w:r>
      <w:r>
        <w:tab/>
        <w:t>Това изключение не се прилага за действия по тази мярка в съществуващи заводи за механично биологично третиране, където действията по тази мярка са предназначени за повишаване на ресурсната ефективност или за модернизиране на дейностите по рециклиране на разделени отпадъци за компостиране на биоотпадъци и анаеробно разграждане на биоотпадъци, при условие че тези действия по тази мярка не водят до увеличаване на капацитета на предприятията за преработка на отпадъци или до удължаване на жизнения цикъл на инсталациите; за които се предоставят доказателства на равнище предприятие.</w:t>
      </w:r>
    </w:p>
  </w:footnote>
  <w:footnote w:id="33">
    <w:p>
      <w:pPr>
        <w:pStyle w:val="FootnoteText"/>
      </w:pPr>
      <w:r>
        <w:rPr>
          <w:rStyle w:val="FootnoteReference"/>
        </w:rPr>
        <w:footnoteRef/>
      </w:r>
      <w:r>
        <w:t xml:space="preserve"> </w:t>
      </w:r>
      <w:r>
        <w:tab/>
        <w:t>С изключение на проектите по тази мярка за производство на електроенергия и/или топлоенергия, както и свързаната с тях инфраструктура за пренос и разпределение, използващи природен газ, които отговарят на условията, определени в приложение III към Техническите насоки „Ненанасяне на значителни вреди“ (2021/C58/01).</w:t>
      </w:r>
    </w:p>
  </w:footnote>
  <w:footnote w:id="34">
    <w:p>
      <w:pPr>
        <w:pStyle w:val="FootnoteText"/>
      </w:pPr>
      <w:r>
        <w:rPr>
          <w:rStyle w:val="FootnoteReference"/>
        </w:rPr>
        <w:footnoteRef/>
      </w:r>
      <w:r>
        <w:t xml:space="preserve"> </w:t>
      </w:r>
      <w:r>
        <w:tab/>
        <w:t>Когато подпомаганата дейност постига прогнозираните емисии на парникови газове, които не са значително по-ниски от съответните референтни показатели, следва да се представи обяснение на причините, поради които това не е възможно. Целеви показатели, определени за безплатно предоставяне на квоти за дейности, попадащи в обхвата на схемата за търговия с емисии, както е посочено в Регламент за изпълнение (ЕС) 2021/447 на Комисията.</w:t>
      </w:r>
    </w:p>
  </w:footnote>
  <w:footnote w:id="35">
    <w:p>
      <w:pPr>
        <w:pStyle w:val="FootnoteText"/>
      </w:pPr>
      <w:r>
        <w:rPr>
          <w:rStyle w:val="FootnoteReference"/>
        </w:rPr>
        <w:footnoteRef/>
      </w:r>
      <w:r>
        <w:t xml:space="preserve"> </w:t>
      </w:r>
      <w:r>
        <w:tab/>
        <w:t>Това изключение не се прилага за действия по тази мярка в инсталации, предназначени изключително за третиране на опасни отпадъци, които не подлежат на рециклиране, и за съществуващи инсталации, при които действията по тази мярка имат за цел повишаване на енергийната ефективност , улавяне на отработени газове за съхранение или използване или оползотворяване на материали от пепел от изгаряне, при условие че тези действия по тази мярка не водят до увеличаване на капацитета на инсталациите за преработка на отпадъци или до удължаване на жизнения цикъл на инсталациите; за които се предоставят доказателства на равнище предприятие.</w:t>
      </w:r>
    </w:p>
  </w:footnote>
  <w:footnote w:id="36">
    <w:p>
      <w:pPr>
        <w:pStyle w:val="FootnoteText"/>
      </w:pPr>
      <w:r>
        <w:rPr>
          <w:rStyle w:val="FootnoteReference"/>
        </w:rPr>
        <w:footnoteRef/>
      </w:r>
      <w:r>
        <w:t xml:space="preserve"> </w:t>
      </w:r>
      <w:r>
        <w:tab/>
        <w:t>Това изключение не се прилага за действия по тази мярка в съществуващи заводи за механично биологично третиране, където действията по тази мярка са предназначени за повишаване на ресурсната ефективност или за модернизиране на дейностите по рециклиране на разделени отпадъци за компостиране на биоотпадъци и анаеробно разграждане на биоотпадъци, при условие че тези действия по тази мярка не водят до увеличаване на капацитета на предприятията за преработка на отпадъци или до удължаване на жизнения цикъл на инсталациите; за които се предоставят доказателства на равнище предприятие.</w:t>
      </w:r>
    </w:p>
  </w:footnote>
  <w:footnote w:id="37">
    <w:p>
      <w:pPr>
        <w:pStyle w:val="FootnoteText"/>
      </w:pPr>
      <w:r>
        <w:rPr>
          <w:rStyle w:val="FootnoteReference"/>
        </w:rPr>
        <w:footnoteRef/>
      </w:r>
      <w:r>
        <w:t xml:space="preserve"> </w:t>
      </w:r>
      <w:r>
        <w:tab/>
        <w:t>С изключение на проектите по тази мярка за производство на електроенергия и/или топлоенергия, както и свързаната с тях инфраструктура за пренос и разпределение, използващи природен газ, които отговарят на условията, определени в приложение III към Техническите насоки „Ненанасяне на значителни вреди“ (2021/C58/01).</w:t>
      </w:r>
    </w:p>
  </w:footnote>
  <w:footnote w:id="38">
    <w:p>
      <w:pPr>
        <w:pStyle w:val="FootnoteText"/>
      </w:pPr>
      <w:r>
        <w:rPr>
          <w:rStyle w:val="FootnoteReference"/>
        </w:rPr>
        <w:footnoteRef/>
      </w:r>
      <w:r>
        <w:t xml:space="preserve"> </w:t>
      </w:r>
      <w:r>
        <w:tab/>
        <w:t>Когато подпомаганата дейност постига прогнозираните емисии на парникови газове, които не са значително по-ниски от съответните референтни показатели, следва да се представи обяснение на причините, поради които това не е възможно. Целеви показатели, определени за безплатно предоставяне на квоти за дейности, попадащи в обхвата на схемата за търговия с емисии, както е посочено в Регламент за изпълнение (ЕС) 2021/447 на Комисията.</w:t>
      </w:r>
    </w:p>
  </w:footnote>
  <w:footnote w:id="39">
    <w:p>
      <w:pPr>
        <w:pStyle w:val="FootnoteText"/>
      </w:pPr>
      <w:r>
        <w:rPr>
          <w:rStyle w:val="FootnoteReference"/>
        </w:rPr>
        <w:footnoteRef/>
      </w:r>
      <w:r>
        <w:t xml:space="preserve"> </w:t>
      </w:r>
      <w:r>
        <w:tab/>
        <w:t>Това изключение не се прилага за действия по тази мярка в инсталации, предназначени изключително за третиране на опасни отпадъци, които не подлежат на рециклиране, и за съществуващи инсталации, при които действията по тази мярка имат за цел повишаване на енергийната ефективност , улавяне на отработени газове за съхранение или използване или оползотворяване на материали от пепел от изгаряне, при условие че тези действия по тази мярка не водят до увеличаване на капацитета на инсталациите за преработка на отпадъци или до удължаване на жизнения цикъл на инсталациите; за които се предоставят доказателства на равнище предприятие.</w:t>
      </w:r>
    </w:p>
  </w:footnote>
  <w:footnote w:id="40">
    <w:p>
      <w:pPr>
        <w:pStyle w:val="FootnoteText"/>
      </w:pPr>
      <w:r>
        <w:rPr>
          <w:rStyle w:val="FootnoteReference"/>
        </w:rPr>
        <w:footnoteRef/>
      </w:r>
      <w:r>
        <w:t xml:space="preserve"> </w:t>
      </w:r>
      <w:r>
        <w:tab/>
        <w:t>Това изключение не се прилага за действия по тази мярка в съществуващи заводи за механично биологично третиране, където действията по тази мярка са предназначени за повишаване на ресурсната ефективност или за модернизиране на дейностите по рециклиране на разделени отпадъци за компостиране на биоотпадъци и анаеробно разграждане на биоотпадъци, при условие че тези действия по тази мярка не водят до увеличаване на капацитета на предприятията за преработка на отпадъци или до удължаване на жизнения цикъл на инсталациите; за които се предоставят доказателства на равнище предприятие.</w:t>
      </w:r>
    </w:p>
  </w:footnote>
  <w:footnote w:id="41">
    <w:p>
      <w:pPr>
        <w:pStyle w:val="FootnoteText"/>
      </w:pPr>
      <w:r>
        <w:rPr>
          <w:rStyle w:val="FootnoteReference"/>
        </w:rPr>
        <w:footnoteRef/>
      </w:r>
      <w:r>
        <w:t xml:space="preserve"> </w:t>
      </w:r>
      <w:r>
        <w:tab/>
        <w:t>С изключение на проектите по тази мярка за производство на електроенергия и/или топлоенергия, както и свързаната с тях инфраструктура за пренос и разпределение, използващи природен газ, които отговарят на условията, определени в приложение III към Техническите насоки „Ненанасяне на значителни вреди“ (2021/C58/01).</w:t>
      </w:r>
    </w:p>
  </w:footnote>
  <w:footnote w:id="42">
    <w:p>
      <w:pPr>
        <w:pStyle w:val="FootnoteText"/>
      </w:pPr>
      <w:r>
        <w:rPr>
          <w:rStyle w:val="FootnoteReference"/>
        </w:rPr>
        <w:footnoteRef/>
      </w:r>
      <w:r>
        <w:t xml:space="preserve"> </w:t>
      </w:r>
      <w:r>
        <w:tab/>
        <w:t>Когато подпомаганата дейност постига прогнозираните емисии на парникови газове, които не са значително по-ниски от съответните референтни показатели, следва да се представи обяснение на причините, поради които това не е възможно. Целеви показатели, определени за безплатно предоставяне на квоти за дейности, попадащи в обхвата на схемата за търговия с емисии, както е посочено в Регламент за изпълнение (ЕС) 2021/447 на Комисията.</w:t>
      </w:r>
    </w:p>
  </w:footnote>
  <w:footnote w:id="43">
    <w:p>
      <w:pPr>
        <w:pStyle w:val="FootnoteText"/>
      </w:pPr>
      <w:r>
        <w:rPr>
          <w:rStyle w:val="FootnoteReference"/>
        </w:rPr>
        <w:footnoteRef/>
      </w:r>
      <w:r>
        <w:t xml:space="preserve"> </w:t>
      </w:r>
      <w:r>
        <w:tab/>
        <w:t>Това изключение не се прилага за действия по тази мярка в инсталации, предназначени изключително за третиране на опасни отпадъци, които не подлежат на рециклиране, и за съществуващи инсталации, при които действията по тази мярка имат за цел повишаване на енергийната ефективност , улавяне на отработени газове за съхранение или използване или оползотворяване на материали от пепел от изгаряне, при условие че тези действия по тази мярка не водят до увеличаване на капацитета на инсталациите за преработка на отпадъци или до удължаване на жизнения цикъл на инсталациите; за които се предоставят доказателства на равнище предприятие.</w:t>
      </w:r>
    </w:p>
  </w:footnote>
  <w:footnote w:id="44">
    <w:p>
      <w:pPr>
        <w:pStyle w:val="FootnoteText"/>
      </w:pPr>
      <w:r>
        <w:rPr>
          <w:rStyle w:val="FootnoteReference"/>
        </w:rPr>
        <w:footnoteRef/>
      </w:r>
      <w:r>
        <w:t xml:space="preserve"> </w:t>
      </w:r>
      <w:r>
        <w:tab/>
        <w:t>Това изключение не се прилага за действия по тази мярка в съществуващи заводи за механично биологично третиране, където действията по тази мярка са предназначени за повишаване на ресурсната ефективност или за модернизиране на дейностите по рециклиране на разделени отпадъци за компостиране на биоотпадъци и анаеробно разграждане на биоотпадъци, при условие че тези действия по тази мярка не водят до увеличаване на капацитета на предприятията за преработка на отпадъци или до удължаване на жизнения цикъл на инсталациите; за които се предоставят доказателства на равнище предприятие.</w:t>
      </w:r>
    </w:p>
  </w:footnote>
  <w:footnote w:id="45">
    <w:p>
      <w:pPr>
        <w:pStyle w:val="FootnoteText"/>
      </w:pPr>
      <w:r>
        <w:rPr>
          <w:rStyle w:val="FootnoteReference"/>
        </w:rPr>
        <w:footnoteRef/>
      </w:r>
      <w:r>
        <w:t xml:space="preserve"> </w:t>
      </w:r>
      <w:r>
        <w:tab/>
        <w:t>С изключение на проектите по тази мярка за производство на електроенергия и/или топлоенергия, както и свързаната с тях инфраструктура за пренос и разпределение, използващи природен газ, които отговарят на условията, определени в приложение III към Техническите насоки „Ненанасяне на значителни вреди“ (2021/C58/01).</w:t>
      </w:r>
    </w:p>
  </w:footnote>
  <w:footnote w:id="46">
    <w:p>
      <w:pPr>
        <w:pStyle w:val="FootnoteText"/>
      </w:pPr>
      <w:r>
        <w:rPr>
          <w:rStyle w:val="FootnoteReference"/>
        </w:rPr>
        <w:footnoteRef/>
      </w:r>
      <w:r>
        <w:t xml:space="preserve"> </w:t>
      </w:r>
      <w:r>
        <w:tab/>
        <w:t>Когато подпомаганата дейност постига прогнозираните емисии на парникови газове, които не са значително по-ниски от съответните референтни показатели, следва да се представи обяснение на причините, поради които това не е възможно. Целеви показатели, определени за безплатно предоставяне на квоти за дейности, попадащи в обхвата на схемата за търговия с емисии, както е посочено в Регламент за изпълнение (ЕС) 2021/447 на Комисията.</w:t>
      </w:r>
    </w:p>
  </w:footnote>
  <w:footnote w:id="47">
    <w:p>
      <w:pPr>
        <w:pStyle w:val="FootnoteText"/>
      </w:pPr>
      <w:r>
        <w:rPr>
          <w:rStyle w:val="FootnoteReference"/>
        </w:rPr>
        <w:footnoteRef/>
      </w:r>
      <w:r>
        <w:t xml:space="preserve"> </w:t>
      </w:r>
      <w:r>
        <w:tab/>
        <w:t>Това изключение не се прилага за действия по тази мярка в инсталации, предназначени изключително за третиране на опасни отпадъци, които не подлежат на рециклиране, и за съществуващи инсталации, при които действията по тази мярка имат за цел повишаване на енергийната ефективност , улавяне на отработени газове за съхранение или използване или оползотворяване на материали от пепел от изгаряне, при условие че тези действия по тази мярка не водят до увеличаване на капацитета на инсталациите за преработка на отпадъци или до удължаване на жизнения цикъл на инсталациите; за които се предоставят доказателства на равнище предприятие.</w:t>
      </w:r>
    </w:p>
  </w:footnote>
  <w:footnote w:id="48">
    <w:p>
      <w:pPr>
        <w:pStyle w:val="FootnoteText"/>
      </w:pPr>
      <w:r>
        <w:rPr>
          <w:rStyle w:val="FootnoteReference"/>
        </w:rPr>
        <w:footnoteRef/>
      </w:r>
      <w:r>
        <w:t xml:space="preserve"> </w:t>
      </w:r>
      <w:r>
        <w:tab/>
        <w:t>Това изключение не се прилага за действия по тази мярка в съществуващи заводи за механично биологично третиране, където действията по тази мярка са предназначени за повишаване на ресурсната ефективност или за модернизиране на дейностите по рециклиране на разделени отпадъци за компостиране на биоотпадъци и анаеробно разграждане на биоотпадъци, при условие че тези действия по тази мярка не водят до увеличаване на капацитета на предприятията за преработка на отпадъци или до удължаване на жизнения цикъл на инсталациите; за които се предоставят доказателства на равнище предприятие.</w:t>
      </w:r>
    </w:p>
  </w:footnote>
  <w:footnote w:id="49">
    <w:p>
      <w:pPr>
        <w:pStyle w:val="FootnoteText"/>
      </w:pPr>
      <w:r>
        <w:rPr>
          <w:rStyle w:val="FootnoteReference"/>
        </w:rPr>
        <w:footnoteRef/>
      </w:r>
      <w:r>
        <w:t xml:space="preserve"> </w:t>
      </w:r>
      <w:r>
        <w:tab/>
        <w:t>С изключение на проектите по тази мярка за производство на електроенергия и/или топлоенергия, както и свързаната с тях инфраструктура за пренос и разпределение, използващи природен газ, които отговарят на условията, определени в приложение III към Техническите насоки „Ненанасяне на значителни вреди“ (2021/C58/01).</w:t>
      </w:r>
    </w:p>
  </w:footnote>
  <w:footnote w:id="50">
    <w:p>
      <w:pPr>
        <w:pStyle w:val="FootnoteText"/>
      </w:pPr>
      <w:r>
        <w:rPr>
          <w:rStyle w:val="FootnoteReference"/>
        </w:rPr>
        <w:footnoteRef/>
      </w:r>
      <w:r>
        <w:t xml:space="preserve"> </w:t>
      </w:r>
      <w:r>
        <w:tab/>
        <w:t>Когато подпомаганата дейност постига прогнозираните емисии на парникови газове, които не са значително по-ниски от съответните референтни показатели, следва да се представи обяснение на причините, поради които това не е възможно. Целеви показатели, определени за безплатно предоставяне на квоти за дейности, попадащи в обхвата на схемата за търговия с емисии, както е посочено в Регламент за изпълнение (ЕС) 2021/447 на Комисията.</w:t>
      </w:r>
    </w:p>
  </w:footnote>
  <w:footnote w:id="51">
    <w:p>
      <w:pPr>
        <w:pStyle w:val="FootnoteText"/>
      </w:pPr>
      <w:r>
        <w:rPr>
          <w:rStyle w:val="FootnoteReference"/>
        </w:rPr>
        <w:footnoteRef/>
      </w:r>
      <w:r>
        <w:t xml:space="preserve"> </w:t>
      </w:r>
      <w:r>
        <w:tab/>
        <w:t>Това изключение не се прилага за действия по тази мярка в инсталации, предназначени изключително за третиране на опасни отпадъци, които не подлежат на рециклиране, и за съществуващи инсталации, при които действията по тази мярка имат за цел повишаване на енергийната ефективност , улавяне на отработени газове за съхранение или използване или оползотворяване на материали от пепел от изгаряне, при условие че тези действия по тази мярка не водят до увеличаване на капацитета на инсталациите за преработка на отпадъци или до удължаване на жизнения цикъл на инсталациите; за които се предоставят доказателства на равнище предприятие.</w:t>
      </w:r>
    </w:p>
  </w:footnote>
  <w:footnote w:id="52">
    <w:p>
      <w:pPr>
        <w:pStyle w:val="FootnoteText"/>
      </w:pPr>
      <w:r>
        <w:rPr>
          <w:rStyle w:val="FootnoteReference"/>
        </w:rPr>
        <w:footnoteRef/>
      </w:r>
      <w:r>
        <w:t xml:space="preserve"> </w:t>
      </w:r>
      <w:r>
        <w:tab/>
        <w:t>Това изключение не се прилага за действия по тази мярка в съществуващи заводи за механично биологично третиране, където действията по тази мярка са предназначени за повишаване на ресурсната ефективност или за модернизиране на дейностите по рециклиране на разделени отпадъци за компостиране на биоотпадъци и анаеробно разграждане на биоотпадъци, при условие че тези действия по тази мярка не водят до увеличаване на капацитета на предприятията за преработка на отпадъци или до удължаване на жизнения цикъл на инсталациите; за които се предоставят доказателства на равнище предприятие.</w:t>
      </w:r>
    </w:p>
  </w:footnote>
  <w:footnote w:id="53">
    <w:p>
      <w:pPr>
        <w:pStyle w:val="FootnoteText"/>
      </w:pPr>
      <w:r>
        <w:rPr>
          <w:rStyle w:val="FootnoteReference"/>
        </w:rPr>
        <w:footnoteRef/>
      </w:r>
      <w:r>
        <w:t xml:space="preserve"> </w:t>
      </w:r>
      <w:r>
        <w:tab/>
        <w:t>С изключение на проектите по тази мярка за производство на електроенергия и/или топлоенергия, както и свързаната с тях инфраструктура за пренос и разпределение, използващи природен газ, които отговарят на условията, определени в приложение III към Техническите насоки „Ненанасяне на значителни вреди“ (2021/C58/01).</w:t>
      </w:r>
    </w:p>
  </w:footnote>
  <w:footnote w:id="54">
    <w:p>
      <w:pPr>
        <w:pStyle w:val="FootnoteText"/>
      </w:pPr>
      <w:r>
        <w:rPr>
          <w:rStyle w:val="FootnoteReference"/>
        </w:rPr>
        <w:footnoteRef/>
      </w:r>
      <w:r>
        <w:t xml:space="preserve"> </w:t>
      </w:r>
      <w:r>
        <w:tab/>
        <w:t>Когато подпомаганата дейност постига прогнозираните емисии на парникови газове, които не са значително по-ниски от съответните референтни показатели, следва да се представи обяснение на причините, поради които това не е възможно. Целеви показатели, определени за безплатно предоставяне на квоти за дейности, попадащи в обхвата на схемата за търговия с емисии, както е посочено в Регламент за изпълнение (ЕС) 2021/447 на Комисията.</w:t>
      </w:r>
    </w:p>
  </w:footnote>
  <w:footnote w:id="55">
    <w:p>
      <w:pPr>
        <w:pStyle w:val="FootnoteText"/>
      </w:pPr>
      <w:r>
        <w:rPr>
          <w:rStyle w:val="FootnoteReference"/>
        </w:rPr>
        <w:footnoteRef/>
      </w:r>
      <w:r>
        <w:t xml:space="preserve"> </w:t>
      </w:r>
      <w:r>
        <w:tab/>
        <w:t>Това изключение не се прилага за действия по тази мярка в инсталации, предназначени изключително за третиране на опасни отпадъци, които не подлежат на рециклиране, и за съществуващи инсталации, при които действията по тази мярка имат за цел повишаване на енергийната ефективност , улавяне на отработени газове за съхранение или използване или оползотворяване на материали от пепел от изгаряне, при условие че тези действия по тази мярка не водят до увеличаване на капацитета на инсталациите за преработка на отпадъци или до удължаване на жизнения цикъл на инсталациите; за които се предоставят доказателства на равнище предприятие.</w:t>
      </w:r>
    </w:p>
  </w:footnote>
  <w:footnote w:id="56">
    <w:p>
      <w:pPr>
        <w:pStyle w:val="FootnoteText"/>
      </w:pPr>
      <w:r>
        <w:rPr>
          <w:rStyle w:val="FootnoteReference"/>
        </w:rPr>
        <w:footnoteRef/>
      </w:r>
      <w:r>
        <w:t xml:space="preserve"> </w:t>
      </w:r>
      <w:r>
        <w:tab/>
        <w:t>Това изключение не се прилага за действия по тази мярка в съществуващи заводи за механично биологично третиране, където действията по тази мярка са предназначени за повишаване на ресурсната ефективност или за модернизиране на дейностите по рециклиране на разделени отпадъци за компостиране на биоотпадъци и анаеробно разграждане на биоотпадъци, при условие че тези действия по тази мярка не водят до увеличаване на капацитета на предприятията за преработка на отпадъци или до удължаване на жизнения цикъл на инсталациите; за които се предоставят доказателства на равнище предприятие.</w:t>
      </w:r>
    </w:p>
  </w:footnote>
  <w:footnote w:id="57">
    <w:p>
      <w:pPr>
        <w:pStyle w:val="FootnoteText"/>
      </w:pPr>
      <w:r>
        <w:rPr>
          <w:rStyle w:val="FootnoteReference"/>
        </w:rPr>
        <w:footnoteRef/>
      </w:r>
      <w:r>
        <w:t xml:space="preserve"> </w:t>
      </w:r>
      <w:r>
        <w:tab/>
        <w:t>С изключение на проектите по тази мярка за производство на електроенергия и/или топлоенергия, както и свързаната с тях инфраструктура за пренос и разпределение, използващи природен газ, които отговарят на условията, определени в приложение III към Техническите насоки „Ненанасяне на значителни вреди“ (2021/C58/01).</w:t>
      </w:r>
    </w:p>
  </w:footnote>
  <w:footnote w:id="58">
    <w:p>
      <w:pPr>
        <w:pStyle w:val="FootnoteText"/>
      </w:pPr>
      <w:r>
        <w:rPr>
          <w:rStyle w:val="FootnoteReference"/>
        </w:rPr>
        <w:footnoteRef/>
      </w:r>
      <w:r>
        <w:t xml:space="preserve"> </w:t>
      </w:r>
      <w:r>
        <w:tab/>
        <w:t>Когато подпомаганата дейност постига прогнозираните емисии на парникови газове, които не са значително по-ниски от съответните референтни показатели, следва да се представи обяснение на причините, поради които това не е възможно. Целеви показатели, определени за безплатно предоставяне на квоти за дейности, попадащи в обхвата на схемата за търговия с емисии, както е посочено в Регламент за изпълнение (ЕС) 2021/447 на Комисията.</w:t>
      </w:r>
    </w:p>
  </w:footnote>
  <w:footnote w:id="59">
    <w:p>
      <w:pPr>
        <w:pStyle w:val="FootnoteText"/>
      </w:pPr>
      <w:r>
        <w:rPr>
          <w:rStyle w:val="FootnoteReference"/>
        </w:rPr>
        <w:footnoteRef/>
      </w:r>
      <w:r>
        <w:t xml:space="preserve"> </w:t>
      </w:r>
      <w:r>
        <w:tab/>
        <w:t>Това изключение не се прилага за действия по тази мярка в инсталации, предназначени изключително за третиране на опасни отпадъци, които не подлежат на рециклиране, и за съществуващи инсталации, при които действията по тази мярка имат за цел повишаване на енергийната ефективност , улавяне на отработени газове за съхранение или използване или оползотворяване на материали от пепел от изгаряне, при условие че тези действия по тази мярка не водят до увеличаване на капацитета на инсталациите за преработка на отпадъци или до удължаване на жизнения цикъл на инсталациите; за които се предоставят доказателства на равнище предприятие.</w:t>
      </w:r>
    </w:p>
  </w:footnote>
  <w:footnote w:id="60">
    <w:p>
      <w:pPr>
        <w:pStyle w:val="FootnoteText"/>
      </w:pPr>
      <w:r>
        <w:rPr>
          <w:rStyle w:val="FootnoteReference"/>
        </w:rPr>
        <w:footnoteRef/>
      </w:r>
      <w:r>
        <w:t xml:space="preserve"> </w:t>
      </w:r>
      <w:r>
        <w:tab/>
        <w:t>Това изключение не се прилага за действия по тази мярка в съществуващи заводи за механично биологично третиране, където действията по тази мярка са предназначени за повишаване на ресурсната ефективност или за модернизиране на дейностите по рециклиране на разделени отпадъци за компостиране на биоотпадъци и анаеробно разграждане на биоотпадъци, при условие че тези действия по тази мярка не водят до увеличаване на капацитета на предприятията за преработка на отпадъци или до удължаване на жизнения цикъл на инсталациите; за които се предоставят доказателства на равнище предприятие.</w:t>
      </w:r>
    </w:p>
  </w:footnote>
  <w:footnote w:id="61">
    <w:p>
      <w:pPr>
        <w:pStyle w:val="FootnoteText"/>
      </w:pPr>
      <w:r>
        <w:rPr>
          <w:rStyle w:val="FootnoteReference"/>
        </w:rPr>
        <w:footnoteRef/>
      </w:r>
      <w:r>
        <w:t xml:space="preserve"> </w:t>
      </w:r>
      <w:r>
        <w:tab/>
        <w:t>С изключение на проектите по тази мярка за производство на електроенергия и/или топлоенергия, както и свързаната с тях инфраструктура за пренос и разпределение, използващи природен газ, които отговарят на условията, определени в приложение III към Техническите насоки „Ненанасяне на значителни вреди“ (2021/C58/01).</w:t>
      </w:r>
    </w:p>
  </w:footnote>
  <w:footnote w:id="62">
    <w:p>
      <w:pPr>
        <w:pStyle w:val="FootnoteText"/>
      </w:pPr>
      <w:r>
        <w:rPr>
          <w:rStyle w:val="FootnoteReference"/>
        </w:rPr>
        <w:footnoteRef/>
      </w:r>
      <w:r>
        <w:t xml:space="preserve"> </w:t>
      </w:r>
      <w:r>
        <w:tab/>
        <w:t>Когато подпомаганата дейност постига прогнозираните емисии на парникови газове, които не са значително по-ниски от съответните референтни показатели, следва да се представи обяснение на причините, поради които това не е възможно. Целеви показатели, определени за безплатно предоставяне на квоти за дейности, попадащи в обхвата на схемата за търговия с емисии, както е посочено в Регламент за изпълнение (ЕС) 2021/447 на Комисията.</w:t>
      </w:r>
    </w:p>
  </w:footnote>
  <w:footnote w:id="63">
    <w:p>
      <w:pPr>
        <w:pStyle w:val="FootnoteText"/>
      </w:pPr>
      <w:r>
        <w:rPr>
          <w:rStyle w:val="FootnoteReference"/>
        </w:rPr>
        <w:footnoteRef/>
      </w:r>
      <w:r>
        <w:t xml:space="preserve"> </w:t>
      </w:r>
      <w:r>
        <w:tab/>
        <w:t>Това изключение не се прилага за действия по тази мярка в инсталации, предназначени изключително за третиране на опасни отпадъци, които не подлежат на рециклиране, и за съществуващи инсталации, при които действията по тази мярка имат за цел повишаване на енергийната ефективност , улавяне на отработени газове за съхранение или използване или оползотворяване на материали от пепел от изгаряне, при условие че тези действия по тази мярка не водят до увеличаване на капацитета на инсталациите за преработка на отпадъци или до удължаване на жизнения цикъл на инсталациите; за които се предоставят доказателства на равнище предприятие.</w:t>
      </w:r>
    </w:p>
  </w:footnote>
  <w:footnote w:id="64">
    <w:p>
      <w:pPr>
        <w:pStyle w:val="FootnoteText"/>
      </w:pPr>
      <w:r>
        <w:rPr>
          <w:rStyle w:val="FootnoteReference"/>
        </w:rPr>
        <w:footnoteRef/>
      </w:r>
      <w:r>
        <w:t xml:space="preserve"> </w:t>
      </w:r>
      <w:r>
        <w:tab/>
        <w:t>Това изключение не се прилага за действия по тази мярка в съществуващи заводи за механично биологично третиране, където действията по тази мярка са предназначени за повишаване на ресурсната ефективност или за модернизиране на дейностите по рециклиране на разделени отпадъци за компостиране на биоотпадъци и анаеробно разграждане на биоотпадъци, при условие че тези действия по тази мярка не водят до увеличаване на капацитета на предприятията за преработка на отпадъци или до удължаване на жизнения цикъл на инсталациите; за които се предоставят доказателства на равнище предприятие.</w:t>
      </w:r>
    </w:p>
  </w:footnote>
  <w:footnote w:id="65">
    <w:p>
      <w:pPr>
        <w:pStyle w:val="FootnoteText"/>
      </w:pPr>
      <w:r>
        <w:rPr>
          <w:rStyle w:val="FootnoteReference"/>
        </w:rPr>
        <w:footnoteRef/>
      </w:r>
      <w:r>
        <w:t xml:space="preserve"> </w:t>
      </w:r>
      <w:r>
        <w:tab/>
        <w:t>С изключение на проектите по тази мярка за производство на електроенергия и/или топлоенергия, както и свързаната с тях инфраструктура за пренос и разпределение, използващи природен газ, които отговарят на условията, определени в приложение III към Техническите насоки „Ненанасяне на значителни вреди“ (2021/C58/01).</w:t>
      </w:r>
    </w:p>
  </w:footnote>
  <w:footnote w:id="66">
    <w:p>
      <w:pPr>
        <w:pStyle w:val="FootnoteText"/>
      </w:pPr>
      <w:r>
        <w:rPr>
          <w:rStyle w:val="FootnoteReference"/>
        </w:rPr>
        <w:footnoteRef/>
      </w:r>
      <w:r>
        <w:t xml:space="preserve"> </w:t>
      </w:r>
      <w:r>
        <w:tab/>
        <w:t>Когато подпомаганата дейност постига прогнозираните емисии на парникови газове, които не са  значително по-ниски от съответните референтни показатели, следва да се представи обяснение на причините, поради които това не е възможно. Целеви показатели, определени за безплатно предоставяне на квоти за дейности, попадащи в обхвата на схемата за търговия с емисии, както е посочено в Регламент за изпълнение (ЕС) 2021/447 на Комисията.</w:t>
      </w:r>
    </w:p>
  </w:footnote>
  <w:footnote w:id="67">
    <w:p>
      <w:pPr>
        <w:pStyle w:val="FootnoteText"/>
      </w:pPr>
      <w:r>
        <w:rPr>
          <w:rStyle w:val="FootnoteReference"/>
        </w:rPr>
        <w:footnoteRef/>
      </w:r>
      <w:r>
        <w:t xml:space="preserve"> </w:t>
      </w:r>
      <w:r>
        <w:tab/>
        <w:t>Това изключение не се прилага за действия по тази мярка в инсталации, предназначени изключително за третиране на опасни отпадъци, които не подлежат на рециклиране, и за съществуващи инсталации, при които действията по тази мярка имат за цел повишаване на енергийната ефективност , улавяне на отработени газове за съхранение или използване или оползотворяване на материали от пепел от изгаряне, при условие че тези действия по тази мярка не водят до увеличаване на капацитета на инсталациите за преработка на отпадъци или до удължаване на жизнения цикъл на инсталациите; за които се предоставят доказателства на равнище предприятие.</w:t>
      </w:r>
    </w:p>
  </w:footnote>
  <w:footnote w:id="68">
    <w:p>
      <w:pPr>
        <w:pStyle w:val="FootnoteText"/>
      </w:pPr>
      <w:r>
        <w:rPr>
          <w:rStyle w:val="FootnoteReference"/>
        </w:rPr>
        <w:footnoteRef/>
      </w:r>
      <w:r>
        <w:t xml:space="preserve"> </w:t>
      </w:r>
      <w:r>
        <w:tab/>
        <w:t>Това изключение не се прилага за действия по тази мярка в съществуващи заводи за механично биологично третиране, където действията по тази мярка са предназначени за повишаване на ресурсната ефективност или за модернизиране на дейностите по рециклиране на разделени отпадъци за компостиране на биоотпадъци и анаеробно разграждане на биоотпадъци, при условие че тези действия по тази мярка не водят до увеличаване на капацитета на предприятията за преработка на отпадъци или до удължаване на жизнения цикъл на инсталациите; за които се предоставят доказателства на равнище предприятие.</w:t>
      </w:r>
    </w:p>
  </w:footnote>
  <w:footnote w:id="69">
    <w:p>
      <w:pPr>
        <w:pStyle w:val="FootnoteText"/>
      </w:pPr>
      <w:r>
        <w:rPr>
          <w:rStyle w:val="FootnoteReference"/>
        </w:rPr>
        <w:footnoteRef/>
      </w:r>
      <w:r>
        <w:t xml:space="preserve"> </w:t>
      </w:r>
      <w:r>
        <w:tab/>
        <w:t>С изключение на проектите по тази мярка за производство на електроенергия и/или топлоенергия, както и свързаната с тях инфраструктура за пренос и разпределение, използващи природен газ, които отговарят на условията, определени в приложение III към Техническите насоки „Ненанасяне на значителни вреди“ (2021/C58/01).</w:t>
      </w:r>
    </w:p>
  </w:footnote>
  <w:footnote w:id="70">
    <w:p>
      <w:pPr>
        <w:pStyle w:val="FootnoteText"/>
      </w:pPr>
      <w:r>
        <w:rPr>
          <w:rStyle w:val="FootnoteReference"/>
        </w:rPr>
        <w:footnoteRef/>
      </w:r>
      <w:r>
        <w:t xml:space="preserve"> </w:t>
      </w:r>
      <w:r>
        <w:tab/>
        <w:t>Когато подпомаганата дейност постига прогнозираните емисии на парникови газове, които не са значително по-ниски от съответните референтни показатели, следва да се представи обяснение на причините, поради които това не е възможно. Целеви показатели, определени за безплатно предоставяне на квоти за дейности, попадащи в обхвата на схемата за търговия с емисии, както е посочено в Регламент за изпълнение (ЕС) 2021/447 на Комисията.</w:t>
      </w:r>
    </w:p>
  </w:footnote>
  <w:footnote w:id="71">
    <w:p>
      <w:pPr>
        <w:pStyle w:val="FootnoteText"/>
      </w:pPr>
      <w:r>
        <w:rPr>
          <w:rStyle w:val="FootnoteReference"/>
        </w:rPr>
        <w:footnoteRef/>
      </w:r>
      <w:r>
        <w:t xml:space="preserve"> </w:t>
      </w:r>
      <w:r>
        <w:tab/>
        <w:t>Това изключение не се прилага за действия по тази мярка в инсталации, предназначени изключително за третиране на опасни отпадъци, които не подлежат на рециклиране, и за съществуващи инсталации, при които действията по тази мярка имат за цел повишаване на енергийната ефективност , улавяне на отработени газове за съхранение или използване или оползотворяване на материали от пепел от изгаряне, при условие че тези действия по тази мярка не водят до увеличаване на капацитета на инсталациите за преработка на отпадъци или до удължаване на жизнения цикъл на инсталациите; за които се предоставят доказателства на равнище предприятие.</w:t>
      </w:r>
    </w:p>
  </w:footnote>
  <w:footnote w:id="72">
    <w:p>
      <w:pPr>
        <w:pStyle w:val="FootnoteText"/>
      </w:pPr>
      <w:r>
        <w:rPr>
          <w:rStyle w:val="FootnoteReference"/>
        </w:rPr>
        <w:footnoteRef/>
      </w:r>
      <w:r>
        <w:t xml:space="preserve"> </w:t>
      </w:r>
      <w:r>
        <w:tab/>
        <w:t>Това изключение не се прилага за действия по тази мярка в съществуващи заводи за механично биологично третиране, където действията по тази мярка са предназначени за повишаване на ресурсната ефективност или за модернизиране на дейностите по рециклиране на разделени отпадъци за компостиране на биоотпадъци и анаеробно разграждане на биоотпадъци, при условие че тези действия по тази мярка не водят до увеличаване на капацитета на предприятията за преработка на отпадъци или до удължаване на жизнения цикъл на инсталациите; за които се предоставят доказателства на равнище предприятие.</w:t>
      </w:r>
    </w:p>
  </w:footnote>
  <w:footnote w:id="73">
    <w:p>
      <w:pPr>
        <w:pStyle w:val="FootnoteText"/>
      </w:pPr>
      <w:r>
        <w:rPr>
          <w:rStyle w:val="FootnoteReference"/>
        </w:rPr>
        <w:footnoteRef/>
      </w:r>
      <w:r>
        <w:t xml:space="preserve"> </w:t>
      </w:r>
      <w:r>
        <w:tab/>
        <w:t>С изключение на проектите по тази мярка за производство на електроенергия и/или топлоенергия, както и свързаната с тях инфраструктура за пренос и разпределение, използващи природен газ, които отговарят на условията, определени в приложение III към Техническите насоки „Ненанасяне на значителни вреди“ (2021/C58/01).</w:t>
      </w:r>
    </w:p>
  </w:footnote>
  <w:footnote w:id="74">
    <w:p>
      <w:pPr>
        <w:pStyle w:val="FootnoteText"/>
      </w:pPr>
      <w:r>
        <w:rPr>
          <w:rStyle w:val="FootnoteReference"/>
        </w:rPr>
        <w:footnoteRef/>
      </w:r>
      <w:r>
        <w:t xml:space="preserve"> </w:t>
      </w:r>
      <w:r>
        <w:tab/>
        <w:t>Когато подпомаганата дейност постига прогнозираните емисии на парникови газове, които не са значително по-ниски от съответните референтни показатели, следва да се представи обяснение на причините, поради които това не е възможно. Целеви показатели, определени за безплатно предоставяне на квоти за дейности, попадащи в обхвата на схемата за търговия с емисии, както е посочено в Регламент за изпълнение (ЕС) 2021/447 на Комисията.</w:t>
      </w:r>
    </w:p>
  </w:footnote>
  <w:footnote w:id="75">
    <w:p>
      <w:pPr>
        <w:pStyle w:val="FootnoteText"/>
      </w:pPr>
      <w:r>
        <w:rPr>
          <w:rStyle w:val="FootnoteReference"/>
        </w:rPr>
        <w:footnoteRef/>
      </w:r>
      <w:r>
        <w:t xml:space="preserve"> </w:t>
      </w:r>
      <w:r>
        <w:tab/>
        <w:t>Това изключение не се прилага за действия по тази мярка в инсталации, предназначени изключително за третиране на опасни отпадъци, които не подлежат на рециклиране, и за съществуващи инсталации, при които действията по тази мярка имат за цел повишаване на енергийната ефективност , улавяне на отработени газове за съхранение или използване или оползотворяване на материали от пепел от изгаряне, при условие че тези действия по тази мярка не водят до увеличаване на капацитета на инсталациите за преработка на отпадъци или до удължаване на жизнения цикъл на инсталациите; за които се предоставят доказателства на равнище предприятие.</w:t>
      </w:r>
    </w:p>
  </w:footnote>
  <w:footnote w:id="76">
    <w:p>
      <w:pPr>
        <w:pStyle w:val="FootnoteText"/>
      </w:pPr>
      <w:r>
        <w:rPr>
          <w:rStyle w:val="FootnoteReference"/>
        </w:rPr>
        <w:footnoteRef/>
      </w:r>
      <w:r>
        <w:t xml:space="preserve"> </w:t>
      </w:r>
      <w:r>
        <w:tab/>
        <w:t>Това изключение не се прилага за действия по тази мярка в съществуващи заводи за механично биологично третиране, където действията по тази мярка са предназначени за повишаване на ресурсната ефективност или за модернизиране на дейностите по рециклиране на разделени отпадъци за компостиране на биоотпадъци и анаеробно разграждане на биоотпадъци, при условие че тези действия по тази мярка не водят до увеличаване на капацитета на предприятията за преработка на отпадъци или до удължаване на жизнения цикъл на инсталациите; за които се предоставят доказателства на равнище предприятие.</w:t>
      </w:r>
    </w:p>
  </w:footnote>
  <w:footnote w:id="77">
    <w:p>
      <w:pPr>
        <w:pStyle w:val="FootnoteText"/>
        <w:rPr>
          <w:sz w:val="18"/>
          <w:szCs w:val="18"/>
        </w:rPr>
      </w:pPr>
      <w:r>
        <w:rPr>
          <w:rStyle w:val="FootnoteReference"/>
          <w:sz w:val="18"/>
          <w:szCs w:val="18"/>
        </w:rPr>
        <w:footnoteRef/>
      </w:r>
      <w:r>
        <w:rPr>
          <w:sz w:val="18"/>
          <w:szCs w:val="18"/>
        </w:rPr>
        <w:t xml:space="preserve"> </w:t>
      </w:r>
      <w:r>
        <w:rPr>
          <w:sz w:val="18"/>
          <w:szCs w:val="18"/>
        </w:rPr>
        <w:tab/>
      </w:r>
      <w:r>
        <w:t>Когато подпомаганата дейност постига прогнозираните емисии на парникови газове, които не са значително по-ниски от съответните референтни показатели, следва да се представи обяснение на причините, поради които това не е възможно. Целеви показатели, определени за безплатно разпределяне на квоти за дейности и инсталации, попадащи в обхвата на схемата за търговия с емисии, както е посочено в Регламент за изпълнение (ЕС) 2021/447 на Комисията.</w:t>
      </w:r>
    </w:p>
  </w:footnote>
  <w:footnote w:id="78">
    <w:p>
      <w:pPr>
        <w:pStyle w:val="FootnoteText"/>
      </w:pPr>
      <w:r>
        <w:rPr>
          <w:rStyle w:val="FootnoteReference"/>
        </w:rPr>
        <w:footnoteRef/>
      </w:r>
      <w:r>
        <w:t xml:space="preserve"> </w:t>
      </w:r>
      <w:r>
        <w:tab/>
        <w:t>С изключение на проектите по тази мярка за производство на електроенергия и/или топлоенергия, както и свързаната с тях инфраструктура за пренос и разпределение, използващи природен газ, които отговарят на условията, определени в приложение III към Техническите насоки „Ненанасяне на значителни вреди“ (2021/C58/01).</w:t>
      </w:r>
    </w:p>
  </w:footnote>
  <w:footnote w:id="79">
    <w:p>
      <w:pPr>
        <w:pStyle w:val="FootnoteText"/>
      </w:pPr>
      <w:r>
        <w:rPr>
          <w:rStyle w:val="FootnoteReference"/>
        </w:rPr>
        <w:footnoteRef/>
      </w:r>
      <w:r>
        <w:t xml:space="preserve"> </w:t>
      </w:r>
      <w:r>
        <w:tab/>
        <w:t>С изключение на проектите по тази мярка за производство на електроенергия и/или топлоенергия, както и свързаната с тях инфраструктура за пренос и разпределение, използващи природен газ, които отговарят на условията, определени в приложение III към Техническите насоки „Ненанасяне на значителни вреди“ (2021/C58/01).</w:t>
      </w:r>
    </w:p>
  </w:footnote>
  <w:footnote w:id="80">
    <w:p>
      <w:pPr>
        <w:pStyle w:val="FootnoteText"/>
      </w:pPr>
      <w:r>
        <w:rPr>
          <w:rStyle w:val="FootnoteReference"/>
        </w:rPr>
        <w:footnoteRef/>
      </w:r>
      <w:r>
        <w:t xml:space="preserve"> </w:t>
      </w:r>
      <w:r>
        <w:tab/>
        <w:t>Когато подпомаганата дейност постига прогнозираните емисии на парникови газове, които не са значително по-ниски от съответните референтни показатели, следва да се представи обяснение на причините, поради които това не е възможно. Целеви показатели, определени за безплатно предоставяне на квоти за дейности, попадащи в обхвата на схемата за търговия с емисии, както е посочено в Регламент за изпълнение (ЕС) 2021/447 на Комисията.</w:t>
      </w:r>
    </w:p>
  </w:footnote>
  <w:footnote w:id="81">
    <w:p>
      <w:pPr>
        <w:pStyle w:val="FootnoteText"/>
      </w:pPr>
      <w:r>
        <w:rPr>
          <w:rStyle w:val="FootnoteReference"/>
        </w:rPr>
        <w:footnoteRef/>
      </w:r>
      <w:r>
        <w:t xml:space="preserve"> </w:t>
      </w:r>
      <w:r>
        <w:tab/>
        <w:t>Това изключение не се прилага за действия по тази мярка в инсталации, предназначени изключително за третиране на опасни отпадъци, които не подлежат на рециклиране, и за съществуващи инсталации, при които действията по тази мярка имат за цел повишаване на енергийната ефективност , улавяне на отработени газове за съхранение или използване или оползотворяване на материали от пепел от изгаряне, при условие че тези действия по тази мярка не водят до увеличаване на капацитета на инсталациите за преработка на отпадъци или до удължаване на жизнения цикъл на инсталациите; за които се предоставят доказателства на равнище предприятие.</w:t>
      </w:r>
    </w:p>
  </w:footnote>
  <w:footnote w:id="82">
    <w:p>
      <w:pPr>
        <w:pStyle w:val="FootnoteText"/>
      </w:pPr>
      <w:r>
        <w:rPr>
          <w:rStyle w:val="FootnoteReference"/>
        </w:rPr>
        <w:footnoteRef/>
      </w:r>
      <w:r>
        <w:t xml:space="preserve"> </w:t>
      </w:r>
      <w:r>
        <w:tab/>
        <w:t>Това изключение не се прилага за действия по тази мярка в съществуващи заводи за механично биологично третиране, където действията по тази мярка са предназначени за повишаване на ресурсната ефективност или за модернизиране на дейностите по рециклиране на разделени отпадъци за компостиране на биоотпадъци и анаеробно разграждане на биоотпадъци, при условие че тези действия по тази мярка не водят до увеличаване на капацитета на предприятията за преработка на отпадъци или до удължаване на жизнения цикъл на инсталациите; за които се предоставят доказателства на равнище предприятие.</w:t>
      </w:r>
    </w:p>
  </w:footnote>
  <w:footnote w:id="83">
    <w:p>
      <w:pPr>
        <w:pStyle w:val="FootnoteText"/>
      </w:pPr>
      <w:r>
        <w:rPr>
          <w:rStyle w:val="FootnoteReference"/>
        </w:rPr>
        <w:footnoteRef/>
      </w:r>
      <w:r>
        <w:t xml:space="preserve"> </w:t>
      </w:r>
      <w:r>
        <w:tab/>
        <w:t>С изключение на проектите по тази мярка за производство на електроенергия и/или топлоенергия, както и свързаната с тях инфраструктура за пренос и разпределение, използващи природен газ, които отговарят на условията, определени в приложение III към Техническите насоки „Ненанасяне на значителни вреди“ (2021/C58/01).</w:t>
      </w:r>
    </w:p>
  </w:footnote>
  <w:footnote w:id="84">
    <w:p>
      <w:pPr>
        <w:pStyle w:val="FootnoteText"/>
      </w:pPr>
      <w:r>
        <w:rPr>
          <w:rStyle w:val="FootnoteReference"/>
        </w:rPr>
        <w:footnoteRef/>
      </w:r>
      <w:r>
        <w:t xml:space="preserve"> </w:t>
      </w:r>
      <w:r>
        <w:tab/>
        <w:t>Когато подпомаганата дейност постига прогнозираните емисии на парникови газове, които не са значително по-ниски от съответните референтни показатели, следва да се представи обяснение на причините, поради които това не е възможно. Целеви показатели, определени за безплатно предоставяне на квоти за дейности, попадащи в обхвата на схемата за търговия с емисии, както е посочено в Регламент за изпълнение (ЕС) 2021/447 на Комисията.</w:t>
      </w:r>
    </w:p>
  </w:footnote>
  <w:footnote w:id="85">
    <w:p>
      <w:pPr>
        <w:pStyle w:val="FootnoteText"/>
      </w:pPr>
      <w:r>
        <w:rPr>
          <w:rStyle w:val="FootnoteReference"/>
        </w:rPr>
        <w:footnoteRef/>
      </w:r>
      <w:r>
        <w:t xml:space="preserve"> </w:t>
      </w:r>
      <w:r>
        <w:tab/>
        <w:t>Това изключение не се прилага за действия по тази мярка в инсталации, предназначени изключително за третиране на опасни отпадъци, които не подлежат на рециклиране, и за съществуващи инсталации, при които действията по тази мярка имат за цел повишаване на енергийната ефективност , улавяне на отработени газове за съхранение или използване или оползотворяване на материали от пепел от изгаряне, при условие че тези действия по тази мярка не водят до увеличаване на капацитета на инсталациите за преработка на отпадъци или до удължаване на жизнения цикъл на инсталациите; за които се предоставят доказателства на равнище предприятие.</w:t>
      </w:r>
    </w:p>
  </w:footnote>
  <w:footnote w:id="86">
    <w:p>
      <w:pPr>
        <w:pStyle w:val="FootnoteText"/>
      </w:pPr>
      <w:r>
        <w:rPr>
          <w:rStyle w:val="FootnoteReference"/>
        </w:rPr>
        <w:footnoteRef/>
      </w:r>
      <w:r>
        <w:t xml:space="preserve"> </w:t>
      </w:r>
      <w:r>
        <w:tab/>
        <w:t>Това изключение не се прилага за действия по тази мярка в съществуващи заводи за механично биологично третиране, където действията по тази мярка са предназначени за повишаване на ресурсната ефективност или за модернизиране на дейностите по рециклиране на разделени отпадъци за компостиране на биоотпадъци и анаеробно разграждане на биоотпадъци, при условие че тези действия по тази мярка не водят до увеличаване на капацитета на предприятията за преработка на отпадъци или до удължаване на жизнения цикъл на инсталациите; за които се предоставят доказателства на равнище предприятие.</w:t>
      </w:r>
    </w:p>
  </w:footnote>
  <w:footnote w:id="87">
    <w:p>
      <w:pPr>
        <w:pStyle w:val="FootnoteText"/>
      </w:pPr>
      <w:r>
        <w:rPr>
          <w:rStyle w:val="FootnoteReference"/>
        </w:rPr>
        <w:footnoteRef/>
      </w:r>
      <w:r>
        <w:t xml:space="preserve"> </w:t>
      </w:r>
      <w:r>
        <w:tab/>
        <w:t>С изключение на проектите по тази мярка за производство на електроенергия и/или топлоенергия, както и свързаната с тях инфраструктура за пренос и разпределение, използващи природен газ, които отговарят на условията, определени в приложение III към Техническите насоки „Ненанасяне на значителни вреди“ (2021/C58/01).</w:t>
      </w:r>
    </w:p>
  </w:footnote>
  <w:footnote w:id="88">
    <w:p>
      <w:pPr>
        <w:pStyle w:val="FootnoteText"/>
      </w:pPr>
      <w:r>
        <w:rPr>
          <w:rStyle w:val="FootnoteReference"/>
        </w:rPr>
        <w:footnoteRef/>
      </w:r>
      <w:r>
        <w:t xml:space="preserve"> </w:t>
      </w:r>
      <w:r>
        <w:tab/>
        <w:t>Когато подпомаганата дейност постига прогнозираните емисии на парникови газове, които не са значително по-ниски от съответните референтни показатели, следва да се представи обяснение на причините, поради които това не е възможно. Целеви показатели, определени за безплатно предоставяне на квоти за дейности, попадащи в обхвата на схемата за търговия с емисии, както е посочено в Регламент за изпълнение (ЕС) 2021/447 на Комисията.</w:t>
      </w:r>
    </w:p>
  </w:footnote>
  <w:footnote w:id="89">
    <w:p>
      <w:pPr>
        <w:pStyle w:val="FootnoteText"/>
      </w:pPr>
      <w:r>
        <w:rPr>
          <w:rStyle w:val="FootnoteReference"/>
        </w:rPr>
        <w:footnoteRef/>
      </w:r>
      <w:r>
        <w:t xml:space="preserve"> </w:t>
      </w:r>
      <w:r>
        <w:tab/>
        <w:t>Това изключение не се прилага за действия по тази мярка в инсталации, предназначени изключително за третиране на опасни отпадъци, които не подлежат на рециклиране, и за съществуващи инсталации, при които действията по тази мярка имат за цел повишаване на енергийната ефективност , улавяне на отработени газове за съхранение или използване или оползотворяване на материали от пепел от изгаряне, при условие че тези действия по тази мярка не водят до увеличаване на капацитета на инсталациите за преработка на отпадъци или до удължаване на жизнения цикъл на инсталациите; за които се предоставят доказателства на равнище предприятие.</w:t>
      </w:r>
    </w:p>
  </w:footnote>
  <w:footnote w:id="90">
    <w:p>
      <w:pPr>
        <w:pStyle w:val="FootnoteText"/>
      </w:pPr>
      <w:r>
        <w:rPr>
          <w:rStyle w:val="FootnoteReference"/>
        </w:rPr>
        <w:footnoteRef/>
      </w:r>
      <w:r>
        <w:t xml:space="preserve"> </w:t>
      </w:r>
      <w:r>
        <w:tab/>
        <w:t>Това изключение не се прилага за действия по тази мярка в съществуващи заводи за механично биологично третиране, където действията по тази мярка са предназначени за повишаване на ресурсната ефективност или за модернизиране на дейностите по рециклиране на разделени отпадъци за компостиране на биоотпадъци и анаеробно разграждане на биоотпадъци, при условие че тези действия по тази мярка не водят до увеличаване на капацитета на предприятията за преработка на отпадъци или до удължаване на жизнения цикъл на инсталациите; за които се предоставят доказателства на равнище предприятие.</w:t>
      </w:r>
    </w:p>
  </w:footnote>
  <w:footnote w:id="91">
    <w:p>
      <w:pPr>
        <w:pStyle w:val="FootnoteText"/>
      </w:pPr>
      <w:r>
        <w:rPr>
          <w:rStyle w:val="FootnoteReference"/>
        </w:rPr>
        <w:footnoteRef/>
      </w:r>
      <w:r>
        <w:t xml:space="preserve"> </w:t>
      </w:r>
      <w:r>
        <w:tab/>
        <w:t>С изключение на проектите по тази мярка за производство на електроенергия и/или топлоенергия, както и свързаната с тях инфраструктура за пренос и разпределение, използващи природен газ, които отговарят на условията, определени в приложение III към Техническите насоки „Ненанасяне на значителни вреди“ (2021/C58/01).</w:t>
      </w:r>
    </w:p>
  </w:footnote>
  <w:footnote w:id="92">
    <w:p>
      <w:pPr>
        <w:pStyle w:val="FootnoteText"/>
      </w:pPr>
      <w:r>
        <w:rPr>
          <w:rStyle w:val="FootnoteReference"/>
        </w:rPr>
        <w:footnoteRef/>
      </w:r>
      <w:r>
        <w:t xml:space="preserve"> </w:t>
      </w:r>
      <w:r>
        <w:tab/>
        <w:t>Когато подпомаганата дейност постига прогнозираните емисии на парникови газове, които не са значително по-ниски от съответните референтни показатели, следва да се представи обяснение на причините, поради които това не е възможно. Целеви показатели, определени за безплатно предоставяне на квоти за дейности, попадащи в обхвата на схемата за търговия с емисии, както е посочено в Регламент за изпълнение (ЕС) 2021/447 на Комисията.</w:t>
      </w:r>
    </w:p>
  </w:footnote>
  <w:footnote w:id="93">
    <w:p>
      <w:pPr>
        <w:pStyle w:val="FootnoteText"/>
      </w:pPr>
      <w:r>
        <w:rPr>
          <w:rStyle w:val="FootnoteReference"/>
        </w:rPr>
        <w:footnoteRef/>
      </w:r>
      <w:r>
        <w:t xml:space="preserve"> </w:t>
      </w:r>
      <w:r>
        <w:tab/>
        <w:t>Това изключение не се прилага за действия по тази мярка в инсталации, предназначени изключително за третиране на опасни отпадъци, които не подлежат на рециклиране, и за съществуващи инсталации, при които действията по тази мярка имат за цел повишаване на енергийната ефективност , улавяне на отработени газове за съхранение или използване или оползотворяване на материали от пепел от изгаряне, при условие че тези действия по тази мярка не водят до увеличаване на капацитета на инсталациите за преработка на отпадъци или до удължаване на жизнения цикъл на инсталациите; за които се предоставят доказателства на равнище предприятие.</w:t>
      </w:r>
    </w:p>
  </w:footnote>
  <w:footnote w:id="94">
    <w:p>
      <w:pPr>
        <w:pStyle w:val="FootnoteText"/>
      </w:pPr>
      <w:r>
        <w:rPr>
          <w:rStyle w:val="FootnoteReference"/>
        </w:rPr>
        <w:footnoteRef/>
      </w:r>
      <w:r>
        <w:t xml:space="preserve"> </w:t>
      </w:r>
      <w:r>
        <w:tab/>
        <w:t>Това изключение не се прилага за действия по тази мярка в съществуващи заводи за механично биологично третиране, където действията по тази мярка са предназначени за повишаване на ресурсната ефективност или за модернизиране на дейностите по рециклиране на разделени отпадъци за компостиране на биоотпадъци и анаеробно разграждане на биоотпадъци, при условие че тези действия по тази мярка не водят до увеличаване на капацитета на предприятията за преработка на отпадъци или до удължаване на жизнения цикъл на инсталациите; за които се предоставят доказателства на равнище предприятие.</w:t>
      </w:r>
    </w:p>
  </w:footnote>
  <w:footnote w:id="95">
    <w:p>
      <w:pPr>
        <w:pStyle w:val="FootnoteText"/>
      </w:pPr>
      <w:r>
        <w:rPr>
          <w:rStyle w:val="FootnoteReference"/>
        </w:rPr>
        <w:footnoteRef/>
      </w:r>
      <w:r>
        <w:t xml:space="preserve"> </w:t>
      </w:r>
      <w:r>
        <w:tab/>
        <w:t>С изключение на проектите по тази мярка за производство на електроенергия и/или топлоенергия, както и свързаната с тях инфраструктура за пренос и разпределение, използващи природен газ, които отговарят на условията, определени в приложение III към Техническите насоки „Ненанасяне на значителни вреди“ (2021/C58/01).</w:t>
      </w:r>
    </w:p>
  </w:footnote>
  <w:footnote w:id="96">
    <w:p>
      <w:pPr>
        <w:pStyle w:val="FootnoteText"/>
      </w:pPr>
      <w:r>
        <w:rPr>
          <w:rStyle w:val="FootnoteReference"/>
        </w:rPr>
        <w:footnoteRef/>
      </w:r>
      <w:r>
        <w:t xml:space="preserve"> </w:t>
      </w:r>
      <w:r>
        <w:tab/>
        <w:t>Когато подпомаганата дейност постига прогнозираните емисии на парникови газове, които не са значително по-ниски от съответните референтни показатели, следва да се представи обяснение на причините, поради които това не е възможно. Целеви показатели, определени за безплатно предоставяне на квоти за дейности, попадащи в обхвата на схемата за търговия с емисии, както е посочено в Регламент за изпълнение (ЕС) 2021/447 на Комисията.</w:t>
      </w:r>
    </w:p>
  </w:footnote>
  <w:footnote w:id="97">
    <w:p>
      <w:pPr>
        <w:pStyle w:val="FootnoteText"/>
      </w:pPr>
      <w:r>
        <w:rPr>
          <w:rStyle w:val="FootnoteReference"/>
        </w:rPr>
        <w:footnoteRef/>
      </w:r>
      <w:r>
        <w:t xml:space="preserve"> </w:t>
      </w:r>
      <w:r>
        <w:tab/>
        <w:t>Това изключение не се прилага за действия по тази мярка в инсталации, предназначени изключително за третиране на опасни отпадъци, които не подлежат на рециклиране, и за съществуващи инсталации, при които действията по тази мярка имат за цел повишаване на енергийната ефективност , улавяне на отработени газове за съхранение или използване или оползотворяване на материали от пепел от изгаряне, при условие че тези действия по тази мярка не водят до увеличаване на капацитета на инсталациите за преработка на отпадъци или до удължаване на жизнения цикъл на инсталациите; за които се предоставят доказателства на равнище предприятие.</w:t>
      </w:r>
    </w:p>
  </w:footnote>
  <w:footnote w:id="98">
    <w:p>
      <w:pPr>
        <w:pStyle w:val="FootnoteText"/>
      </w:pPr>
      <w:r>
        <w:rPr>
          <w:rStyle w:val="FootnoteReference"/>
        </w:rPr>
        <w:footnoteRef/>
      </w:r>
      <w:r>
        <w:t xml:space="preserve"> </w:t>
      </w:r>
      <w:r>
        <w:tab/>
        <w:t>Това изключение не се прилага за действия по тази мярка в съществуващи заводи за механично биологично третиране, където действията по тази мярка са предназначени за повишаване на ресурсната ефективност или за модернизиране на дейностите по рециклиране на разделени отпадъци за компостиране на биоотпадъци и анаеробно разграждане на биоотпадъци, при условие че тези действия по тази мярка не водят до увеличаване на капацитета на предприятията за преработка на отпадъци или до удължаване на жизнения цикъл на инсталациите; за които се предоставят доказателства на равнище предприятие.</w:t>
      </w:r>
    </w:p>
  </w:footnote>
  <w:footnote w:id="99">
    <w:p>
      <w:pPr>
        <w:pStyle w:val="FootnoteText"/>
      </w:pPr>
      <w:r>
        <w:rPr>
          <w:rStyle w:val="FootnoteReference"/>
        </w:rPr>
        <w:footnoteRef/>
      </w:r>
      <w:r>
        <w:t xml:space="preserve"> </w:t>
      </w:r>
      <w:r>
        <w:tab/>
        <w:t>С изключение на проектите по тази мярка за производство на електроенергия и/или топлоенергия, както и свързаната с тях инфраструктура за пренос и разпределение, използващи природен газ, които отговарят на условията, определени в приложение III към Техническите насоки „Ненанасяне на значителни вреди“ (2021/C58/01).</w:t>
      </w:r>
    </w:p>
  </w:footnote>
  <w:footnote w:id="100">
    <w:p>
      <w:pPr>
        <w:pStyle w:val="FootnoteText"/>
      </w:pPr>
      <w:r>
        <w:rPr>
          <w:rStyle w:val="FootnoteReference"/>
        </w:rPr>
        <w:footnoteRef/>
      </w:r>
      <w:r>
        <w:t xml:space="preserve"> </w:t>
      </w:r>
      <w:r>
        <w:tab/>
        <w:t>Когато подпомаганата дейност постига прогнозираните емисии на парникови газове, които не са значително по-ниски от съответните референтни показатели, следва да се представи обяснение на причините, поради които това не е възможно. Целеви показатели, определени за безплатно предоставяне на квоти за дейности, попадащи в обхвата на схемата за търговия с емисии, както е посочено в Регламент за изпълнение (ЕС) 2021/447 на Комисията.</w:t>
      </w:r>
    </w:p>
  </w:footnote>
  <w:footnote w:id="101">
    <w:p>
      <w:pPr>
        <w:pStyle w:val="FootnoteText"/>
      </w:pPr>
      <w:r>
        <w:rPr>
          <w:rStyle w:val="FootnoteReference"/>
        </w:rPr>
        <w:footnoteRef/>
      </w:r>
      <w:r>
        <w:t xml:space="preserve"> </w:t>
      </w:r>
      <w:r>
        <w:tab/>
        <w:t>Това изключение не се прилага за действия по тази мярка в инсталации, предназначени изключително за третиране на опасни отпадъци, които не подлежат на рециклиране, и за съществуващи инсталации, при които действията по тази мярка имат за цел повишаване на енергийната ефективност , улавяне на отработени газове за съхранение или използване или оползотворяване на материали от пепел от изгаряне, при условие че тези действия по тази мярка не водят до увеличаване на капацитета на инсталациите за преработка на отпадъци или до удължаване на жизнения цикъл на инсталациите; за които се предоставят доказателства на равнище предприятие.</w:t>
      </w:r>
    </w:p>
  </w:footnote>
  <w:footnote w:id="102">
    <w:p>
      <w:pPr>
        <w:pStyle w:val="FootnoteText"/>
      </w:pPr>
      <w:r>
        <w:rPr>
          <w:rStyle w:val="FootnoteReference"/>
        </w:rPr>
        <w:footnoteRef/>
      </w:r>
      <w:r>
        <w:t xml:space="preserve"> </w:t>
      </w:r>
      <w:r>
        <w:tab/>
        <w:t>Това изключение не се прилага за действия по тази мярка в съществуващи заводи за механично биологично третиране, където действията по тази мярка са предназначени за повишаване на ресурсната ефективност или за модернизиране на дейностите по рециклиране на разделени отпадъци за компостиране на биоотпадъци и анаеробно разграждане на биоотпадъци, при условие че тези действия по тази мярка не водят до увеличаване на капацитета на предприятията за преработка на отпадъци или до удължаване на жизнения цикъл на инсталациите; за които се предоставят доказателства на равнище предприятие.</w:t>
      </w:r>
    </w:p>
  </w:footnote>
  <w:footnote w:id="103">
    <w:p>
      <w:pPr>
        <w:pStyle w:val="FootnoteText"/>
      </w:pPr>
      <w:r>
        <w:rPr>
          <w:rStyle w:val="FootnoteReference"/>
        </w:rPr>
        <w:footnoteRef/>
      </w:r>
      <w:r>
        <w:t xml:space="preserve"> </w:t>
      </w:r>
      <w:r>
        <w:tab/>
        <w:t>ОВ L 153, 18.6.2010 г.</w:t>
      </w:r>
    </w:p>
  </w:footnote>
  <w:footnote w:id="104">
    <w:p>
      <w:pPr>
        <w:pStyle w:val="FootnoteText"/>
      </w:pPr>
      <w:r>
        <w:rPr>
          <w:rStyle w:val="FootnoteReference"/>
        </w:rPr>
        <w:footnoteRef/>
      </w:r>
      <w:r>
        <w:t xml:space="preserve"> </w:t>
      </w:r>
      <w:r>
        <w:tab/>
        <w:t xml:space="preserve">Препоръките на Пакта от Толедо бяха публикувани в Официален вестник на 10 ноември 2020 г.: </w:t>
      </w:r>
      <w:hyperlink r:id="rId1" w:history="1">
        <w:r>
          <w:rPr>
            <w:rStyle w:val="Hyperlink"/>
          </w:rPr>
          <w:t>https://www.congreso.es/public_oficiales/L14/CONG/BOCG/D/BOCG-14-D-175.PDF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SensitivityRight"/>
    </w:pP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SensitivityRight"/>
    </w:pP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SensitivityRight"/>
    </w:pPr>
  </w:p>
  <w:p>
    <w:pPr>
      <w:pStyle w:val="HeaderSensitivityRight"/>
    </w:pP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SensitivityRight"/>
    </w:pP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SensitivityRight"/>
    </w:pP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SensitivityRight"/>
    </w:pP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SensitivityRight"/>
    </w:pP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Sensitivity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SensitivityRight"/>
    </w:pP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SensitivityRight"/>
    </w:pP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SensitivityRight"/>
    </w:pP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SensitivityRight"/>
    </w:pP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SensitivityRight"/>
    </w:pP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SensitivityRight"/>
    </w:pP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SensitivityRight"/>
    </w:pP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SensitivityRight"/>
    </w:pP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SensitivityRight"/>
    </w:pP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SensitivityRight"/>
    </w:pP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SensitivityRigh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SensitivityRight"/>
    </w:pP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SensitivityRight"/>
    </w:pP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SensitivityRight"/>
    </w:pP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SensitivityRight"/>
    </w:pP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SensitivityRight"/>
    </w:pP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SensitivityRight"/>
    </w:pP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SensitivityRight"/>
    </w:pP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SensitivityRight"/>
    </w:pP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SensitivityRight"/>
    </w:pP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SensitivityRight"/>
    </w:pP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SensitivityRight"/>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SensitivityRight"/>
    </w:pPr>
  </w:p>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SensitivityRight"/>
    </w:pPr>
  </w:p>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SensitivityRight"/>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SensitivityRight"/>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SensitivityRight"/>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Sensitivity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SensitivityRight"/>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SensitivityRight"/>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SensitivityRight"/>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SensitivityRight"/>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SensitivityRight"/>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SensitivityRight"/>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SensitivityRight"/>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SensitivityRight"/>
    </w:pP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Sensitivity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SensitivityRight"/>
    </w:pP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SensitivityRight"/>
    </w:pP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SensitivityRight"/>
    </w:pP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SensitivityRight"/>
    </w:pP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SensitivityRight"/>
    </w:pP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SensitivityRight"/>
    </w:pP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SensitivityRight"/>
    </w:pP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SensitivityRight"/>
    </w:pP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SensitivityRight"/>
    </w:pP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SensitivityRight"/>
    </w:pP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Sensitivity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SensitivityRight"/>
    </w:pP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SensitivityRight"/>
    </w:pP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SensitivityRight"/>
    </w:pP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71682140"/>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FFFFFF82"/>
    <w:multiLevelType w:val="singleLevel"/>
    <w:tmpl w:val="BBC045FC"/>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3"/>
    <w:multiLevelType w:val="singleLevel"/>
    <w:tmpl w:val="B4EC6180"/>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FFFFFF88"/>
    <w:multiLevelType w:val="singleLevel"/>
    <w:tmpl w:val="AD788A4A"/>
    <w:lvl w:ilvl="0">
      <w:start w:val="1"/>
      <w:numFmt w:val="decimal"/>
      <w:pStyle w:val="ListNumber"/>
      <w:lvlText w:val="%1."/>
      <w:lvlJc w:val="left"/>
      <w:pPr>
        <w:tabs>
          <w:tab w:val="num" w:pos="360"/>
        </w:tabs>
        <w:ind w:left="360" w:hanging="360"/>
      </w:pPr>
    </w:lvl>
  </w:abstractNum>
  <w:abstractNum w:abstractNumId="4">
    <w:nsid w:val="FFFFFF89"/>
    <w:multiLevelType w:val="singleLevel"/>
    <w:tmpl w:val="D31E9FD2"/>
    <w:lvl w:ilvl="0">
      <w:start w:val="1"/>
      <w:numFmt w:val="bullet"/>
      <w:pStyle w:val="ListBullet"/>
      <w:lvlText w:val=""/>
      <w:lvlJc w:val="left"/>
      <w:pPr>
        <w:tabs>
          <w:tab w:val="num" w:pos="360"/>
        </w:tabs>
        <w:ind w:left="360" w:hanging="360"/>
      </w:pPr>
      <w:rPr>
        <w:rFonts w:ascii="Symbol" w:hAnsi="Symbol" w:hint="default"/>
      </w:rPr>
    </w:lvl>
  </w:abstractNum>
  <w:abstractNum w:abstractNumId="5">
    <w:nsid w:val="00417A79"/>
    <w:multiLevelType w:val="hybridMultilevel"/>
    <w:tmpl w:val="B1C8EDC6"/>
    <w:lvl w:ilvl="0" w:tplc="0809001B">
      <w:start w:val="1"/>
      <w:numFmt w:val="lowerRoman"/>
      <w:lvlText w:val="%1."/>
      <w:lvlJc w:val="righ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01E15330"/>
    <w:multiLevelType w:val="hybridMultilevel"/>
    <w:tmpl w:val="8CD2CE5E"/>
    <w:lvl w:ilvl="0" w:tplc="8656FF0A">
      <w:start w:val="1"/>
      <mc:AlternateContent>
        <mc:Choice Requires="w14">
          <w:numFmt w:val="custom" w:format="а, й, к, ..."/>
        </mc:Choice>
        <mc:Fallback>
          <w:numFmt w:val="decimal"/>
        </mc:Fallback>
      </mc:AlternateContent>
      <w:lvlText w:val="%1)"/>
      <w:lvlJc w:val="left"/>
      <w:pPr>
        <w:ind w:left="360" w:hanging="360"/>
      </w:pPr>
      <w:rPr>
        <w:rFonts w:ascii="Times New Roman" w:eastAsia="Arial" w:hAnsi="Times New Roman" w:cs="Times New Roman"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23E2662"/>
    <w:multiLevelType w:val="hybridMultilevel"/>
    <w:tmpl w:val="8A30D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32A12F1"/>
    <w:multiLevelType w:val="hybridMultilevel"/>
    <w:tmpl w:val="6C52FE32"/>
    <w:lvl w:ilvl="0" w:tplc="0816001B">
      <w:start w:val="1"/>
      <w:numFmt w:val="lowerRoman"/>
      <w:lvlText w:val="%1."/>
      <w:lvlJc w:val="right"/>
      <w:pPr>
        <w:ind w:left="785" w:hanging="360"/>
      </w:pPr>
    </w:lvl>
    <w:lvl w:ilvl="1" w:tplc="08160019" w:tentative="1">
      <w:start w:val="1"/>
      <w:numFmt w:val="lowerLetter"/>
      <w:lvlText w:val="%2."/>
      <w:lvlJc w:val="left"/>
      <w:pPr>
        <w:ind w:left="1505" w:hanging="360"/>
      </w:pPr>
    </w:lvl>
    <w:lvl w:ilvl="2" w:tplc="0816001B" w:tentative="1">
      <w:start w:val="1"/>
      <w:numFmt w:val="lowerRoman"/>
      <w:lvlText w:val="%3."/>
      <w:lvlJc w:val="right"/>
      <w:pPr>
        <w:ind w:left="2225" w:hanging="180"/>
      </w:pPr>
    </w:lvl>
    <w:lvl w:ilvl="3" w:tplc="0816000F" w:tentative="1">
      <w:start w:val="1"/>
      <w:numFmt w:val="decimal"/>
      <w:lvlText w:val="%4."/>
      <w:lvlJc w:val="left"/>
      <w:pPr>
        <w:ind w:left="2945" w:hanging="360"/>
      </w:pPr>
    </w:lvl>
    <w:lvl w:ilvl="4" w:tplc="08160019" w:tentative="1">
      <w:start w:val="1"/>
      <w:numFmt w:val="lowerLetter"/>
      <w:lvlText w:val="%5."/>
      <w:lvlJc w:val="left"/>
      <w:pPr>
        <w:ind w:left="3665" w:hanging="360"/>
      </w:pPr>
    </w:lvl>
    <w:lvl w:ilvl="5" w:tplc="0816001B" w:tentative="1">
      <w:start w:val="1"/>
      <w:numFmt w:val="lowerRoman"/>
      <w:lvlText w:val="%6."/>
      <w:lvlJc w:val="right"/>
      <w:pPr>
        <w:ind w:left="4385" w:hanging="180"/>
      </w:pPr>
    </w:lvl>
    <w:lvl w:ilvl="6" w:tplc="0816000F" w:tentative="1">
      <w:start w:val="1"/>
      <w:numFmt w:val="decimal"/>
      <w:lvlText w:val="%7."/>
      <w:lvlJc w:val="left"/>
      <w:pPr>
        <w:ind w:left="5105" w:hanging="360"/>
      </w:pPr>
    </w:lvl>
    <w:lvl w:ilvl="7" w:tplc="08160019" w:tentative="1">
      <w:start w:val="1"/>
      <w:numFmt w:val="lowerLetter"/>
      <w:lvlText w:val="%8."/>
      <w:lvlJc w:val="left"/>
      <w:pPr>
        <w:ind w:left="5825" w:hanging="360"/>
      </w:pPr>
    </w:lvl>
    <w:lvl w:ilvl="8" w:tplc="0816001B" w:tentative="1">
      <w:start w:val="1"/>
      <w:numFmt w:val="lowerRoman"/>
      <w:lvlText w:val="%9."/>
      <w:lvlJc w:val="right"/>
      <w:pPr>
        <w:ind w:left="6545" w:hanging="180"/>
      </w:pPr>
    </w:lvl>
  </w:abstractNum>
  <w:abstractNum w:abstractNumId="9">
    <w:nsid w:val="03406DD5"/>
    <w:multiLevelType w:val="hybridMultilevel"/>
    <w:tmpl w:val="0E6A64DE"/>
    <w:lvl w:ilvl="0" w:tplc="2E20EBE0">
      <w:start w:val="1"/>
      <mc:AlternateContent>
        <mc:Choice Requires="w14">
          <w:numFmt w:val="custom" w:format="а, й, к, ..."/>
        </mc:Choice>
        <mc:Fallback>
          <w:numFmt w:val="decimal"/>
        </mc:Fallback>
      </mc:AlternateContent>
      <w:lvlText w:val="%1)"/>
      <w:lvlJc w:val="left"/>
      <w:pPr>
        <w:ind w:left="1429" w:hanging="360"/>
      </w:pPr>
      <w:rPr>
        <w:rFonts w:ascii="Times New Roman" w:eastAsia="Arial" w:hAnsi="Times New Roman" w:cs="Times New Roman"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nsid w:val="04463084"/>
    <w:multiLevelType w:val="multilevel"/>
    <w:tmpl w:val="EC587F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04C64932"/>
    <w:multiLevelType w:val="hybridMultilevel"/>
    <w:tmpl w:val="63729FF6"/>
    <w:lvl w:ilvl="0" w:tplc="36AA9FDA">
      <w:start w:val="1"/>
      <mc:AlternateContent>
        <mc:Choice Requires="w14">
          <w:numFmt w:val="custom" w:format="а, й, к, ..."/>
        </mc:Choice>
        <mc:Fallback>
          <w:numFmt w:val="decimal"/>
        </mc:Fallback>
      </mc:AlternateContent>
      <w:lvlText w:val="%1)"/>
      <w:lvlJc w:val="left"/>
      <w:pPr>
        <w:ind w:left="360" w:hanging="360"/>
      </w:pPr>
      <w:rPr>
        <w:rFonts w:ascii="Times New Roman" w:eastAsia="Arial" w:hAnsi="Times New Roman" w:cs="Times New Roman"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050E1257"/>
    <w:multiLevelType w:val="hybridMultilevel"/>
    <w:tmpl w:val="D81AE5EE"/>
    <w:lvl w:ilvl="0" w:tplc="704EBBC2">
      <w:start w:val="1"/>
      <mc:AlternateContent>
        <mc:Choice Requires="w14">
          <w:numFmt w:val="custom" w:format="а, й, к, ..."/>
        </mc:Choice>
        <mc:Fallback>
          <w:numFmt w:val="decimal"/>
        </mc:Fallback>
      </mc:AlternateContent>
      <w:lvlText w:val="%1)"/>
      <w:lvlJc w:val="left"/>
      <w:pPr>
        <w:ind w:left="1080" w:hanging="360"/>
      </w:pPr>
      <w:rPr>
        <w:rFonts w:ascii="Times New Roman" w:eastAsia="Arial" w:hAnsi="Times New Roman" w:cs="Times New Roman" w:hint="default"/>
        <w:b w:val="0"/>
        <w:i w:val="0"/>
        <w:strike w:val="0"/>
        <w:dstrike w:val="0"/>
        <w:color w:val="000000"/>
        <w:sz w:val="24"/>
        <w:szCs w:val="24"/>
        <w:u w:val="none" w:color="000000"/>
        <w:vertAlign w:val="baseline"/>
      </w:rPr>
    </w:lvl>
    <w:lvl w:ilvl="1" w:tplc="7C460208">
      <w:start w:val="1"/>
      <w:numFmt w:val="decimal"/>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05826CD4"/>
    <w:multiLevelType w:val="hybridMultilevel"/>
    <w:tmpl w:val="A2A079AE"/>
    <w:lvl w:ilvl="0" w:tplc="224AE4EC">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091" w:hanging="360"/>
      </w:pPr>
      <w:rPr>
        <w:rFonts w:ascii="Courier New" w:hAnsi="Courier New" w:cs="Courier New" w:hint="default"/>
      </w:rPr>
    </w:lvl>
    <w:lvl w:ilvl="2" w:tplc="08090005" w:tentative="1">
      <w:start w:val="1"/>
      <w:numFmt w:val="bullet"/>
      <w:lvlText w:val=""/>
      <w:lvlJc w:val="left"/>
      <w:pPr>
        <w:ind w:left="1811" w:hanging="360"/>
      </w:pPr>
      <w:rPr>
        <w:rFonts w:ascii="Wingdings" w:hAnsi="Wingdings" w:hint="default"/>
      </w:rPr>
    </w:lvl>
    <w:lvl w:ilvl="3" w:tplc="08090001" w:tentative="1">
      <w:start w:val="1"/>
      <w:numFmt w:val="bullet"/>
      <w:lvlText w:val=""/>
      <w:lvlJc w:val="left"/>
      <w:pPr>
        <w:ind w:left="2531" w:hanging="360"/>
      </w:pPr>
      <w:rPr>
        <w:rFonts w:ascii="Symbol" w:hAnsi="Symbol" w:hint="default"/>
      </w:rPr>
    </w:lvl>
    <w:lvl w:ilvl="4" w:tplc="08090003" w:tentative="1">
      <w:start w:val="1"/>
      <w:numFmt w:val="bullet"/>
      <w:lvlText w:val="o"/>
      <w:lvlJc w:val="left"/>
      <w:pPr>
        <w:ind w:left="3251" w:hanging="360"/>
      </w:pPr>
      <w:rPr>
        <w:rFonts w:ascii="Courier New" w:hAnsi="Courier New" w:cs="Courier New" w:hint="default"/>
      </w:rPr>
    </w:lvl>
    <w:lvl w:ilvl="5" w:tplc="08090005" w:tentative="1">
      <w:start w:val="1"/>
      <w:numFmt w:val="bullet"/>
      <w:lvlText w:val=""/>
      <w:lvlJc w:val="left"/>
      <w:pPr>
        <w:ind w:left="3971" w:hanging="360"/>
      </w:pPr>
      <w:rPr>
        <w:rFonts w:ascii="Wingdings" w:hAnsi="Wingdings" w:hint="default"/>
      </w:rPr>
    </w:lvl>
    <w:lvl w:ilvl="6" w:tplc="08090001" w:tentative="1">
      <w:start w:val="1"/>
      <w:numFmt w:val="bullet"/>
      <w:lvlText w:val=""/>
      <w:lvlJc w:val="left"/>
      <w:pPr>
        <w:ind w:left="4691" w:hanging="360"/>
      </w:pPr>
      <w:rPr>
        <w:rFonts w:ascii="Symbol" w:hAnsi="Symbol" w:hint="default"/>
      </w:rPr>
    </w:lvl>
    <w:lvl w:ilvl="7" w:tplc="08090003" w:tentative="1">
      <w:start w:val="1"/>
      <w:numFmt w:val="bullet"/>
      <w:lvlText w:val="o"/>
      <w:lvlJc w:val="left"/>
      <w:pPr>
        <w:ind w:left="5411" w:hanging="360"/>
      </w:pPr>
      <w:rPr>
        <w:rFonts w:ascii="Courier New" w:hAnsi="Courier New" w:cs="Courier New" w:hint="default"/>
      </w:rPr>
    </w:lvl>
    <w:lvl w:ilvl="8" w:tplc="08090005" w:tentative="1">
      <w:start w:val="1"/>
      <w:numFmt w:val="bullet"/>
      <w:lvlText w:val=""/>
      <w:lvlJc w:val="left"/>
      <w:pPr>
        <w:ind w:left="6131" w:hanging="360"/>
      </w:pPr>
      <w:rPr>
        <w:rFonts w:ascii="Wingdings" w:hAnsi="Wingdings" w:hint="default"/>
      </w:rPr>
    </w:lvl>
  </w:abstractNum>
  <w:abstractNum w:abstractNumId="14">
    <w:nsid w:val="05BC1A19"/>
    <w:multiLevelType w:val="hybridMultilevel"/>
    <w:tmpl w:val="AB1E4F5C"/>
    <w:lvl w:ilvl="0" w:tplc="09F8E2EC">
      <w:start w:val="1"/>
      <mc:AlternateContent>
        <mc:Choice Requires="w14">
          <w:numFmt w:val="custom" w:format="а, й, к, ..."/>
        </mc:Choice>
        <mc:Fallback>
          <w:numFmt w:val="decimal"/>
        </mc:Fallback>
      </mc:AlternateContent>
      <w:lvlText w:val="%1)"/>
      <w:lvlJc w:val="left"/>
      <w:pPr>
        <w:ind w:left="1429" w:hanging="360"/>
      </w:pPr>
      <w:rPr>
        <w:rFonts w:ascii="Times New Roman" w:eastAsia="Arial" w:hAnsi="Times New Roman" w:cs="Times New Roman"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nsid w:val="07FB552C"/>
    <w:multiLevelType w:val="hybridMultilevel"/>
    <w:tmpl w:val="36466EC2"/>
    <w:lvl w:ilvl="0" w:tplc="90A691FC">
      <w:start w:val="1"/>
      <mc:AlternateContent>
        <mc:Choice Requires="w14">
          <w:numFmt w:val="custom" w:format="а, й, к, ..."/>
        </mc:Choice>
        <mc:Fallback>
          <w:numFmt w:val="decimal"/>
        </mc:Fallback>
      </mc:AlternateContent>
      <w:lvlText w:val="%1)"/>
      <w:lvlJc w:val="left"/>
      <w:pPr>
        <w:ind w:left="1429" w:hanging="360"/>
      </w:pPr>
      <w:rPr>
        <w:rFonts w:ascii="Times New Roman" w:eastAsia="Arial" w:hAnsi="Times New Roman" w:cs="Times New Roman"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6">
    <w:nsid w:val="08915652"/>
    <w:multiLevelType w:val="hybridMultilevel"/>
    <w:tmpl w:val="B1C8EDC6"/>
    <w:lvl w:ilvl="0" w:tplc="0809001B">
      <w:start w:val="1"/>
      <w:numFmt w:val="lowerRoman"/>
      <w:lvlText w:val="%1."/>
      <w:lvlJc w:val="righ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09F123B6"/>
    <w:multiLevelType w:val="hybridMultilevel"/>
    <w:tmpl w:val="51048DFA"/>
    <w:lvl w:ilvl="0" w:tplc="2AFEADA4">
      <w:start w:val="1"/>
      <mc:AlternateContent>
        <mc:Choice Requires="w14">
          <w:numFmt w:val="custom" w:format="а, й, к, ..."/>
        </mc:Choice>
        <mc:Fallback>
          <w:numFmt w:val="decimal"/>
        </mc:Fallback>
      </mc:AlternateContent>
      <w:lvlText w:val="%1."/>
      <w:lvlJc w:val="left"/>
      <w:pPr>
        <w:ind w:left="720" w:hanging="360"/>
      </w:pPr>
      <w:rPr>
        <w:rFonts w:ascii="Times New Roman" w:eastAsia="Arial" w:hAnsi="Times New Roman" w:cs="Times New Roman" w:hint="default"/>
        <w:b w:val="0"/>
        <w:i w:val="0"/>
        <w:strike w:val="0"/>
        <w:dstrike w:val="0"/>
        <w:color w:val="000000"/>
        <w:sz w:val="24"/>
        <w:szCs w:val="24"/>
        <w:u w:val="none" w:color="000000"/>
        <w:vertAlign w:val="baseli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nsid w:val="0A7E4021"/>
    <w:multiLevelType w:val="hybridMultilevel"/>
    <w:tmpl w:val="708ADD1E"/>
    <w:lvl w:ilvl="0" w:tplc="50368A12">
      <w:start w:val="1"/>
      <mc:AlternateContent>
        <mc:Choice Requires="w14">
          <w:numFmt w:val="custom" w:format="а, й, к, ..."/>
        </mc:Choice>
        <mc:Fallback>
          <w:numFmt w:val="decimal"/>
        </mc:Fallback>
      </mc:AlternateContent>
      <w:lvlText w:val="%1)"/>
      <w:lvlJc w:val="left"/>
      <w:pPr>
        <w:ind w:left="1429" w:hanging="360"/>
      </w:pPr>
      <w:rPr>
        <w:rFonts w:ascii="Times New Roman" w:eastAsia="Arial" w:hAnsi="Times New Roman" w:cs="Times New Roman"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9">
    <w:nsid w:val="0B533329"/>
    <w:multiLevelType w:val="hybridMultilevel"/>
    <w:tmpl w:val="C342758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nsid w:val="0BF72E00"/>
    <w:multiLevelType w:val="hybridMultilevel"/>
    <w:tmpl w:val="DD2CA332"/>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0DE41DAE"/>
    <w:multiLevelType w:val="hybridMultilevel"/>
    <w:tmpl w:val="5EA09F76"/>
    <w:lvl w:ilvl="0" w:tplc="1A8A8A6E">
      <w:start w:val="1"/>
      <mc:AlternateContent>
        <mc:Choice Requires="w14">
          <w:numFmt w:val="custom" w:format="а, й, к, ..."/>
        </mc:Choice>
        <mc:Fallback>
          <w:numFmt w:val="decimal"/>
        </mc:Fallback>
      </mc:AlternateContent>
      <w:lvlText w:val="%1)"/>
      <w:lvlJc w:val="left"/>
      <w:pPr>
        <w:ind w:left="720" w:hanging="360"/>
      </w:pPr>
      <w:rPr>
        <w:rFonts w:ascii="Times New Roman" w:eastAsia="Arial" w:hAnsi="Times New Roman" w:cs="Times New Roman" w:hint="default"/>
        <w:b w:val="0"/>
        <w:i w:val="0"/>
        <w:strike w:val="0"/>
        <w:dstrike w:val="0"/>
        <w:color w:val="000000"/>
        <w:sz w:val="24"/>
        <w:szCs w:val="24"/>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0E3B2876"/>
    <w:multiLevelType w:val="hybridMultilevel"/>
    <w:tmpl w:val="ED267130"/>
    <w:lvl w:ilvl="0" w:tplc="08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
    <w:nsid w:val="0E67283E"/>
    <w:multiLevelType w:val="hybridMultilevel"/>
    <w:tmpl w:val="37AAE84C"/>
    <w:lvl w:ilvl="0" w:tplc="F2F660E2">
      <w:numFmt w:val="bullet"/>
      <w:lvlText w:val="•"/>
      <w:lvlJc w:val="left"/>
      <w:pPr>
        <w:ind w:left="360" w:hanging="360"/>
      </w:pPr>
      <w:rPr>
        <w:rFonts w:ascii="Times New Roman" w:eastAsiaTheme="minorHAnsi" w:hAnsi="Times New Roman" w:cs="Times New Roman"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24">
    <w:nsid w:val="0FC4125E"/>
    <w:multiLevelType w:val="hybridMultilevel"/>
    <w:tmpl w:val="2054AB46"/>
    <w:lvl w:ilvl="0" w:tplc="478072A8">
      <w:start w:val="1"/>
      <mc:AlternateContent>
        <mc:Choice Requires="w14">
          <w:numFmt w:val="custom" w:format="а, й, к, ..."/>
        </mc:Choice>
        <mc:Fallback>
          <w:numFmt w:val="decimal"/>
        </mc:Fallback>
      </mc:AlternateContent>
      <w:lvlText w:val="%1)"/>
      <w:lvlJc w:val="left"/>
      <w:pPr>
        <w:ind w:left="720" w:hanging="360"/>
      </w:pPr>
      <w:rPr>
        <w:rFonts w:ascii="Times New Roman" w:eastAsia="Arial" w:hAnsi="Times New Roman" w:cs="Times New Roman"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0FCD64C0"/>
    <w:multiLevelType w:val="hybridMultilevel"/>
    <w:tmpl w:val="1154092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10DD1C07"/>
    <w:multiLevelType w:val="hybridMultilevel"/>
    <w:tmpl w:val="C852AC98"/>
    <w:lvl w:ilvl="0" w:tplc="08090001">
      <w:start w:val="1"/>
      <w:numFmt w:val="bullet"/>
      <w:lvlText w:val=""/>
      <w:lvlJc w:val="left"/>
      <w:pPr>
        <w:ind w:left="1429" w:hanging="360"/>
      </w:pPr>
      <w:rPr>
        <w:rFonts w:ascii="Symbol" w:hAnsi="Symbol"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7">
    <w:nsid w:val="11743401"/>
    <w:multiLevelType w:val="hybridMultilevel"/>
    <w:tmpl w:val="A4747A1A"/>
    <w:lvl w:ilvl="0" w:tplc="9A206DC0">
      <w:start w:val="1"/>
      <mc:AlternateContent>
        <mc:Choice Requires="w14">
          <w:numFmt w:val="custom" w:format="а, й, к, ..."/>
        </mc:Choice>
        <mc:Fallback>
          <w:numFmt w:val="decimal"/>
        </mc:Fallback>
      </mc:AlternateContent>
      <w:lvlText w:val="%1)"/>
      <w:lvlJc w:val="left"/>
      <w:pPr>
        <w:ind w:left="1444" w:hanging="735"/>
      </w:pPr>
      <w:rPr>
        <w:rFonts w:ascii="Times New Roman" w:eastAsia="Arial" w:hAnsi="Times New Roman" w:cs="Times New Roman" w:hint="default"/>
        <w:b w:val="0"/>
        <w:i w:val="0"/>
        <w:strike w:val="0"/>
        <w:dstrike w:val="0"/>
        <w:color w:val="000000"/>
        <w:sz w:val="24"/>
        <w:szCs w:val="24"/>
        <w:u w:val="none" w:color="000000"/>
        <w:vertAlign w:val="baseline"/>
      </w:rPr>
    </w:lvl>
    <w:lvl w:ilvl="1" w:tplc="9820750A">
      <w:numFmt w:val="bullet"/>
      <w:lvlText w:val="•"/>
      <w:lvlJc w:val="left"/>
      <w:pPr>
        <w:ind w:left="1815" w:hanging="735"/>
      </w:pPr>
      <w:rPr>
        <w:rFonts w:ascii="Times New Roman" w:eastAsiaTheme="minorHAns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132D68F1"/>
    <w:multiLevelType w:val="hybridMultilevel"/>
    <w:tmpl w:val="72546D48"/>
    <w:lvl w:ilvl="0" w:tplc="0409000F">
      <w:start w:val="1"/>
      <w:numFmt w:val="decimal"/>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29">
    <w:nsid w:val="143D2CF2"/>
    <w:multiLevelType w:val="hybridMultilevel"/>
    <w:tmpl w:val="0B2022CC"/>
    <w:lvl w:ilvl="0" w:tplc="72A23C58">
      <w:start w:val="1"/>
      <mc:AlternateContent>
        <mc:Choice Requires="w14">
          <w:numFmt w:val="custom" w:format="а, й, к, ..."/>
        </mc:Choice>
        <mc:Fallback>
          <w:numFmt w:val="decimal"/>
        </mc:Fallback>
      </mc:AlternateContent>
      <w:lvlText w:val="%1)"/>
      <w:lvlJc w:val="left"/>
      <w:pPr>
        <w:ind w:left="360" w:hanging="360"/>
      </w:pPr>
      <w:rPr>
        <w:rFonts w:ascii="Times New Roman" w:eastAsia="Arial" w:hAnsi="Times New Roman" w:cs="Times New Roman" w:hint="default"/>
        <w:b w:val="0"/>
        <w:i w:val="0"/>
        <w:strike w:val="0"/>
        <w:dstrike w:val="0"/>
        <w:color w:val="000000"/>
        <w:sz w:val="24"/>
        <w:szCs w:val="24"/>
        <w:u w:val="none" w:color="000000"/>
        <w:vertAlign w:val="baseline"/>
      </w:rPr>
    </w:lvl>
    <w:lvl w:ilvl="1" w:tplc="0410001B">
      <w:start w:val="1"/>
      <w:numFmt w:val="low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nsid w:val="156B6A43"/>
    <w:multiLevelType w:val="hybridMultilevel"/>
    <w:tmpl w:val="C8202400"/>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nsid w:val="1697510B"/>
    <w:multiLevelType w:val="hybridMultilevel"/>
    <w:tmpl w:val="DA78ABE2"/>
    <w:lvl w:ilvl="0" w:tplc="98D82CDE">
      <w:start w:val="1"/>
      <mc:AlternateContent>
        <mc:Choice Requires="w14">
          <w:numFmt w:val="custom" w:format="а, й, к, ..."/>
        </mc:Choice>
        <mc:Fallback>
          <w:numFmt w:val="decimal"/>
        </mc:Fallback>
      </mc:AlternateContent>
      <w:lvlText w:val="%1)"/>
      <w:lvlJc w:val="left"/>
      <w:pPr>
        <w:ind w:left="1146" w:hanging="360"/>
      </w:pPr>
      <w:rPr>
        <w:rFonts w:ascii="Times New Roman" w:eastAsia="Arial" w:hAnsi="Times New Roman" w:cs="Times New Roman" w:hint="default"/>
        <w:b w:val="0"/>
        <w:i w:val="0"/>
        <w:strike w:val="0"/>
        <w:dstrike w:val="0"/>
        <w:color w:val="000000"/>
        <w:sz w:val="24"/>
        <w:szCs w:val="24"/>
        <w:u w:val="none" w:color="000000"/>
        <w:vertAlign w:val="baseline"/>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2">
    <w:nsid w:val="175C52A5"/>
    <w:multiLevelType w:val="multilevel"/>
    <w:tmpl w:val="7F880D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192607B3"/>
    <w:multiLevelType w:val="hybridMultilevel"/>
    <w:tmpl w:val="812E4DBA"/>
    <w:lvl w:ilvl="0" w:tplc="0B90F794">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5">
    <w:nsid w:val="1D0F04A0"/>
    <w:multiLevelType w:val="hybridMultilevel"/>
    <w:tmpl w:val="6602C702"/>
    <w:lvl w:ilvl="0" w:tplc="3744855A">
      <w:start w:val="1"/>
      <mc:AlternateContent>
        <mc:Choice Requires="w14">
          <w:numFmt w:val="custom" w:format="а, й, к, ..."/>
        </mc:Choice>
        <mc:Fallback>
          <w:numFmt w:val="decimal"/>
        </mc:Fallback>
      </mc:AlternateContent>
      <w:lvlText w:val="%1)"/>
      <w:lvlJc w:val="left"/>
      <w:pPr>
        <w:ind w:left="720" w:hanging="360"/>
      </w:pPr>
      <w:rPr>
        <w:rFonts w:ascii="Times New Roman" w:eastAsia="Arial" w:hAnsi="Times New Roman" w:cs="Times New Roman" w:hint="default"/>
        <w:b w:val="0"/>
        <w:i w:val="0"/>
        <w:strike w:val="0"/>
        <w:dstrike w:val="0"/>
        <w:color w:val="000000"/>
        <w:sz w:val="24"/>
        <w:szCs w:val="24"/>
        <w:u w:val="none" w:color="000000"/>
        <w:vertAlign w:val="baseli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nsid w:val="1EAA26B3"/>
    <w:multiLevelType w:val="hybridMultilevel"/>
    <w:tmpl w:val="AFC2569C"/>
    <w:lvl w:ilvl="0" w:tplc="0C0A0011">
      <w:start w:val="1"/>
      <w:numFmt w:val="decimal"/>
      <w:lvlText w:val="%1)"/>
      <w:lvlJc w:val="left"/>
      <w:pPr>
        <w:ind w:left="360" w:hanging="360"/>
      </w:pPr>
      <w:rPr>
        <w:rFont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7">
    <w:nsid w:val="1F867D0D"/>
    <w:multiLevelType w:val="hybridMultilevel"/>
    <w:tmpl w:val="AF5A99A4"/>
    <w:lvl w:ilvl="0" w:tplc="892E0A2C">
      <w:start w:val="1"/>
      <w:numFmt w:val="lowerRoman"/>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8">
    <w:nsid w:val="1FC57EB4"/>
    <w:multiLevelType w:val="hybridMultilevel"/>
    <w:tmpl w:val="16E6FAEE"/>
    <w:lvl w:ilvl="0" w:tplc="04C6737C">
      <w:start w:val="1"/>
      <mc:AlternateContent>
        <mc:Choice Requires="w14">
          <w:numFmt w:val="custom" w:format="а, й, к, ..."/>
        </mc:Choice>
        <mc:Fallback>
          <w:numFmt w:val="decimal"/>
        </mc:Fallback>
      </mc:AlternateContent>
      <w:lvlText w:val="%1)"/>
      <w:lvlJc w:val="left"/>
      <w:pPr>
        <w:ind w:left="720" w:hanging="360"/>
      </w:pPr>
      <w:rPr>
        <w:rFonts w:ascii="Times New Roman" w:eastAsia="Arial" w:hAnsi="Times New Roman" w:cs="Times New Roman" w:hint="default"/>
        <w:b w:val="0"/>
        <w:i w:val="0"/>
        <w:strike w:val="0"/>
        <w:dstrike w:val="0"/>
        <w:color w:val="000000"/>
        <w:sz w:val="24"/>
        <w:szCs w:val="24"/>
        <w:u w:val="none" w:color="000000"/>
        <w:vertAlign w:val="baseli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nsid w:val="20661B2B"/>
    <w:multiLevelType w:val="hybridMultilevel"/>
    <w:tmpl w:val="B1C8EDC6"/>
    <w:lvl w:ilvl="0" w:tplc="0809001B">
      <w:start w:val="1"/>
      <w:numFmt w:val="lowerRoman"/>
      <w:lvlText w:val="%1."/>
      <w:lvlJc w:val="righ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nsid w:val="20CA250E"/>
    <w:multiLevelType w:val="hybridMultilevel"/>
    <w:tmpl w:val="215E9566"/>
    <w:lvl w:ilvl="0" w:tplc="FE1C0280">
      <w:start w:val="1"/>
      <mc:AlternateContent>
        <mc:Choice Requires="w14">
          <w:numFmt w:val="custom" w:format="а, й, к, ..."/>
        </mc:Choice>
        <mc:Fallback>
          <w:numFmt w:val="decimal"/>
        </mc:Fallback>
      </mc:AlternateContent>
      <w:lvlText w:val="%1)"/>
      <w:lvlJc w:val="left"/>
      <w:pPr>
        <w:ind w:left="720" w:hanging="360"/>
      </w:pPr>
      <w:rPr>
        <w:rFonts w:ascii="Times New Roman" w:eastAsia="Arial" w:hAnsi="Times New Roman" w:cs="Times New Roman" w:hint="default"/>
        <w:b w:val="0"/>
        <w:i w:val="0"/>
        <w:strike w:val="0"/>
        <w:dstrike w:val="0"/>
        <w:color w:val="000000"/>
        <w:sz w:val="24"/>
        <w:szCs w:val="24"/>
        <w:u w:val="none" w:color="000000"/>
        <w:vertAlign w:val="baseli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nsid w:val="22E44180"/>
    <w:multiLevelType w:val="multilevel"/>
    <w:tmpl w:val="4B16EF00"/>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23ED68BB"/>
    <w:multiLevelType w:val="hybridMultilevel"/>
    <w:tmpl w:val="46C2EA6C"/>
    <w:lvl w:ilvl="0" w:tplc="F29E19D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nsid w:val="25404E49"/>
    <w:multiLevelType w:val="hybridMultilevel"/>
    <w:tmpl w:val="19064A7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4">
    <w:nsid w:val="27A17326"/>
    <w:multiLevelType w:val="multilevel"/>
    <w:tmpl w:val="974855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nsid w:val="2872466F"/>
    <w:multiLevelType w:val="hybridMultilevel"/>
    <w:tmpl w:val="9A66D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28AD3912"/>
    <w:multiLevelType w:val="hybridMultilevel"/>
    <w:tmpl w:val="AFC2569C"/>
    <w:lvl w:ilvl="0" w:tplc="0C0A0011">
      <w:start w:val="1"/>
      <w:numFmt w:val="decimal"/>
      <w:lvlText w:val="%1)"/>
      <w:lvlJc w:val="left"/>
      <w:pPr>
        <w:ind w:left="360" w:hanging="360"/>
      </w:pPr>
      <w:rPr>
        <w:rFont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7">
    <w:nsid w:val="28FB5300"/>
    <w:multiLevelType w:val="hybridMultilevel"/>
    <w:tmpl w:val="ED683F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29AA1EDE"/>
    <w:multiLevelType w:val="hybridMultilevel"/>
    <w:tmpl w:val="B1C8EDC6"/>
    <w:lvl w:ilvl="0" w:tplc="0809001B">
      <w:start w:val="1"/>
      <w:numFmt w:val="lowerRoman"/>
      <w:lvlText w:val="%1."/>
      <w:lvlJc w:val="righ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9">
    <w:nsid w:val="2A9A0C23"/>
    <w:multiLevelType w:val="hybridMultilevel"/>
    <w:tmpl w:val="CC546B6A"/>
    <w:lvl w:ilvl="0" w:tplc="38906876">
      <w:start w:val="1"/>
      <mc:AlternateContent>
        <mc:Choice Requires="w14">
          <w:numFmt w:val="custom" w:format="а, й, к, ..."/>
        </mc:Choice>
        <mc:Fallback>
          <w:numFmt w:val="decimal"/>
        </mc:Fallback>
      </mc:AlternateContent>
      <w:lvlText w:val="%1)"/>
      <w:lvlJc w:val="left"/>
      <w:pPr>
        <w:ind w:left="1429" w:hanging="360"/>
      </w:pPr>
      <w:rPr>
        <w:rFonts w:ascii="Times New Roman" w:eastAsia="Arial" w:hAnsi="Times New Roman" w:cs="Times New Roman"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0">
    <w:nsid w:val="2AC454D0"/>
    <w:multiLevelType w:val="hybridMultilevel"/>
    <w:tmpl w:val="D1F2D384"/>
    <w:lvl w:ilvl="0" w:tplc="08090019">
      <w:start w:val="1"/>
      <w:numFmt w:val="lowerLetter"/>
      <w:lvlText w:val="%1."/>
      <w:lvlJc w:val="left"/>
      <w:pPr>
        <w:ind w:left="1429" w:hanging="360"/>
      </w:pPr>
    </w:lvl>
    <w:lvl w:ilvl="1" w:tplc="0809001B">
      <w:start w:val="1"/>
      <w:numFmt w:val="lowerRoman"/>
      <w:lvlText w:val="%2."/>
      <w:lvlJc w:val="righ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51">
    <w:nsid w:val="2B021AF9"/>
    <w:multiLevelType w:val="hybridMultilevel"/>
    <w:tmpl w:val="E93E7FEC"/>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nsid w:val="2B9E0268"/>
    <w:multiLevelType w:val="hybridMultilevel"/>
    <w:tmpl w:val="007AB2AA"/>
    <w:lvl w:ilvl="0" w:tplc="0C0A001B">
      <w:start w:val="1"/>
      <w:numFmt w:val="lowerRoman"/>
      <w:lvlText w:val="%1."/>
      <w:lvlJc w:val="righ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3">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54">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55">
    <w:nsid w:val="2D7B7DD8"/>
    <w:multiLevelType w:val="hybridMultilevel"/>
    <w:tmpl w:val="B1C8EDC6"/>
    <w:lvl w:ilvl="0" w:tplc="0809001B">
      <w:start w:val="1"/>
      <w:numFmt w:val="lowerRoman"/>
      <w:lvlText w:val="%1."/>
      <w:lvlJc w:val="righ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6">
    <w:nsid w:val="2D972AD3"/>
    <w:multiLevelType w:val="hybridMultilevel"/>
    <w:tmpl w:val="B5ECBD3E"/>
    <w:lvl w:ilvl="0" w:tplc="992CCEA4">
      <w:start w:val="1"/>
      <mc:AlternateContent>
        <mc:Choice Requires="w14">
          <w:numFmt w:val="custom" w:format="а, й, к, ..."/>
        </mc:Choice>
        <mc:Fallback>
          <w:numFmt w:val="decimal"/>
        </mc:Fallback>
      </mc:AlternateContent>
      <w:lvlText w:val="%1)"/>
      <w:lvlJc w:val="left"/>
      <w:pPr>
        <w:ind w:left="720" w:hanging="360"/>
      </w:pPr>
      <w:rPr>
        <w:rFonts w:ascii="Times New Roman" w:eastAsia="Arial" w:hAnsi="Times New Roman" w:cs="Times New Roman" w:hint="default"/>
        <w:b w:val="0"/>
        <w:i w:val="0"/>
        <w:strike w:val="0"/>
        <w:dstrike w:val="0"/>
        <w:color w:val="000000"/>
        <w:sz w:val="24"/>
        <w:szCs w:val="24"/>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nsid w:val="2E360B7E"/>
    <w:multiLevelType w:val="hybridMultilevel"/>
    <w:tmpl w:val="EC4E2F84"/>
    <w:lvl w:ilvl="0" w:tplc="52086330">
      <w:start w:val="1"/>
      <mc:AlternateContent>
        <mc:Choice Requires="w14">
          <w:numFmt w:val="custom" w:format="а, й, к, ..."/>
        </mc:Choice>
        <mc:Fallback>
          <w:numFmt w:val="decimal"/>
        </mc:Fallback>
      </mc:AlternateContent>
      <w:lvlText w:val="%1)"/>
      <w:lvlJc w:val="left"/>
      <w:pPr>
        <w:ind w:left="720" w:hanging="360"/>
      </w:pPr>
      <w:rPr>
        <w:rFonts w:ascii="Times New Roman" w:eastAsia="Arial" w:hAnsi="Times New Roman" w:cs="Times New Roman"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308B074D"/>
    <w:multiLevelType w:val="hybridMultilevel"/>
    <w:tmpl w:val="C21EAFF0"/>
    <w:lvl w:ilvl="0" w:tplc="03542C54">
      <w:start w:val="1"/>
      <mc:AlternateContent>
        <mc:Choice Requires="w14">
          <w:numFmt w:val="custom" w:format="а, й, к, ..."/>
        </mc:Choice>
        <mc:Fallback>
          <w:numFmt w:val="decimal"/>
        </mc:Fallback>
      </mc:AlternateContent>
      <w:lvlText w:val="%1)"/>
      <w:lvlJc w:val="left"/>
      <w:pPr>
        <w:ind w:left="720" w:hanging="360"/>
      </w:pPr>
      <w:rPr>
        <w:rFonts w:ascii="Times New Roman" w:eastAsia="Arial" w:hAnsi="Times New Roman" w:cs="Times New Roman" w:hint="default"/>
        <w:b w:val="0"/>
        <w:i w:val="0"/>
        <w:strike w:val="0"/>
        <w:dstrike w:val="0"/>
        <w:color w:val="000000"/>
        <w:sz w:val="24"/>
        <w:szCs w:val="24"/>
        <w:u w:val="none" w:color="000000"/>
        <w:vertAlign w:val="baseline"/>
      </w:rPr>
    </w:lvl>
    <w:lvl w:ilvl="1" w:tplc="08090019">
      <w:start w:val="1"/>
      <w:numFmt w:val="lowerLetter"/>
      <w:lvlText w:val="%2."/>
      <w:lvlJc w:val="left"/>
      <w:pPr>
        <w:ind w:left="1440" w:hanging="360"/>
      </w:pPr>
    </w:lvl>
    <w:lvl w:ilvl="2" w:tplc="44E692C8">
      <w:start w:val="1"/>
      <w:numFmt w:val="lowerRoman"/>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nsid w:val="322A42BD"/>
    <w:multiLevelType w:val="hybridMultilevel"/>
    <w:tmpl w:val="23D63790"/>
    <w:lvl w:ilvl="0" w:tplc="08090001">
      <w:start w:val="1"/>
      <w:numFmt w:val="bullet"/>
      <w:lvlText w:val=""/>
      <w:lvlJc w:val="left"/>
      <w:pPr>
        <w:ind w:left="1429" w:hanging="360"/>
      </w:pPr>
      <w:rPr>
        <w:rFonts w:ascii="Symbol" w:hAnsi="Symbol"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0">
    <w:nsid w:val="32CA2E3B"/>
    <w:multiLevelType w:val="hybridMultilevel"/>
    <w:tmpl w:val="8D2086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1">
    <w:nsid w:val="33E63B41"/>
    <w:multiLevelType w:val="hybridMultilevel"/>
    <w:tmpl w:val="DC30DF38"/>
    <w:lvl w:ilvl="0" w:tplc="19FE6442">
      <w:start w:val="1"/>
      <mc:AlternateContent>
        <mc:Choice Requires="w14">
          <w:numFmt w:val="custom" w:format="а, й, к, ..."/>
        </mc:Choice>
        <mc:Fallback>
          <w:numFmt w:val="decimal"/>
        </mc:Fallback>
      </mc:AlternateContent>
      <w:lvlText w:val="%1)"/>
      <w:lvlJc w:val="left"/>
      <w:pPr>
        <w:ind w:left="720" w:hanging="360"/>
      </w:pPr>
      <w:rPr>
        <w:rFonts w:ascii="Times New Roman" w:eastAsia="Arial" w:hAnsi="Times New Roman" w:cs="Times New Roman"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34B83759"/>
    <w:multiLevelType w:val="hybridMultilevel"/>
    <w:tmpl w:val="29F63E72"/>
    <w:lvl w:ilvl="0" w:tplc="0DF493EE">
      <w:start w:val="1"/>
      <mc:AlternateContent>
        <mc:Choice Requires="w14">
          <w:numFmt w:val="custom" w:format="а, й, к, ..."/>
        </mc:Choice>
        <mc:Fallback>
          <w:numFmt w:val="decimal"/>
        </mc:Fallback>
      </mc:AlternateContent>
      <w:lvlText w:val="%1)"/>
      <w:lvlJc w:val="left"/>
      <w:pPr>
        <w:ind w:left="1080" w:hanging="360"/>
      </w:pPr>
      <w:rPr>
        <w:rFonts w:ascii="Times New Roman" w:eastAsia="Arial" w:hAnsi="Times New Roman" w:cs="Times New Roman" w:hint="default"/>
        <w:b w:val="0"/>
        <w:i w:val="0"/>
        <w:strike w:val="0"/>
        <w:dstrike w:val="0"/>
        <w:color w:val="000000"/>
        <w:sz w:val="24"/>
        <w:szCs w:val="24"/>
        <w:u w:val="none" w:color="000000"/>
        <w:vertAlign w:val="baseli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3">
    <w:nsid w:val="35345A99"/>
    <w:multiLevelType w:val="hybridMultilevel"/>
    <w:tmpl w:val="CCAC8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nsid w:val="3553699C"/>
    <w:multiLevelType w:val="hybridMultilevel"/>
    <w:tmpl w:val="3002477A"/>
    <w:lvl w:ilvl="0" w:tplc="86A633BC">
      <w:start w:val="1"/>
      <mc:AlternateContent>
        <mc:Choice Requires="w14">
          <w:numFmt w:val="custom" w:format="а, й, к, ..."/>
        </mc:Choice>
        <mc:Fallback>
          <w:numFmt w:val="decimal"/>
        </mc:Fallback>
      </mc:AlternateContent>
      <w:lvlText w:val="%1)"/>
      <w:lvlJc w:val="left"/>
      <w:pPr>
        <w:ind w:left="360" w:hanging="360"/>
      </w:pPr>
      <w:rPr>
        <w:rFonts w:ascii="Times New Roman" w:eastAsia="Arial" w:hAnsi="Times New Roman" w:cs="Times New Roman" w:hint="default"/>
        <w:b w:val="0"/>
        <w:i w:val="0"/>
        <w:strike w:val="0"/>
        <w:dstrike w:val="0"/>
        <w:color w:val="000000"/>
        <w:sz w:val="24"/>
        <w:szCs w:val="24"/>
        <w:u w:val="none" w:color="000000"/>
        <w:vertAlign w:val="baseli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5">
    <w:nsid w:val="35B64F34"/>
    <w:multiLevelType w:val="hybridMultilevel"/>
    <w:tmpl w:val="681EA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nsid w:val="37557CCC"/>
    <w:multiLevelType w:val="hybridMultilevel"/>
    <w:tmpl w:val="F43AF2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7">
    <w:nsid w:val="382D639E"/>
    <w:multiLevelType w:val="hybridMultilevel"/>
    <w:tmpl w:val="FC70E278"/>
    <w:lvl w:ilvl="0" w:tplc="08090017">
      <w:start w:val="1"/>
      <w:numFmt w:val="lowerLetter"/>
      <w:lvlText w:val="%1)"/>
      <w:lvlJc w:val="left"/>
      <w:pPr>
        <w:ind w:left="720" w:hanging="360"/>
      </w:pPr>
    </w:lvl>
    <w:lvl w:ilvl="1" w:tplc="040A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nsid w:val="39A82B28"/>
    <w:multiLevelType w:val="hybridMultilevel"/>
    <w:tmpl w:val="1BCA57AE"/>
    <w:lvl w:ilvl="0" w:tplc="10D623C0">
      <w:start w:val="1"/>
      <mc:AlternateContent>
        <mc:Choice Requires="w14">
          <w:numFmt w:val="custom" w:format="а, й, к, ..."/>
        </mc:Choice>
        <mc:Fallback>
          <w:numFmt w:val="decimal"/>
        </mc:Fallback>
      </mc:AlternateContent>
      <w:lvlText w:val="%1)"/>
      <w:lvlJc w:val="left"/>
      <w:pPr>
        <w:ind w:left="2704" w:hanging="360"/>
      </w:pPr>
      <w:rPr>
        <w:rFonts w:ascii="Times New Roman" w:eastAsia="Arial" w:hAnsi="Times New Roman" w:cs="Times New Roman"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3424" w:hanging="360"/>
      </w:pPr>
    </w:lvl>
    <w:lvl w:ilvl="2" w:tplc="0409001B" w:tentative="1">
      <w:start w:val="1"/>
      <w:numFmt w:val="lowerRoman"/>
      <w:lvlText w:val="%3."/>
      <w:lvlJc w:val="right"/>
      <w:pPr>
        <w:ind w:left="4144" w:hanging="180"/>
      </w:pPr>
    </w:lvl>
    <w:lvl w:ilvl="3" w:tplc="0409000F" w:tentative="1">
      <w:start w:val="1"/>
      <w:numFmt w:val="decimal"/>
      <w:lvlText w:val="%4."/>
      <w:lvlJc w:val="left"/>
      <w:pPr>
        <w:ind w:left="4864" w:hanging="360"/>
      </w:pPr>
    </w:lvl>
    <w:lvl w:ilvl="4" w:tplc="04090019" w:tentative="1">
      <w:start w:val="1"/>
      <w:numFmt w:val="lowerLetter"/>
      <w:lvlText w:val="%5."/>
      <w:lvlJc w:val="left"/>
      <w:pPr>
        <w:ind w:left="5584" w:hanging="360"/>
      </w:pPr>
    </w:lvl>
    <w:lvl w:ilvl="5" w:tplc="0409001B" w:tentative="1">
      <w:start w:val="1"/>
      <w:numFmt w:val="lowerRoman"/>
      <w:lvlText w:val="%6."/>
      <w:lvlJc w:val="right"/>
      <w:pPr>
        <w:ind w:left="6304" w:hanging="180"/>
      </w:pPr>
    </w:lvl>
    <w:lvl w:ilvl="6" w:tplc="0409000F" w:tentative="1">
      <w:start w:val="1"/>
      <w:numFmt w:val="decimal"/>
      <w:lvlText w:val="%7."/>
      <w:lvlJc w:val="left"/>
      <w:pPr>
        <w:ind w:left="7024" w:hanging="360"/>
      </w:pPr>
    </w:lvl>
    <w:lvl w:ilvl="7" w:tplc="04090019" w:tentative="1">
      <w:start w:val="1"/>
      <w:numFmt w:val="lowerLetter"/>
      <w:lvlText w:val="%8."/>
      <w:lvlJc w:val="left"/>
      <w:pPr>
        <w:ind w:left="7744" w:hanging="360"/>
      </w:pPr>
    </w:lvl>
    <w:lvl w:ilvl="8" w:tplc="0409001B" w:tentative="1">
      <w:start w:val="1"/>
      <w:numFmt w:val="lowerRoman"/>
      <w:lvlText w:val="%9."/>
      <w:lvlJc w:val="right"/>
      <w:pPr>
        <w:ind w:left="8464" w:hanging="180"/>
      </w:pPr>
    </w:lvl>
  </w:abstractNum>
  <w:abstractNum w:abstractNumId="69">
    <w:nsid w:val="3AB60FF4"/>
    <w:multiLevelType w:val="hybridMultilevel"/>
    <w:tmpl w:val="81EE0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3B3B0D0E"/>
    <w:multiLevelType w:val="hybridMultilevel"/>
    <w:tmpl w:val="3370D2EC"/>
    <w:lvl w:ilvl="0" w:tplc="41B421FE">
      <w:start w:val="1"/>
      <mc:AlternateContent>
        <mc:Choice Requires="w14">
          <w:numFmt w:val="custom" w:format="а, й, к, ..."/>
        </mc:Choice>
        <mc:Fallback>
          <w:numFmt w:val="decimal"/>
        </mc:Fallback>
      </mc:AlternateContent>
      <w:lvlText w:val="%1)"/>
      <w:lvlJc w:val="left"/>
      <w:pPr>
        <w:ind w:left="1429" w:hanging="360"/>
      </w:pPr>
      <w:rPr>
        <w:rFonts w:ascii="Times New Roman" w:eastAsia="Arial" w:hAnsi="Times New Roman" w:cs="Times New Roman" w:hint="default"/>
        <w:b w:val="0"/>
        <w:i w:val="0"/>
        <w:strike w:val="0"/>
        <w:dstrike w:val="0"/>
        <w:color w:val="000000"/>
        <w:sz w:val="24"/>
        <w:szCs w:val="24"/>
        <w:u w:val="none" w:color="000000"/>
        <w:vertAlign w:val="baseline"/>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71">
    <w:nsid w:val="3D3C77D2"/>
    <w:multiLevelType w:val="hybridMultilevel"/>
    <w:tmpl w:val="DE586414"/>
    <w:lvl w:ilvl="0" w:tplc="A7E485D8">
      <w:start w:val="1"/>
      <mc:AlternateContent>
        <mc:Choice Requires="w14">
          <w:numFmt w:val="custom" w:format="а, й, к, ..."/>
        </mc:Choice>
        <mc:Fallback>
          <w:numFmt w:val="decimal"/>
        </mc:Fallback>
      </mc:AlternateContent>
      <w:lvlText w:val="%1."/>
      <w:lvlJc w:val="left"/>
      <w:pPr>
        <w:ind w:left="1429" w:hanging="360"/>
      </w:pPr>
      <w:rPr>
        <w:rFonts w:ascii="Times New Roman" w:eastAsia="Arial" w:hAnsi="Times New Roman" w:cs="Times New Roman" w:hint="default"/>
        <w:b w:val="0"/>
        <w:i w:val="0"/>
        <w:strike w:val="0"/>
        <w:dstrike w:val="0"/>
        <w:color w:val="000000"/>
        <w:sz w:val="24"/>
        <w:szCs w:val="24"/>
        <w:u w:val="none" w:color="000000"/>
        <w:vertAlign w:val="baseline"/>
      </w:rPr>
    </w:lvl>
    <w:lvl w:ilvl="1" w:tplc="08090019">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72">
    <w:nsid w:val="3E267AD6"/>
    <w:multiLevelType w:val="hybridMultilevel"/>
    <w:tmpl w:val="923A1DD2"/>
    <w:lvl w:ilvl="0" w:tplc="0809000F">
      <w:start w:val="1"/>
      <w:numFmt w:val="decimal"/>
      <w:lvlText w:val="%1."/>
      <w:lvlJc w:val="left"/>
      <w:pPr>
        <w:ind w:left="1429" w:hanging="360"/>
      </w:pPr>
    </w:lvl>
    <w:lvl w:ilvl="1" w:tplc="08090019">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73">
    <w:nsid w:val="40280D20"/>
    <w:multiLevelType w:val="hybridMultilevel"/>
    <w:tmpl w:val="8AE4D1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76">
    <w:nsid w:val="43F42D98"/>
    <w:multiLevelType w:val="hybridMultilevel"/>
    <w:tmpl w:val="2F7292C4"/>
    <w:lvl w:ilvl="0" w:tplc="E97002CC">
      <w:start w:val="1"/>
      <mc:AlternateContent>
        <mc:Choice Requires="w14">
          <w:numFmt w:val="custom" w:format="а, й, к, ..."/>
        </mc:Choice>
        <mc:Fallback>
          <w:numFmt w:val="decimal"/>
        </mc:Fallback>
      </mc:AlternateContent>
      <w:lvlText w:val="%1)"/>
      <w:lvlJc w:val="left"/>
      <w:pPr>
        <w:ind w:left="720" w:hanging="360"/>
      </w:pPr>
      <w:rPr>
        <w:rFonts w:ascii="Times New Roman" w:eastAsia="Arial" w:hAnsi="Times New Roman" w:cs="Times New Roman" w:hint="default"/>
        <w:b w:val="0"/>
        <w:i w:val="0"/>
        <w:strike w:val="0"/>
        <w:dstrike w:val="0"/>
        <w:color w:val="000000"/>
        <w:sz w:val="24"/>
        <w:szCs w:val="24"/>
        <w:u w:val="none" w:color="000000"/>
        <w:vertAlign w:val="baseli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7">
    <w:nsid w:val="442C7C07"/>
    <w:multiLevelType w:val="hybridMultilevel"/>
    <w:tmpl w:val="CBDC5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446F0980"/>
    <w:multiLevelType w:val="hybridMultilevel"/>
    <w:tmpl w:val="E91EE2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nsid w:val="44746AF7"/>
    <w:multiLevelType w:val="hybridMultilevel"/>
    <w:tmpl w:val="8BA6069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0">
    <w:nsid w:val="447A3124"/>
    <w:multiLevelType w:val="hybridMultilevel"/>
    <w:tmpl w:val="8BF0012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44F10CD8"/>
    <w:multiLevelType w:val="hybridMultilevel"/>
    <w:tmpl w:val="0A88561C"/>
    <w:lvl w:ilvl="0" w:tplc="DF86B3E4">
      <w:start w:val="1"/>
      <mc:AlternateContent>
        <mc:Choice Requires="w14">
          <w:numFmt w:val="custom" w:format="а, й, к, ..."/>
        </mc:Choice>
        <mc:Fallback>
          <w:numFmt w:val="decimal"/>
        </mc:Fallback>
      </mc:AlternateContent>
      <w:lvlText w:val="%1)"/>
      <w:lvlJc w:val="left"/>
      <w:pPr>
        <w:ind w:left="360" w:hanging="360"/>
      </w:pPr>
      <w:rPr>
        <w:rFonts w:ascii="Times New Roman" w:eastAsia="Arial" w:hAnsi="Times New Roman" w:cs="Times New Roman"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nsid w:val="454654C8"/>
    <w:multiLevelType w:val="hybridMultilevel"/>
    <w:tmpl w:val="F22C11F8"/>
    <w:lvl w:ilvl="0" w:tplc="A5C401C8">
      <w:start w:val="1"/>
      <mc:AlternateContent>
        <mc:Choice Requires="w14">
          <w:numFmt w:val="custom" w:format="а, й, к, ..."/>
        </mc:Choice>
        <mc:Fallback>
          <w:numFmt w:val="decimal"/>
        </mc:Fallback>
      </mc:AlternateContent>
      <w:lvlText w:val="%1)"/>
      <w:lvlJc w:val="left"/>
      <w:pPr>
        <w:ind w:left="720" w:hanging="360"/>
      </w:pPr>
      <w:rPr>
        <w:rFonts w:ascii="Times New Roman" w:eastAsia="Arial" w:hAnsi="Times New Roman" w:cs="Times New Roman" w:hint="default"/>
        <w:b w:val="0"/>
        <w:i w:val="0"/>
        <w:strike w:val="0"/>
        <w:dstrike w:val="0"/>
        <w:color w:val="000000"/>
        <w:sz w:val="24"/>
        <w:szCs w:val="24"/>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84">
    <w:nsid w:val="45615454"/>
    <w:multiLevelType w:val="hybridMultilevel"/>
    <w:tmpl w:val="02D62AEA"/>
    <w:lvl w:ilvl="0" w:tplc="0809000F">
      <w:start w:val="1"/>
      <w:numFmt w:val="decimal"/>
      <w:lvlText w:val="%1."/>
      <w:lvlJc w:val="left"/>
      <w:pPr>
        <w:ind w:left="360" w:hanging="360"/>
      </w:pPr>
    </w:lvl>
    <w:lvl w:ilvl="1" w:tplc="BFFA6FFE">
      <w:start w:val="1"/>
      <mc:AlternateContent>
        <mc:Choice Requires="w14">
          <w:numFmt w:val="custom" w:format="а, й, к, ..."/>
        </mc:Choice>
        <mc:Fallback>
          <w:numFmt w:val="decimal"/>
        </mc:Fallback>
      </mc:AlternateContent>
      <w:lvlText w:val="%2."/>
      <w:lvlJc w:val="left"/>
      <w:pPr>
        <w:ind w:left="1080" w:hanging="360"/>
      </w:pPr>
      <w:rPr>
        <w:rFonts w:ascii="Times New Roman" w:eastAsia="Arial" w:hAnsi="Times New Roman" w:cs="Times New Roman" w:hint="default"/>
        <w:b w:val="0"/>
        <w:i w:val="0"/>
        <w:strike w:val="0"/>
        <w:dstrike w:val="0"/>
        <w:color w:val="000000"/>
        <w:sz w:val="24"/>
        <w:szCs w:val="24"/>
        <w:u w:val="none" w:color="000000"/>
        <w:vertAlign w:val="baseline"/>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5">
    <w:nsid w:val="45BC00BD"/>
    <w:multiLevelType w:val="hybridMultilevel"/>
    <w:tmpl w:val="5D1C7764"/>
    <w:lvl w:ilvl="0" w:tplc="CF5EDD5A">
      <w:start w:val="1"/>
      <mc:AlternateContent>
        <mc:Choice Requires="w14">
          <w:numFmt w:val="custom" w:format="а, й, к, ..."/>
        </mc:Choice>
        <mc:Fallback>
          <w:numFmt w:val="decimal"/>
        </mc:Fallback>
      </mc:AlternateContent>
      <w:lvlText w:val="%1)"/>
      <w:lvlJc w:val="left"/>
      <w:pPr>
        <w:ind w:left="720" w:hanging="360"/>
      </w:pPr>
      <w:rPr>
        <w:rFonts w:ascii="Times New Roman" w:eastAsia="Arial" w:hAnsi="Times New Roman" w:cs="Times New Roman" w:hint="default"/>
        <w:b w:val="0"/>
        <w:i w:val="0"/>
        <w:strike w:val="0"/>
        <w:dstrike w:val="0"/>
        <w:color w:val="000000"/>
        <w:sz w:val="24"/>
        <w:szCs w:val="24"/>
        <w:u w:val="none" w:color="000000"/>
        <w:vertAlign w:val="baseli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6">
    <w:nsid w:val="471D56DD"/>
    <w:multiLevelType w:val="hybridMultilevel"/>
    <w:tmpl w:val="7010A182"/>
    <w:lvl w:ilvl="0" w:tplc="80B2CCA6">
      <w:start w:val="1"/>
      <mc:AlternateContent>
        <mc:Choice Requires="w14">
          <w:numFmt w:val="custom" w:format="а, й, к, ..."/>
        </mc:Choice>
        <mc:Fallback>
          <w:numFmt w:val="decimal"/>
        </mc:Fallback>
      </mc:AlternateContent>
      <w:lvlText w:val="%1)"/>
      <w:lvlJc w:val="left"/>
      <w:pPr>
        <w:ind w:left="720" w:hanging="360"/>
      </w:pPr>
      <w:rPr>
        <w:rFonts w:ascii="Times New Roman" w:eastAsia="Arial" w:hAnsi="Times New Roman" w:cs="Times New Roman"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478F718B"/>
    <w:multiLevelType w:val="hybridMultilevel"/>
    <w:tmpl w:val="59AEE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nsid w:val="48C90469"/>
    <w:multiLevelType w:val="hybridMultilevel"/>
    <w:tmpl w:val="A83C9AC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89">
    <w:nsid w:val="495C0E24"/>
    <w:multiLevelType w:val="hybridMultilevel"/>
    <w:tmpl w:val="D68A0C9A"/>
    <w:lvl w:ilvl="0" w:tplc="04090011">
      <w:start w:val="1"/>
      <w:numFmt w:val="decimal"/>
      <w:lvlText w:val="%1)"/>
      <w:lvlJc w:val="left"/>
      <w:pPr>
        <w:ind w:left="360" w:hanging="360"/>
      </w:pPr>
      <w:rPr>
        <w:rFont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0">
    <w:nsid w:val="4DA4525B"/>
    <w:multiLevelType w:val="hybridMultilevel"/>
    <w:tmpl w:val="3CE8E494"/>
    <w:lvl w:ilvl="0" w:tplc="94AC1BB0">
      <w:start w:val="1"/>
      <w:numFmt w:val="lowerRoman"/>
      <w:lvlText w:val="%1."/>
      <w:lvlJc w:val="right"/>
      <w:pPr>
        <w:ind w:left="1080" w:hanging="360"/>
      </w:pPr>
      <w:rPr>
        <w:rFonts w:ascii="Times New Roman" w:hAnsi="Times New Roman" w:cs="Times New Roman" w:hint="default"/>
        <w:sz w:val="24"/>
        <w:szCs w:val="24"/>
      </w:rPr>
    </w:lvl>
    <w:lvl w:ilvl="1" w:tplc="884EB492">
      <w:start w:val="1"/>
      <mc:AlternateContent>
        <mc:Choice Requires="w14">
          <w:numFmt w:val="custom" w:format="а, й, к, ..."/>
        </mc:Choice>
        <mc:Fallback>
          <w:numFmt w:val="decimal"/>
        </mc:Fallback>
      </mc:AlternateContent>
      <w:lvlText w:val="%2."/>
      <w:lvlJc w:val="left"/>
      <w:pPr>
        <w:ind w:left="1800" w:hanging="360"/>
      </w:pPr>
      <w:rPr>
        <w:rFonts w:ascii="Times New Roman" w:eastAsia="Arial" w:hAnsi="Times New Roman" w:cs="Times New Roman" w:hint="default"/>
        <w:b w:val="0"/>
        <w:i w:val="0"/>
        <w:strike w:val="0"/>
        <w:dstrike w:val="0"/>
        <w:color w:val="000000"/>
        <w:sz w:val="24"/>
        <w:szCs w:val="24"/>
        <w:u w:val="none" w:color="000000"/>
        <w:vertAlign w:val="baseline"/>
      </w:r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91">
    <w:nsid w:val="4F5E055F"/>
    <w:multiLevelType w:val="hybridMultilevel"/>
    <w:tmpl w:val="F2FEC466"/>
    <w:lvl w:ilvl="0" w:tplc="EB329AB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nsid w:val="4F913A25"/>
    <w:multiLevelType w:val="hybridMultilevel"/>
    <w:tmpl w:val="D68A0C9A"/>
    <w:lvl w:ilvl="0" w:tplc="04090011">
      <w:start w:val="1"/>
      <w:numFmt w:val="decimal"/>
      <w:lvlText w:val="%1)"/>
      <w:lvlJc w:val="left"/>
      <w:pPr>
        <w:ind w:left="360" w:hanging="360"/>
      </w:pPr>
      <w:rPr>
        <w:rFont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3">
    <w:nsid w:val="506330B7"/>
    <w:multiLevelType w:val="hybridMultilevel"/>
    <w:tmpl w:val="4DAC21F4"/>
    <w:lvl w:ilvl="0" w:tplc="D57A5EE0">
      <w:start w:val="1"/>
      <mc:AlternateContent>
        <mc:Choice Requires="w14">
          <w:numFmt w:val="custom" w:format="а, й, к, ..."/>
        </mc:Choice>
        <mc:Fallback>
          <w:numFmt w:val="decimal"/>
        </mc:Fallback>
      </mc:AlternateContent>
      <w:lvlText w:val="%1)"/>
      <w:lvlJc w:val="left"/>
      <w:pPr>
        <w:ind w:left="720" w:hanging="360"/>
      </w:pPr>
      <w:rPr>
        <w:rFonts w:ascii="Times New Roman" w:eastAsia="Arial" w:hAnsi="Times New Roman" w:cs="Times New Roman" w:hint="default"/>
        <w:b w:val="0"/>
        <w:i w:val="0"/>
        <w:strike w:val="0"/>
        <w:dstrike w:val="0"/>
        <w:color w:val="000000"/>
        <w:sz w:val="24"/>
        <w:szCs w:val="24"/>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nsid w:val="50A33AB2"/>
    <w:multiLevelType w:val="hybridMultilevel"/>
    <w:tmpl w:val="F2CC1CD0"/>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5">
    <w:nsid w:val="514A3B46"/>
    <w:multiLevelType w:val="hybridMultilevel"/>
    <w:tmpl w:val="4560C0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6">
    <w:nsid w:val="51667B89"/>
    <w:multiLevelType w:val="hybridMultilevel"/>
    <w:tmpl w:val="2B222B1C"/>
    <w:lvl w:ilvl="0" w:tplc="0C0A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nsid w:val="5173633C"/>
    <w:multiLevelType w:val="hybridMultilevel"/>
    <w:tmpl w:val="ED580A56"/>
    <w:lvl w:ilvl="0" w:tplc="312A5F28">
      <w:start w:val="1"/>
      <w:numFmt w:val="bullet"/>
      <w:lvlText w:val="-"/>
      <w:lvlJc w:val="left"/>
      <w:pPr>
        <w:ind w:left="644" w:hanging="360"/>
      </w:pPr>
      <w:rPr>
        <w:rFonts w:ascii="Calibri" w:eastAsiaTheme="minorHAnsi" w:hAnsi="Calibri" w:cs="Calibri" w:hint="default"/>
        <w:color w:val="7030A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nsid w:val="51840DD6"/>
    <w:multiLevelType w:val="hybridMultilevel"/>
    <w:tmpl w:val="FB78D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nsid w:val="518D46EC"/>
    <w:multiLevelType w:val="hybridMultilevel"/>
    <w:tmpl w:val="DF8200BE"/>
    <w:lvl w:ilvl="0" w:tplc="FBEE9012">
      <w:start w:val="1"/>
      <mc:AlternateContent>
        <mc:Choice Requires="w14">
          <w:numFmt w:val="custom" w:format="а, й, к, ..."/>
        </mc:Choice>
        <mc:Fallback>
          <w:numFmt w:val="decimal"/>
        </mc:Fallback>
      </mc:AlternateContent>
      <w:lvlText w:val="%1)"/>
      <w:lvlJc w:val="left"/>
      <w:pPr>
        <w:ind w:left="1429" w:hanging="360"/>
      </w:pPr>
      <w:rPr>
        <w:rFonts w:ascii="Times New Roman" w:eastAsia="Arial" w:hAnsi="Times New Roman" w:cs="Times New Roman"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0">
    <w:nsid w:val="52A67588"/>
    <w:multiLevelType w:val="hybridMultilevel"/>
    <w:tmpl w:val="339EC5E2"/>
    <w:lvl w:ilvl="0" w:tplc="ED7E88AA">
      <w:start w:val="1"/>
      <w:numFmt w:val="decimal"/>
      <w:lvlText w:val="%1."/>
      <w:lvlJc w:val="left"/>
      <w:pPr>
        <w:ind w:left="720" w:hanging="360"/>
      </w:pPr>
      <w:rPr>
        <w:rFonts w:ascii="Times New Roman" w:hAnsi="Times New Roman" w:cs="Times New Roman"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1">
    <w:nsid w:val="536649EB"/>
    <w:multiLevelType w:val="hybridMultilevel"/>
    <w:tmpl w:val="96666F38"/>
    <w:lvl w:ilvl="0" w:tplc="EEEA2380">
      <w:start w:val="1"/>
      <w:numFmt w:val="bullet"/>
      <w:lvlText w:val=""/>
      <w:lvlJc w:val="left"/>
      <w:pPr>
        <w:ind w:left="720" w:hanging="360"/>
      </w:pPr>
      <w:rPr>
        <w:rFonts w:ascii="Symbol" w:hAnsi="Symbol" w:hint="default"/>
      </w:rPr>
    </w:lvl>
    <w:lvl w:ilvl="1" w:tplc="D13A51C6">
      <w:numFmt w:val="bullet"/>
      <w:pStyle w:val="bullet2"/>
      <w:lvlText w:val="-"/>
      <w:lvlJc w:val="left"/>
      <w:pPr>
        <w:ind w:left="1440" w:hanging="360"/>
      </w:pPr>
      <w:rPr>
        <w:rFonts w:ascii="Calibri" w:eastAsiaTheme="minorHAnsi" w:hAnsi="Calibri" w:cs="Calibri" w:hint="default"/>
      </w:rPr>
    </w:lvl>
    <w:lvl w:ilvl="2" w:tplc="CE645904">
      <w:start w:val="1"/>
      <w:numFmt w:val="lowerLetter"/>
      <w:lvlText w:val="%3)"/>
      <w:lvlJc w:val="left"/>
      <w:pPr>
        <w:ind w:left="2160" w:hanging="360"/>
      </w:pPr>
      <w:rPr>
        <w:rFonts w:asciiTheme="minorHAnsi" w:eastAsia="Arial" w:hAnsiTheme="minorHAnsi" w:cstheme="minorHAnsi"/>
      </w:rPr>
    </w:lvl>
    <w:lvl w:ilvl="3" w:tplc="9E2A1D18">
      <w:start w:val="1"/>
      <w:numFmt w:val="bullet"/>
      <w:lvlText w:val=""/>
      <w:lvlJc w:val="left"/>
      <w:pPr>
        <w:ind w:left="2880" w:hanging="360"/>
      </w:pPr>
      <w:rPr>
        <w:rFonts w:ascii="Symbol" w:hAnsi="Symbol" w:hint="default"/>
      </w:rPr>
    </w:lvl>
    <w:lvl w:ilvl="4" w:tplc="93E06754">
      <w:start w:val="1"/>
      <w:numFmt w:val="bullet"/>
      <w:lvlText w:val="o"/>
      <w:lvlJc w:val="left"/>
      <w:pPr>
        <w:ind w:left="3600" w:hanging="360"/>
      </w:pPr>
      <w:rPr>
        <w:rFonts w:ascii="Courier New" w:hAnsi="Courier New" w:hint="default"/>
      </w:rPr>
    </w:lvl>
    <w:lvl w:ilvl="5" w:tplc="66403156">
      <w:start w:val="1"/>
      <w:numFmt w:val="bullet"/>
      <w:lvlText w:val=""/>
      <w:lvlJc w:val="left"/>
      <w:pPr>
        <w:ind w:left="4320" w:hanging="360"/>
      </w:pPr>
      <w:rPr>
        <w:rFonts w:ascii="Wingdings" w:hAnsi="Wingdings" w:hint="default"/>
      </w:rPr>
    </w:lvl>
    <w:lvl w:ilvl="6" w:tplc="302ED93E">
      <w:start w:val="1"/>
      <w:numFmt w:val="bullet"/>
      <w:lvlText w:val=""/>
      <w:lvlJc w:val="left"/>
      <w:pPr>
        <w:ind w:left="5040" w:hanging="360"/>
      </w:pPr>
      <w:rPr>
        <w:rFonts w:ascii="Symbol" w:hAnsi="Symbol" w:hint="default"/>
      </w:rPr>
    </w:lvl>
    <w:lvl w:ilvl="7" w:tplc="9FCA7C0C">
      <w:start w:val="1"/>
      <w:numFmt w:val="bullet"/>
      <w:lvlText w:val="o"/>
      <w:lvlJc w:val="left"/>
      <w:pPr>
        <w:ind w:left="5760" w:hanging="360"/>
      </w:pPr>
      <w:rPr>
        <w:rFonts w:ascii="Courier New" w:hAnsi="Courier New" w:hint="default"/>
      </w:rPr>
    </w:lvl>
    <w:lvl w:ilvl="8" w:tplc="3CDAD1D2">
      <w:start w:val="1"/>
      <w:numFmt w:val="bullet"/>
      <w:lvlText w:val=""/>
      <w:lvlJc w:val="left"/>
      <w:pPr>
        <w:ind w:left="6480" w:hanging="360"/>
      </w:pPr>
      <w:rPr>
        <w:rFonts w:ascii="Wingdings" w:hAnsi="Wingdings" w:hint="default"/>
      </w:rPr>
    </w:lvl>
  </w:abstractNum>
  <w:abstractNum w:abstractNumId="102">
    <w:nsid w:val="55666125"/>
    <w:multiLevelType w:val="hybridMultilevel"/>
    <w:tmpl w:val="273CA0FC"/>
    <w:lvl w:ilvl="0" w:tplc="874E4408">
      <w:start w:val="1"/>
      <mc:AlternateContent>
        <mc:Choice Requires="w14">
          <w:numFmt w:val="custom" w:format="а, й, к, ..."/>
        </mc:Choice>
        <mc:Fallback>
          <w:numFmt w:val="decimal"/>
        </mc:Fallback>
      </mc:AlternateContent>
      <w:lvlText w:val="%1)"/>
      <w:lvlJc w:val="left"/>
      <w:pPr>
        <w:ind w:left="1444" w:hanging="735"/>
      </w:pPr>
      <w:rPr>
        <w:rFonts w:ascii="Times New Roman" w:eastAsia="Arial" w:hAnsi="Times New Roman" w:cs="Times New Roman" w:hint="default"/>
        <w:b w:val="0"/>
        <w:i w:val="0"/>
        <w:strike w:val="0"/>
        <w:dstrike w:val="0"/>
        <w:color w:val="000000"/>
        <w:sz w:val="24"/>
        <w:szCs w:val="24"/>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04">
    <w:nsid w:val="557C33CE"/>
    <w:multiLevelType w:val="hybridMultilevel"/>
    <w:tmpl w:val="2F401604"/>
    <w:lvl w:ilvl="0" w:tplc="EA4A9A22">
      <w:start w:val="1"/>
      <mc:AlternateContent>
        <mc:Choice Requires="w14">
          <w:numFmt w:val="custom" w:format="а, й, к, ..."/>
        </mc:Choice>
        <mc:Fallback>
          <w:numFmt w:val="decimal"/>
        </mc:Fallback>
      </mc:AlternateContent>
      <w:lvlText w:val="%1)"/>
      <w:lvlJc w:val="left"/>
      <w:pPr>
        <w:ind w:left="720" w:hanging="360"/>
      </w:pPr>
      <w:rPr>
        <w:rFonts w:ascii="Times New Roman" w:eastAsia="Arial" w:hAnsi="Times New Roman" w:cs="Times New Roman"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560C4BE4"/>
    <w:multiLevelType w:val="hybridMultilevel"/>
    <w:tmpl w:val="AE5A2B4A"/>
    <w:lvl w:ilvl="0" w:tplc="0809001B">
      <w:start w:val="1"/>
      <w:numFmt w:val="lowerRoman"/>
      <w:lvlText w:val="%1."/>
      <w:lvlJc w:val="righ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6">
    <w:nsid w:val="57F812D0"/>
    <w:multiLevelType w:val="hybridMultilevel"/>
    <w:tmpl w:val="B34E6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58E57F62"/>
    <w:multiLevelType w:val="hybridMultilevel"/>
    <w:tmpl w:val="6B367C2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8">
    <w:nsid w:val="59067F31"/>
    <w:multiLevelType w:val="hybridMultilevel"/>
    <w:tmpl w:val="A800B374"/>
    <w:lvl w:ilvl="0" w:tplc="040A0001">
      <w:start w:val="1"/>
      <w:numFmt w:val="bullet"/>
      <w:lvlText w:val=""/>
      <w:lvlJc w:val="left"/>
      <w:pPr>
        <w:ind w:left="1690" w:hanging="360"/>
      </w:pPr>
      <w:rPr>
        <w:rFonts w:ascii="Symbol" w:hAnsi="Symbol" w:hint="default"/>
      </w:rPr>
    </w:lvl>
    <w:lvl w:ilvl="1" w:tplc="040A0003" w:tentative="1">
      <w:start w:val="1"/>
      <w:numFmt w:val="bullet"/>
      <w:lvlText w:val="o"/>
      <w:lvlJc w:val="left"/>
      <w:pPr>
        <w:ind w:left="2410" w:hanging="360"/>
      </w:pPr>
      <w:rPr>
        <w:rFonts w:ascii="Courier New" w:hAnsi="Courier New" w:cs="Courier New" w:hint="default"/>
      </w:rPr>
    </w:lvl>
    <w:lvl w:ilvl="2" w:tplc="040A0005" w:tentative="1">
      <w:start w:val="1"/>
      <w:numFmt w:val="bullet"/>
      <w:lvlText w:val=""/>
      <w:lvlJc w:val="left"/>
      <w:pPr>
        <w:ind w:left="3130" w:hanging="360"/>
      </w:pPr>
      <w:rPr>
        <w:rFonts w:ascii="Wingdings" w:hAnsi="Wingdings" w:hint="default"/>
      </w:rPr>
    </w:lvl>
    <w:lvl w:ilvl="3" w:tplc="040A0001" w:tentative="1">
      <w:start w:val="1"/>
      <w:numFmt w:val="bullet"/>
      <w:lvlText w:val=""/>
      <w:lvlJc w:val="left"/>
      <w:pPr>
        <w:ind w:left="3850" w:hanging="360"/>
      </w:pPr>
      <w:rPr>
        <w:rFonts w:ascii="Symbol" w:hAnsi="Symbol" w:hint="default"/>
      </w:rPr>
    </w:lvl>
    <w:lvl w:ilvl="4" w:tplc="040A0003" w:tentative="1">
      <w:start w:val="1"/>
      <w:numFmt w:val="bullet"/>
      <w:lvlText w:val="o"/>
      <w:lvlJc w:val="left"/>
      <w:pPr>
        <w:ind w:left="4570" w:hanging="360"/>
      </w:pPr>
      <w:rPr>
        <w:rFonts w:ascii="Courier New" w:hAnsi="Courier New" w:cs="Courier New" w:hint="default"/>
      </w:rPr>
    </w:lvl>
    <w:lvl w:ilvl="5" w:tplc="040A0005" w:tentative="1">
      <w:start w:val="1"/>
      <w:numFmt w:val="bullet"/>
      <w:lvlText w:val=""/>
      <w:lvlJc w:val="left"/>
      <w:pPr>
        <w:ind w:left="5290" w:hanging="360"/>
      </w:pPr>
      <w:rPr>
        <w:rFonts w:ascii="Wingdings" w:hAnsi="Wingdings" w:hint="default"/>
      </w:rPr>
    </w:lvl>
    <w:lvl w:ilvl="6" w:tplc="040A0001" w:tentative="1">
      <w:start w:val="1"/>
      <w:numFmt w:val="bullet"/>
      <w:lvlText w:val=""/>
      <w:lvlJc w:val="left"/>
      <w:pPr>
        <w:ind w:left="6010" w:hanging="360"/>
      </w:pPr>
      <w:rPr>
        <w:rFonts w:ascii="Symbol" w:hAnsi="Symbol" w:hint="default"/>
      </w:rPr>
    </w:lvl>
    <w:lvl w:ilvl="7" w:tplc="040A0003" w:tentative="1">
      <w:start w:val="1"/>
      <w:numFmt w:val="bullet"/>
      <w:lvlText w:val="o"/>
      <w:lvlJc w:val="left"/>
      <w:pPr>
        <w:ind w:left="6730" w:hanging="360"/>
      </w:pPr>
      <w:rPr>
        <w:rFonts w:ascii="Courier New" w:hAnsi="Courier New" w:cs="Courier New" w:hint="default"/>
      </w:rPr>
    </w:lvl>
    <w:lvl w:ilvl="8" w:tplc="040A0005" w:tentative="1">
      <w:start w:val="1"/>
      <w:numFmt w:val="bullet"/>
      <w:lvlText w:val=""/>
      <w:lvlJc w:val="left"/>
      <w:pPr>
        <w:ind w:left="7450" w:hanging="360"/>
      </w:pPr>
      <w:rPr>
        <w:rFonts w:ascii="Wingdings" w:hAnsi="Wingdings" w:hint="default"/>
      </w:rPr>
    </w:lvl>
  </w:abstractNum>
  <w:abstractNum w:abstractNumId="109">
    <w:nsid w:val="59F96ABB"/>
    <w:multiLevelType w:val="hybridMultilevel"/>
    <w:tmpl w:val="85D8208A"/>
    <w:lvl w:ilvl="0" w:tplc="C90434AC">
      <w:start w:val="1"/>
      <mc:AlternateContent>
        <mc:Choice Requires="w14">
          <w:numFmt w:val="custom" w:format="а, й, к, ..."/>
        </mc:Choice>
        <mc:Fallback>
          <w:numFmt w:val="decimal"/>
        </mc:Fallback>
      </mc:AlternateContent>
      <w:lvlText w:val="%1)"/>
      <w:lvlJc w:val="left"/>
      <w:pPr>
        <w:ind w:left="1429" w:hanging="360"/>
      </w:pPr>
      <w:rPr>
        <w:rFonts w:ascii="Times New Roman" w:eastAsia="Arial" w:hAnsi="Times New Roman" w:cs="Times New Roman"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0">
    <w:nsid w:val="5A165091"/>
    <w:multiLevelType w:val="hybridMultilevel"/>
    <w:tmpl w:val="A9803D1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nsid w:val="5A984617"/>
    <w:multiLevelType w:val="hybridMultilevel"/>
    <w:tmpl w:val="1D0E0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5B0F1134"/>
    <w:multiLevelType w:val="hybridMultilevel"/>
    <w:tmpl w:val="38F0B88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3">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4">
    <w:nsid w:val="5C056EE5"/>
    <w:multiLevelType w:val="singleLevel"/>
    <w:tmpl w:val="3378D27C"/>
    <w:name w:val="Bullet 2"/>
    <w:lvl w:ilvl="0">
      <w:start w:val="1"/>
      <w:numFmt w:val="bullet"/>
      <w:lvlRestart w:val="0"/>
      <w:pStyle w:val="Bullet20"/>
      <w:lvlText w:val=""/>
      <w:lvlJc w:val="left"/>
      <w:pPr>
        <w:tabs>
          <w:tab w:val="num" w:pos="1984"/>
        </w:tabs>
        <w:ind w:left="1984" w:hanging="567"/>
      </w:pPr>
      <w:rPr>
        <w:rFonts w:ascii="Symbol" w:hAnsi="Symbol" w:hint="default"/>
      </w:rPr>
    </w:lvl>
  </w:abstractNum>
  <w:abstractNum w:abstractNumId="11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16">
    <w:nsid w:val="5CA57E7E"/>
    <w:multiLevelType w:val="hybridMultilevel"/>
    <w:tmpl w:val="DEA84F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nsid w:val="5D060240"/>
    <w:multiLevelType w:val="hybridMultilevel"/>
    <w:tmpl w:val="B0263C0E"/>
    <w:lvl w:ilvl="0" w:tplc="4D0E7E6E">
      <w:start w:val="1"/>
      <mc:AlternateContent>
        <mc:Choice Requires="w14">
          <w:numFmt w:val="custom" w:format="а, й, к, ..."/>
        </mc:Choice>
        <mc:Fallback>
          <w:numFmt w:val="decimal"/>
        </mc:Fallback>
      </mc:AlternateContent>
      <w:lvlText w:val="%1)"/>
      <w:lvlJc w:val="left"/>
      <w:pPr>
        <w:ind w:left="1429" w:hanging="360"/>
      </w:pPr>
      <w:rPr>
        <w:rFonts w:ascii="Times New Roman" w:eastAsia="Arial" w:hAnsi="Times New Roman" w:cs="Times New Roman"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8">
    <w:nsid w:val="5ECC7FFE"/>
    <w:multiLevelType w:val="hybridMultilevel"/>
    <w:tmpl w:val="AFC2569C"/>
    <w:lvl w:ilvl="0" w:tplc="0C0A0011">
      <w:start w:val="1"/>
      <w:numFmt w:val="decimal"/>
      <w:lvlText w:val="%1)"/>
      <w:lvlJc w:val="left"/>
      <w:pPr>
        <w:ind w:left="360" w:hanging="360"/>
      </w:pPr>
      <w:rPr>
        <w:rFont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9">
    <w:nsid w:val="60B41314"/>
    <w:multiLevelType w:val="hybridMultilevel"/>
    <w:tmpl w:val="B1C8EDC6"/>
    <w:lvl w:ilvl="0" w:tplc="0809001B">
      <w:start w:val="1"/>
      <w:numFmt w:val="lowerRoman"/>
      <w:lvlText w:val="%1."/>
      <w:lvlJc w:val="righ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0">
    <w:nsid w:val="621768EE"/>
    <w:multiLevelType w:val="hybridMultilevel"/>
    <w:tmpl w:val="5E208838"/>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nsid w:val="64A12FA4"/>
    <w:multiLevelType w:val="multilevel"/>
    <w:tmpl w:val="BC1C158C"/>
    <w:name w:val="Heading"/>
    <w:lvl w:ilvl="0">
      <w:start w:val="1"/>
      <w:numFmt w:val="decimal"/>
      <w:lvlRestart w:val="0"/>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2">
    <w:nsid w:val="652A3F9F"/>
    <w:multiLevelType w:val="hybridMultilevel"/>
    <w:tmpl w:val="E91EE2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3">
    <w:nsid w:val="65344370"/>
    <w:multiLevelType w:val="hybridMultilevel"/>
    <w:tmpl w:val="DD82871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4">
    <w:nsid w:val="656B771A"/>
    <w:multiLevelType w:val="hybridMultilevel"/>
    <w:tmpl w:val="92C4E576"/>
    <w:lvl w:ilvl="0" w:tplc="94B8E8E4">
      <w:start w:val="1"/>
      <mc:AlternateContent>
        <mc:Choice Requires="w14">
          <w:numFmt w:val="custom" w:format="а, й, к, ..."/>
        </mc:Choice>
        <mc:Fallback>
          <w:numFmt w:val="decimal"/>
        </mc:Fallback>
      </mc:AlternateContent>
      <w:lvlText w:val="%1)"/>
      <w:lvlJc w:val="left"/>
      <w:pPr>
        <w:ind w:left="1429" w:hanging="360"/>
      </w:pPr>
      <w:rPr>
        <w:rFonts w:ascii="Times New Roman" w:eastAsia="Arial" w:hAnsi="Times New Roman" w:cs="Times New Roman" w:hint="default"/>
        <w:b w:val="0"/>
        <w:i w:val="0"/>
        <w:strike w:val="0"/>
        <w:dstrike w:val="0"/>
        <w:color w:val="000000"/>
        <w:sz w:val="24"/>
        <w:szCs w:val="24"/>
        <w:u w:val="none" w:color="000000"/>
        <w:vertAlign w:val="baseline"/>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25">
    <w:nsid w:val="669B0B48"/>
    <w:multiLevelType w:val="hybridMultilevel"/>
    <w:tmpl w:val="C810B524"/>
    <w:lvl w:ilvl="0" w:tplc="B33C8230">
      <w:start w:val="1"/>
      <mc:AlternateContent>
        <mc:Choice Requires="w14">
          <w:numFmt w:val="custom" w:format="а, й, к, ..."/>
        </mc:Choice>
        <mc:Fallback>
          <w:numFmt w:val="decimal"/>
        </mc:Fallback>
      </mc:AlternateContent>
      <w:lvlText w:val="%1)"/>
      <w:lvlJc w:val="left"/>
      <w:pPr>
        <w:ind w:left="1429" w:hanging="360"/>
      </w:pPr>
      <w:rPr>
        <w:rFonts w:ascii="Times New Roman" w:eastAsia="Arial" w:hAnsi="Times New Roman" w:cs="Times New Roman"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6">
    <w:nsid w:val="669F3250"/>
    <w:multiLevelType w:val="hybridMultilevel"/>
    <w:tmpl w:val="E922644A"/>
    <w:lvl w:ilvl="0" w:tplc="F5F8D63C">
      <w:start w:val="1"/>
      <mc:AlternateContent>
        <mc:Choice Requires="w14">
          <w:numFmt w:val="custom" w:format="а, й, к, ..."/>
        </mc:Choice>
        <mc:Fallback>
          <w:numFmt w:val="decimal"/>
        </mc:Fallback>
      </mc:AlternateContent>
      <w:lvlText w:val="%1)"/>
      <w:lvlJc w:val="left"/>
      <w:pPr>
        <w:ind w:left="720" w:hanging="360"/>
      </w:pPr>
      <w:rPr>
        <w:rFonts w:ascii="Times New Roman" w:eastAsia="Arial" w:hAnsi="Times New Roman" w:cs="Times New Roman" w:hint="default"/>
        <w:b w:val="0"/>
        <w:i w:val="0"/>
        <w:strike w:val="0"/>
        <w:dstrike w:val="0"/>
        <w:color w:val="000000"/>
        <w:sz w:val="24"/>
        <w:szCs w:val="24"/>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7">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28">
    <w:nsid w:val="67CA10CF"/>
    <w:multiLevelType w:val="hybridMultilevel"/>
    <w:tmpl w:val="1F24F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nsid w:val="68735CA3"/>
    <w:multiLevelType w:val="hybridMultilevel"/>
    <w:tmpl w:val="6A909634"/>
    <w:lvl w:ilvl="0" w:tplc="E8E65212">
      <w:start w:val="1"/>
      <mc:AlternateContent>
        <mc:Choice Requires="w14">
          <w:numFmt w:val="custom" w:format="а, й, к, ..."/>
        </mc:Choice>
        <mc:Fallback>
          <w:numFmt w:val="decimal"/>
        </mc:Fallback>
      </mc:AlternateContent>
      <w:lvlText w:val="%1)"/>
      <w:lvlJc w:val="left"/>
      <w:pPr>
        <w:ind w:left="720" w:hanging="360"/>
      </w:pPr>
      <w:rPr>
        <w:rFonts w:ascii="Times New Roman" w:eastAsia="Arial" w:hAnsi="Times New Roman" w:cs="Times New Roman" w:hint="default"/>
        <w:b w:val="0"/>
        <w:i w:val="0"/>
        <w:strike w:val="0"/>
        <w:dstrike w:val="0"/>
        <w:color w:val="000000"/>
        <w:sz w:val="24"/>
        <w:szCs w:val="24"/>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nsid w:val="6A0172F0"/>
    <w:multiLevelType w:val="hybridMultilevel"/>
    <w:tmpl w:val="FC5CF604"/>
    <w:lvl w:ilvl="0" w:tplc="986840B0">
      <w:start w:val="1"/>
      <mc:AlternateContent>
        <mc:Choice Requires="w14">
          <w:numFmt w:val="custom" w:format="а, й, к, ..."/>
        </mc:Choice>
        <mc:Fallback>
          <w:numFmt w:val="decimal"/>
        </mc:Fallback>
      </mc:AlternateContent>
      <w:lvlText w:val="%1)"/>
      <w:lvlJc w:val="left"/>
      <w:pPr>
        <w:ind w:left="720" w:hanging="360"/>
      </w:pPr>
      <w:rPr>
        <w:rFonts w:ascii="Times New Roman" w:eastAsia="Arial" w:hAnsi="Times New Roman" w:cs="Times New Roman" w:hint="default"/>
        <w:b w:val="0"/>
        <w:i w:val="0"/>
        <w:strike w:val="0"/>
        <w:dstrike w:val="0"/>
        <w:color w:val="000000"/>
        <w:sz w:val="24"/>
        <w:szCs w:val="24"/>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1">
    <w:nsid w:val="6A563A2D"/>
    <w:multiLevelType w:val="hybridMultilevel"/>
    <w:tmpl w:val="FC5A9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nsid w:val="6B8345B1"/>
    <w:multiLevelType w:val="hybridMultilevel"/>
    <w:tmpl w:val="A26EC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nsid w:val="6BB9719F"/>
    <w:multiLevelType w:val="hybridMultilevel"/>
    <w:tmpl w:val="66F098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4">
    <w:nsid w:val="6C7D3549"/>
    <w:multiLevelType w:val="hybridMultilevel"/>
    <w:tmpl w:val="639CEB3E"/>
    <w:lvl w:ilvl="0" w:tplc="43C2D388">
      <w:start w:val="1"/>
      <mc:AlternateContent>
        <mc:Choice Requires="w14">
          <w:numFmt w:val="custom" w:format="а, й, к, ..."/>
        </mc:Choice>
        <mc:Fallback>
          <w:numFmt w:val="decimal"/>
        </mc:Fallback>
      </mc:AlternateContent>
      <w:lvlText w:val="%1)"/>
      <w:lvlJc w:val="left"/>
      <w:pPr>
        <w:ind w:left="720" w:hanging="360"/>
      </w:pPr>
      <w:rPr>
        <w:rFonts w:ascii="Times New Roman" w:eastAsia="Arial" w:hAnsi="Times New Roman" w:cs="Times New Roman" w:hint="default"/>
        <w:b w:val="0"/>
        <w:i w:val="0"/>
        <w:strike w:val="0"/>
        <w:dstrike w:val="0"/>
        <w:color w:val="000000"/>
        <w:sz w:val="24"/>
        <w:szCs w:val="24"/>
        <w:u w:val="none" w:color="000000"/>
        <w:vertAlign w:val="baseline"/>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5">
    <w:nsid w:val="6EF03967"/>
    <w:multiLevelType w:val="hybridMultilevel"/>
    <w:tmpl w:val="8F7E77B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6">
    <w:nsid w:val="6F9C0D1B"/>
    <w:multiLevelType w:val="hybridMultilevel"/>
    <w:tmpl w:val="E91EE2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7">
    <w:nsid w:val="739B483A"/>
    <w:multiLevelType w:val="hybridMultilevel"/>
    <w:tmpl w:val="8416D2FC"/>
    <w:lvl w:ilvl="0" w:tplc="A72E28BC">
      <w:start w:val="1"/>
      <mc:AlternateContent>
        <mc:Choice Requires="w14">
          <w:numFmt w:val="custom" w:format="а, й, к, ..."/>
        </mc:Choice>
        <mc:Fallback>
          <w:numFmt w:val="decimal"/>
        </mc:Fallback>
      </mc:AlternateContent>
      <w:lvlText w:val="%1)"/>
      <w:lvlJc w:val="left"/>
      <w:pPr>
        <w:ind w:left="720" w:hanging="360"/>
      </w:pPr>
      <w:rPr>
        <w:rFonts w:ascii="Times New Roman" w:eastAsia="Arial" w:hAnsi="Times New Roman" w:cs="Times New Roman" w:hint="default"/>
        <w:b w:val="0"/>
        <w:i w:val="0"/>
        <w:strike w:val="0"/>
        <w:dstrike w:val="0"/>
        <w:color w:val="000000"/>
        <w:sz w:val="24"/>
        <w:szCs w:val="24"/>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8">
    <w:nsid w:val="74F64C9D"/>
    <w:multiLevelType w:val="hybridMultilevel"/>
    <w:tmpl w:val="6A687D64"/>
    <w:lvl w:ilvl="0" w:tplc="E348D4C4">
      <w:start w:val="1"/>
      <mc:AlternateContent>
        <mc:Choice Requires="w14">
          <w:numFmt w:val="custom" w:format="а, й, к, ..."/>
        </mc:Choice>
        <mc:Fallback>
          <w:numFmt w:val="decimal"/>
        </mc:Fallback>
      </mc:AlternateContent>
      <w:lvlText w:val="%1)"/>
      <w:lvlJc w:val="left"/>
      <w:pPr>
        <w:ind w:left="720" w:hanging="360"/>
      </w:pPr>
      <w:rPr>
        <w:rFonts w:ascii="Times New Roman" w:eastAsia="Arial" w:hAnsi="Times New Roman" w:cs="Times New Roman"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nsid w:val="753C5BA9"/>
    <w:multiLevelType w:val="hybridMultilevel"/>
    <w:tmpl w:val="99C0C08E"/>
    <w:lvl w:ilvl="0" w:tplc="0409000F">
      <w:start w:val="1"/>
      <w:numFmt w:val="decimal"/>
      <w:lvlText w:val="%1."/>
      <w:lvlJc w:val="left"/>
      <w:pPr>
        <w:ind w:left="-3872" w:hanging="360"/>
      </w:pPr>
    </w:lvl>
    <w:lvl w:ilvl="1" w:tplc="04090019" w:tentative="1">
      <w:start w:val="1"/>
      <w:numFmt w:val="lowerLetter"/>
      <w:lvlText w:val="%2."/>
      <w:lvlJc w:val="left"/>
      <w:pPr>
        <w:ind w:left="-315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1712" w:hanging="360"/>
      </w:pPr>
    </w:lvl>
    <w:lvl w:ilvl="4" w:tplc="04090019" w:tentative="1">
      <w:start w:val="1"/>
      <w:numFmt w:val="lowerLetter"/>
      <w:lvlText w:val="%5."/>
      <w:lvlJc w:val="left"/>
      <w:pPr>
        <w:ind w:left="-992" w:hanging="360"/>
      </w:pPr>
    </w:lvl>
    <w:lvl w:ilvl="5" w:tplc="0409001B" w:tentative="1">
      <w:start w:val="1"/>
      <w:numFmt w:val="lowerRoman"/>
      <w:lvlText w:val="%6."/>
      <w:lvlJc w:val="right"/>
      <w:pPr>
        <w:ind w:left="-272" w:hanging="180"/>
      </w:pPr>
    </w:lvl>
    <w:lvl w:ilvl="6" w:tplc="0409000F" w:tentative="1">
      <w:start w:val="1"/>
      <w:numFmt w:val="decimal"/>
      <w:lvlText w:val="%7."/>
      <w:lvlJc w:val="left"/>
      <w:pPr>
        <w:ind w:left="448" w:hanging="360"/>
      </w:pPr>
    </w:lvl>
    <w:lvl w:ilvl="7" w:tplc="04090019" w:tentative="1">
      <w:start w:val="1"/>
      <w:numFmt w:val="lowerLetter"/>
      <w:lvlText w:val="%8."/>
      <w:lvlJc w:val="left"/>
      <w:pPr>
        <w:ind w:left="1168" w:hanging="360"/>
      </w:pPr>
    </w:lvl>
    <w:lvl w:ilvl="8" w:tplc="0409001B" w:tentative="1">
      <w:start w:val="1"/>
      <w:numFmt w:val="lowerRoman"/>
      <w:lvlText w:val="%9."/>
      <w:lvlJc w:val="right"/>
      <w:pPr>
        <w:ind w:left="1888" w:hanging="180"/>
      </w:pPr>
    </w:lvl>
  </w:abstractNum>
  <w:abstractNum w:abstractNumId="140">
    <w:nsid w:val="753D6644"/>
    <w:multiLevelType w:val="hybridMultilevel"/>
    <w:tmpl w:val="39D4E892"/>
    <w:lvl w:ilvl="0" w:tplc="B3A680B8">
      <w:start w:val="1"/>
      <mc:AlternateContent>
        <mc:Choice Requires="w14">
          <w:numFmt w:val="custom" w:format="а, й, к, ..."/>
        </mc:Choice>
        <mc:Fallback>
          <w:numFmt w:val="decimal"/>
        </mc:Fallback>
      </mc:AlternateContent>
      <w:lvlText w:val="%1)"/>
      <w:lvlJc w:val="left"/>
      <w:pPr>
        <w:ind w:left="720" w:hanging="360"/>
      </w:pPr>
      <w:rPr>
        <w:rFonts w:ascii="Times New Roman" w:eastAsia="Arial" w:hAnsi="Times New Roman" w:cs="Times New Roman" w:hint="default"/>
        <w:b w:val="0"/>
        <w:i w:val="0"/>
        <w:strike w:val="0"/>
        <w:dstrike w:val="0"/>
        <w:color w:val="000000"/>
        <w:sz w:val="24"/>
        <w:szCs w:val="24"/>
        <w:u w:val="none" w:color="000000"/>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1">
    <w:nsid w:val="75644865"/>
    <w:multiLevelType w:val="hybridMultilevel"/>
    <w:tmpl w:val="2698E86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2">
    <w:nsid w:val="75A46586"/>
    <w:multiLevelType w:val="hybridMultilevel"/>
    <w:tmpl w:val="3EC8F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nsid w:val="769F7C97"/>
    <w:multiLevelType w:val="hybridMultilevel"/>
    <w:tmpl w:val="5FACD85E"/>
    <w:lvl w:ilvl="0" w:tplc="2FB6AACE">
      <w:start w:val="1"/>
      <mc:AlternateContent>
        <mc:Choice Requires="w14">
          <w:numFmt w:val="custom" w:format="а, й, к, ..."/>
        </mc:Choice>
        <mc:Fallback>
          <w:numFmt w:val="decimal"/>
        </mc:Fallback>
      </mc:AlternateContent>
      <w:lvlText w:val="%1)"/>
      <w:lvlJc w:val="left"/>
      <w:pPr>
        <w:ind w:left="720" w:hanging="360"/>
      </w:pPr>
      <w:rPr>
        <w:rFonts w:ascii="Times New Roman" w:eastAsia="Arial" w:hAnsi="Times New Roman" w:cs="Times New Roman"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nsid w:val="77D4553C"/>
    <w:multiLevelType w:val="hybridMultilevel"/>
    <w:tmpl w:val="866C74F8"/>
    <w:lvl w:ilvl="0" w:tplc="E1F87C4E">
      <w:start w:val="1"/>
      <mc:AlternateContent>
        <mc:Choice Requires="w14">
          <w:numFmt w:val="custom" w:format="а, й, к, ..."/>
        </mc:Choice>
        <mc:Fallback>
          <w:numFmt w:val="decimal"/>
        </mc:Fallback>
      </mc:AlternateContent>
      <w:lvlText w:val="%1)"/>
      <w:lvlJc w:val="left"/>
      <w:pPr>
        <w:ind w:left="720" w:hanging="360"/>
      </w:pPr>
      <w:rPr>
        <w:rFonts w:ascii="Times New Roman" w:eastAsia="Arial" w:hAnsi="Times New Roman" w:cs="Times New Roman" w:hint="default"/>
        <w:b w:val="0"/>
        <w:i w:val="0"/>
        <w:strike w:val="0"/>
        <w:dstrike w:val="0"/>
        <w:color w:val="000000"/>
        <w:sz w:val="24"/>
        <w:szCs w:val="24"/>
        <w:u w:val="none" w:color="000000"/>
        <w:vertAlign w:val="baseli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5">
    <w:nsid w:val="783F5EBD"/>
    <w:multiLevelType w:val="hybridMultilevel"/>
    <w:tmpl w:val="D68A0C9A"/>
    <w:lvl w:ilvl="0" w:tplc="04090011">
      <w:start w:val="1"/>
      <w:numFmt w:val="decimal"/>
      <w:lvlText w:val="%1)"/>
      <w:lvlJc w:val="left"/>
      <w:pPr>
        <w:ind w:left="360" w:hanging="360"/>
      </w:pPr>
      <w:rPr>
        <w:rFont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6">
    <w:nsid w:val="78A407C3"/>
    <w:multiLevelType w:val="hybridMultilevel"/>
    <w:tmpl w:val="E52A0778"/>
    <w:lvl w:ilvl="0" w:tplc="CC82451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7">
    <w:nsid w:val="7B314C45"/>
    <w:multiLevelType w:val="hybridMultilevel"/>
    <w:tmpl w:val="81EEE5BC"/>
    <w:lvl w:ilvl="0" w:tplc="14A68B4C">
      <w:start w:val="1"/>
      <mc:AlternateContent>
        <mc:Choice Requires="w14">
          <w:numFmt w:val="custom" w:format="а, й, к, ..."/>
        </mc:Choice>
        <mc:Fallback>
          <w:numFmt w:val="decimal"/>
        </mc:Fallback>
      </mc:AlternateContent>
      <w:lvlText w:val="%1)"/>
      <w:lvlJc w:val="left"/>
      <w:pPr>
        <w:ind w:left="720" w:hanging="360"/>
      </w:pPr>
      <w:rPr>
        <w:rFonts w:ascii="Times New Roman" w:eastAsia="Arial" w:hAnsi="Times New Roman" w:cs="Times New Roman"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7C4709B9"/>
    <w:multiLevelType w:val="hybridMultilevel"/>
    <w:tmpl w:val="D68A0C9A"/>
    <w:lvl w:ilvl="0" w:tplc="04090011">
      <w:start w:val="1"/>
      <w:numFmt w:val="decimal"/>
      <w:lvlText w:val="%1)"/>
      <w:lvlJc w:val="left"/>
      <w:pPr>
        <w:ind w:left="360" w:hanging="360"/>
      </w:pPr>
      <w:rPr>
        <w:rFont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9">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150">
    <w:nsid w:val="7E9A2E6F"/>
    <w:multiLevelType w:val="hybridMultilevel"/>
    <w:tmpl w:val="8AD48A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nsid w:val="7ECA4CEB"/>
    <w:multiLevelType w:val="hybridMultilevel"/>
    <w:tmpl w:val="E706756C"/>
    <w:lvl w:ilvl="0" w:tplc="224AE4EC">
      <w:start w:val="1"/>
      <w:numFmt w:val="bullet"/>
      <w:lvlText w:val="•"/>
      <w:lvlJc w:val="left"/>
      <w:pPr>
        <w:ind w:left="1069" w:hanging="360"/>
      </w:pPr>
      <w:rPr>
        <w:rFonts w:ascii="Times New Roman" w:eastAsiaTheme="minorHAnsi"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num w:numId="1">
    <w:abstractNumId w:val="115"/>
  </w:num>
  <w:num w:numId="2">
    <w:abstractNumId w:val="74"/>
  </w:num>
  <w:num w:numId="3">
    <w:abstractNumId w:val="127"/>
  </w:num>
  <w:num w:numId="4">
    <w:abstractNumId w:val="54"/>
  </w:num>
  <w:num w:numId="5">
    <w:abstractNumId w:val="75"/>
  </w:num>
  <w:num w:numId="6">
    <w:abstractNumId w:val="41"/>
  </w:num>
  <w:num w:numId="7">
    <w:abstractNumId w:val="121"/>
  </w:num>
  <w:num w:numId="8">
    <w:abstractNumId w:val="34"/>
  </w:num>
  <w:num w:numId="9">
    <w:abstractNumId w:val="83"/>
  </w:num>
  <w:num w:numId="10">
    <w:abstractNumId w:val="113"/>
  </w:num>
  <w:num w:numId="11">
    <w:abstractNumId w:val="114"/>
  </w:num>
  <w:num w:numId="12">
    <w:abstractNumId w:val="53"/>
  </w:num>
  <w:num w:numId="13">
    <w:abstractNumId w:val="103"/>
  </w:num>
  <w:num w:numId="14">
    <w:abstractNumId w:val="149"/>
  </w:num>
  <w:num w:numId="15">
    <w:abstractNumId w:val="4"/>
  </w:num>
  <w:num w:numId="16">
    <w:abstractNumId w:val="2"/>
  </w:num>
  <w:num w:numId="17">
    <w:abstractNumId w:val="1"/>
  </w:num>
  <w:num w:numId="18">
    <w:abstractNumId w:val="0"/>
  </w:num>
  <w:num w:numId="19">
    <w:abstractNumId w:val="126"/>
  </w:num>
  <w:num w:numId="20">
    <w:abstractNumId w:val="97"/>
  </w:num>
  <w:num w:numId="21">
    <w:abstractNumId w:val="98"/>
  </w:num>
  <w:num w:numId="22">
    <w:abstractNumId w:val="101"/>
  </w:num>
  <w:num w:numId="23">
    <w:abstractNumId w:val="7"/>
  </w:num>
  <w:num w:numId="24">
    <w:abstractNumId w:val="40"/>
  </w:num>
  <w:num w:numId="25">
    <w:abstractNumId w:val="35"/>
  </w:num>
  <w:num w:numId="26">
    <w:abstractNumId w:val="76"/>
  </w:num>
  <w:num w:numId="27">
    <w:abstractNumId w:val="19"/>
  </w:num>
  <w:num w:numId="28">
    <w:abstractNumId w:val="66"/>
  </w:num>
  <w:num w:numId="29">
    <w:abstractNumId w:val="68"/>
  </w:num>
  <w:num w:numId="30">
    <w:abstractNumId w:val="9"/>
  </w:num>
  <w:num w:numId="31">
    <w:abstractNumId w:val="49"/>
  </w:num>
  <w:num w:numId="32">
    <w:abstractNumId w:val="14"/>
  </w:num>
  <w:num w:numId="33">
    <w:abstractNumId w:val="125"/>
  </w:num>
  <w:num w:numId="34">
    <w:abstractNumId w:val="117"/>
  </w:num>
  <w:num w:numId="35">
    <w:abstractNumId w:val="99"/>
  </w:num>
  <w:num w:numId="36">
    <w:abstractNumId w:val="15"/>
  </w:num>
  <w:num w:numId="37">
    <w:abstractNumId w:val="109"/>
  </w:num>
  <w:num w:numId="38">
    <w:abstractNumId w:val="18"/>
  </w:num>
  <w:num w:numId="39">
    <w:abstractNumId w:val="11"/>
  </w:num>
  <w:num w:numId="40">
    <w:abstractNumId w:val="6"/>
  </w:num>
  <w:num w:numId="41">
    <w:abstractNumId w:val="81"/>
  </w:num>
  <w:num w:numId="42">
    <w:abstractNumId w:val="100"/>
  </w:num>
  <w:num w:numId="43">
    <w:abstractNumId w:val="92"/>
  </w:num>
  <w:num w:numId="44">
    <w:abstractNumId w:val="79"/>
  </w:num>
  <w:num w:numId="45">
    <w:abstractNumId w:val="43"/>
  </w:num>
  <w:num w:numId="46">
    <w:abstractNumId w:val="130"/>
  </w:num>
  <w:num w:numId="47">
    <w:abstractNumId w:val="118"/>
  </w:num>
  <w:num w:numId="48">
    <w:abstractNumId w:val="36"/>
  </w:num>
  <w:num w:numId="49">
    <w:abstractNumId w:val="46"/>
  </w:num>
  <w:num w:numId="50">
    <w:abstractNumId w:val="27"/>
  </w:num>
  <w:num w:numId="51">
    <w:abstractNumId w:val="12"/>
  </w:num>
  <w:num w:numId="52">
    <w:abstractNumId w:val="70"/>
  </w:num>
  <w:num w:numId="53">
    <w:abstractNumId w:val="124"/>
  </w:num>
  <w:num w:numId="54">
    <w:abstractNumId w:val="102"/>
  </w:num>
  <w:num w:numId="55">
    <w:abstractNumId w:val="105"/>
  </w:num>
  <w:num w:numId="56">
    <w:abstractNumId w:val="129"/>
  </w:num>
  <w:num w:numId="57">
    <w:abstractNumId w:val="104"/>
  </w:num>
  <w:num w:numId="58">
    <w:abstractNumId w:val="143"/>
  </w:num>
  <w:num w:numId="59">
    <w:abstractNumId w:val="17"/>
  </w:num>
  <w:num w:numId="60">
    <w:abstractNumId w:val="52"/>
  </w:num>
  <w:num w:numId="61">
    <w:abstractNumId w:val="62"/>
  </w:num>
  <w:num w:numId="62">
    <w:abstractNumId w:val="38"/>
  </w:num>
  <w:num w:numId="63">
    <w:abstractNumId w:val="85"/>
  </w:num>
  <w:num w:numId="64">
    <w:abstractNumId w:val="144"/>
  </w:num>
  <w:num w:numId="65">
    <w:abstractNumId w:val="134"/>
  </w:num>
  <w:num w:numId="66">
    <w:abstractNumId w:val="64"/>
  </w:num>
  <w:num w:numId="67">
    <w:abstractNumId w:val="29"/>
  </w:num>
  <w:num w:numId="68">
    <w:abstractNumId w:val="84"/>
  </w:num>
  <w:num w:numId="69">
    <w:abstractNumId w:val="60"/>
  </w:num>
  <w:num w:numId="70">
    <w:abstractNumId w:val="72"/>
  </w:num>
  <w:num w:numId="71">
    <w:abstractNumId w:val="95"/>
  </w:num>
  <w:num w:numId="72">
    <w:abstractNumId w:val="71"/>
  </w:num>
  <w:num w:numId="73">
    <w:abstractNumId w:val="50"/>
  </w:num>
  <w:num w:numId="74">
    <w:abstractNumId w:val="73"/>
  </w:num>
  <w:num w:numId="75">
    <w:abstractNumId w:val="133"/>
  </w:num>
  <w:num w:numId="76">
    <w:abstractNumId w:val="151"/>
  </w:num>
  <w:num w:numId="77">
    <w:abstractNumId w:val="13"/>
  </w:num>
  <w:num w:numId="78">
    <w:abstractNumId w:val="146"/>
  </w:num>
  <w:num w:numId="79">
    <w:abstractNumId w:val="26"/>
  </w:num>
  <w:num w:numId="80">
    <w:abstractNumId w:val="31"/>
  </w:num>
  <w:num w:numId="81">
    <w:abstractNumId w:val="59"/>
  </w:num>
  <w:num w:numId="82">
    <w:abstractNumId w:val="22"/>
  </w:num>
  <w:num w:numId="83">
    <w:abstractNumId w:val="86"/>
  </w:num>
  <w:num w:numId="84">
    <w:abstractNumId w:val="88"/>
  </w:num>
  <w:num w:numId="85">
    <w:abstractNumId w:val="150"/>
  </w:num>
  <w:num w:numId="86">
    <w:abstractNumId w:val="139"/>
  </w:num>
  <w:num w:numId="87">
    <w:abstractNumId w:val="116"/>
  </w:num>
  <w:num w:numId="88">
    <w:abstractNumId w:val="47"/>
  </w:num>
  <w:num w:numId="89">
    <w:abstractNumId w:val="63"/>
  </w:num>
  <w:num w:numId="90">
    <w:abstractNumId w:val="111"/>
  </w:num>
  <w:num w:numId="91">
    <w:abstractNumId w:val="21"/>
  </w:num>
  <w:num w:numId="92">
    <w:abstractNumId w:val="93"/>
  </w:num>
  <w:num w:numId="93">
    <w:abstractNumId w:val="82"/>
  </w:num>
  <w:num w:numId="94">
    <w:abstractNumId w:val="137"/>
  </w:num>
  <w:num w:numId="95">
    <w:abstractNumId w:val="56"/>
  </w:num>
  <w:num w:numId="96">
    <w:abstractNumId w:val="140"/>
  </w:num>
  <w:num w:numId="97">
    <w:abstractNumId w:val="51"/>
  </w:num>
  <w:num w:numId="98">
    <w:abstractNumId w:val="20"/>
  </w:num>
  <w:num w:numId="99">
    <w:abstractNumId w:val="87"/>
  </w:num>
  <w:num w:numId="100">
    <w:abstractNumId w:val="128"/>
  </w:num>
  <w:num w:numId="101">
    <w:abstractNumId w:val="58"/>
  </w:num>
  <w:num w:numId="102">
    <w:abstractNumId w:val="67"/>
  </w:num>
  <w:num w:numId="103">
    <w:abstractNumId w:val="131"/>
  </w:num>
  <w:num w:numId="104">
    <w:abstractNumId w:val="141"/>
  </w:num>
  <w:num w:numId="105">
    <w:abstractNumId w:val="45"/>
  </w:num>
  <w:num w:numId="106">
    <w:abstractNumId w:val="122"/>
  </w:num>
  <w:num w:numId="107">
    <w:abstractNumId w:val="78"/>
  </w:num>
  <w:num w:numId="108">
    <w:abstractNumId w:val="136"/>
  </w:num>
  <w:num w:numId="109">
    <w:abstractNumId w:val="110"/>
  </w:num>
  <w:num w:numId="110">
    <w:abstractNumId w:val="65"/>
  </w:num>
  <w:num w:numId="111">
    <w:abstractNumId w:val="147"/>
  </w:num>
  <w:num w:numId="112">
    <w:abstractNumId w:val="57"/>
  </w:num>
  <w:num w:numId="113">
    <w:abstractNumId w:val="138"/>
  </w:num>
  <w:num w:numId="114">
    <w:abstractNumId w:val="24"/>
  </w:num>
  <w:num w:numId="115">
    <w:abstractNumId w:val="61"/>
  </w:num>
  <w:num w:numId="116">
    <w:abstractNumId w:val="142"/>
  </w:num>
  <w:num w:numId="117">
    <w:abstractNumId w:val="28"/>
  </w:num>
  <w:num w:numId="118">
    <w:abstractNumId w:val="106"/>
  </w:num>
  <w:num w:numId="119">
    <w:abstractNumId w:val="77"/>
  </w:num>
  <w:num w:numId="120">
    <w:abstractNumId w:val="69"/>
  </w:num>
  <w:num w:numId="121">
    <w:abstractNumId w:val="132"/>
  </w:num>
  <w:num w:numId="122">
    <w:abstractNumId w:val="80"/>
  </w:num>
  <w:num w:numId="123">
    <w:abstractNumId w:val="90"/>
  </w:num>
  <w:num w:numId="124">
    <w:abstractNumId w:val="96"/>
  </w:num>
  <w:num w:numId="125">
    <w:abstractNumId w:val="135"/>
  </w:num>
  <w:num w:numId="126">
    <w:abstractNumId w:val="91"/>
  </w:num>
  <w:num w:numId="127">
    <w:abstractNumId w:val="12"/>
  </w:num>
  <w:num w:numId="128">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70"/>
  </w:num>
  <w:num w:numId="130">
    <w:abstractNumId w:val="124"/>
  </w:num>
  <w:num w:numId="131">
    <w:abstractNumId w:val="27"/>
    <w:lvlOverride w:ilvl="0">
      <w:startOverride w:val="1"/>
    </w:lvlOverride>
    <w:lvlOverride w:ilvl="1"/>
    <w:lvlOverride w:ilvl="2"/>
    <w:lvlOverride w:ilvl="3"/>
    <w:lvlOverride w:ilvl="4"/>
    <w:lvlOverride w:ilvl="5"/>
    <w:lvlOverride w:ilvl="6"/>
    <w:lvlOverride w:ilvl="7"/>
    <w:lvlOverride w:ilvl="8"/>
  </w:num>
  <w:num w:numId="132">
    <w:abstractNumId w:val="102"/>
  </w:num>
  <w:num w:numId="133">
    <w:abstractNumId w:val="27"/>
  </w:num>
  <w:num w:numId="1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84"/>
  </w:num>
  <w:num w:numId="13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25"/>
  </w:num>
  <w:num w:numId="138">
    <w:abstractNumId w:val="120"/>
  </w:num>
  <w:num w:numId="139">
    <w:abstractNumId w:val="123"/>
  </w:num>
  <w:num w:numId="140">
    <w:abstractNumId w:val="94"/>
  </w:num>
  <w:num w:numId="141">
    <w:abstractNumId w:val="30"/>
  </w:num>
  <w:num w:numId="142">
    <w:abstractNumId w:val="112"/>
  </w:num>
  <w:num w:numId="143">
    <w:abstractNumId w:val="151"/>
  </w:num>
  <w:num w:numId="144">
    <w:abstractNumId w:val="13"/>
  </w:num>
  <w:num w:numId="145">
    <w:abstractNumId w:val="146"/>
  </w:num>
  <w:num w:numId="146">
    <w:abstractNumId w:val="23"/>
  </w:num>
  <w:num w:numId="14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3"/>
  </w:num>
  <w:num w:numId="14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55"/>
  </w:num>
  <w:num w:numId="152">
    <w:abstractNumId w:val="119"/>
  </w:num>
  <w:num w:numId="153">
    <w:abstractNumId w:val="5"/>
  </w:num>
  <w:num w:numId="154">
    <w:abstractNumId w:val="39"/>
  </w:num>
  <w:num w:numId="155">
    <w:abstractNumId w:val="48"/>
  </w:num>
  <w:num w:numId="156">
    <w:abstractNumId w:val="44"/>
  </w:num>
  <w:num w:numId="15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32"/>
  </w:num>
  <w:num w:numId="17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10"/>
  </w:num>
  <w:num w:numId="176">
    <w:abstractNumId w:val="108"/>
  </w:num>
  <w:num w:numId="177">
    <w:abstractNumId w:val="16"/>
  </w:num>
  <w:num w:numId="178">
    <w:abstractNumId w:val="37"/>
  </w:num>
  <w:num w:numId="179">
    <w:abstractNumId w:val="8"/>
  </w:num>
  <w:num w:numId="180">
    <w:abstractNumId w:val="107"/>
  </w:num>
  <w:num w:numId="181">
    <w:abstractNumId w:val="42"/>
  </w:num>
  <w:num w:numId="182">
    <w:abstractNumId w:val="89"/>
  </w:num>
  <w:num w:numId="183">
    <w:abstractNumId w:val="145"/>
  </w:num>
  <w:num w:numId="184">
    <w:abstractNumId w:val="148"/>
  </w:num>
  <w:num w:numId="185">
    <w:abstractNumId w:val="33"/>
  </w:num>
  <w:numIdMacAtCleanup w:val="1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hideSpellingErrors/>
  <w:hideGrammaticalErrors/>
  <w:activeWritingStyle w:appName="MSWord" w:lang="es-ES" w:vendorID="64" w:dllVersion="131078" w:nlCheck="1" w:checkStyle="0"/>
  <w:activeWritingStyle w:appName="MSWord" w:lang="en-IE"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it-IT" w:vendorID="64" w:dllVersion="131078" w:nlCheck="1" w:checkStyle="0"/>
  <w:activeWritingStyle w:appName="MSWord" w:lang="es-ES_tradnl" w:vendorID="64" w:dllVersion="131078" w:nlCheck="1" w:checkStyle="0"/>
  <w:activeWritingStyle w:appName="MSWord" w:lang="fr-BE" w:vendorID="64" w:dllVersion="131078" w:nlCheck="1" w:checkStyle="0"/>
  <w:activeWritingStyle w:appName="MSWord" w:lang="pt-PT" w:vendorID="64" w:dllVersion="131078" w:nlCheck="1" w:checkStyle="0"/>
  <w:activeWritingStyle w:appName="MSWord" w:lang="da-DK" w:vendorID="64" w:dllVersion="131078" w:nlCheck="1" w:checkStyle="0"/>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2?\u1098?\u1084? "/>
    <w:docVar w:name="LW_ANNEX_NBR_FIRST" w:val="1"/>
    <w:docVar w:name="LW_ANNEX_NBR_LAST" w:val="1"/>
    <w:docVar w:name="LW_ANNEX_UNIQUE" w:val="1"/>
    <w:docVar w:name="LW_CORRIGENDUM" w:val="&lt;UNUSED&gt;"/>
    <w:docVar w:name="LW_COVERPAGE_EXISTS" w:val="True"/>
    <w:docVar w:name="LW_COVERPAGE_GUID" w:val="D785393F-A5C0-4963-9DA7-07E1B3A09BD0"/>
    <w:docVar w:name="LW_COVERPAGE_TYPE" w:val="1"/>
    <w:docVar w:name="LW_CROSSREFERENCE" w:val="{SWD(2021) 147 final}"/>
    <w:docVar w:name="LW_DocType" w:val="NORMAL"/>
    <w:docVar w:name="LW_EMISSION" w:val="16.6.2021"/>
    <w:docVar w:name="LW_EMISSION_ISODATE" w:val="2021-06-16"/>
    <w:docVar w:name="LW_EMISSION_LOCATION" w:val="BRX"/>
    <w:docVar w:name="LW_EMISSION_PREFIX" w:val="Брюксел, "/>
    <w:docVar w:name="LW_EMISSION_SUFFIX" w:val=" \u1075?."/>
    <w:docVar w:name="LW_ID_DOCTYPE_NONLW" w:val="CP-036"/>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79?\u1072? \u1086?\u1076?\u1086?\u1073?\u1088?\u1103?\u1074?\u1072?\u1085?\u1077? \u1085?\u1072? \u1086?\u1094?\u1077?\u1085?\u1082?\u1072?\u1090?\u1072? \u1085?\u1072? \u1087?\u1083?\u1072?\u1085?\u1072? \u1079?\u1072? \u1074?\u1098?\u1079?\u1089?\u1090?\u1072?\u1085?\u1086?\u1074?\u1103?\u1074?\u1072?\u1085?\u1077? \u1080? \u1091?\u1089?\u1090?\u1086?\u1081?\u1095?\u1080?\u1074?\u1086?\u1089?\u1090? \u1085?\u1072? \u1048?\u1089?\u1087?\u1072?\u1085?\u1080?\u1103?"/>
    <w:docVar w:name="LW_PART_NBR" w:val="1"/>
    <w:docVar w:name="LW_PART_NBR_TOTAL" w:val="1"/>
    <w:docVar w:name="LW_REF.INST.NEW" w:val="COM"/>
    <w:docVar w:name="LW_REF.INST.NEW_ADOPTED" w:val="final"/>
    <w:docVar w:name="LW_REF.INST.NEW_TEXT" w:val="(2021) 32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u1055?\u1056?\u1048?\u1051?\u1054?\u1046?\u1045?\u1053?\u1048?\u1045?_x000b_"/>
    <w:docVar w:name="LW_TYPEACTEPRINCIPAL.CP" w:val="\u1055?\u1088?\u1077?\u1076?\u1083?\u1086?\u1078?\u1077?\u1085?\u1080?\u1077? \u1079?\u1072? \u1088?\u1077?\u1096?\u1077?\u1085?\u1080?\u1077? \u1079?\u1072? \u1080?\u1079?\u1087?\u1098?\u1083?\u1085?\u1077?\u1085?\u1080?\u1077? \u1085?\u1072? \u1057?\u1098?\u1074?\u1077?\u1090?\u1072? "/>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spacing w:before="360" w:after="360" w:line="240" w:lineRule="auto"/>
      <w:jc w:val="center"/>
      <w:outlineLvl w:val="0"/>
    </w:pPr>
    <w:rPr>
      <w:rFonts w:ascii="Times New Roman" w:hAnsi="Times New Roman" w:cs="Times New Roman"/>
      <w:b/>
      <w:smallCaps/>
      <w:sz w:val="28"/>
    </w:rPr>
  </w:style>
  <w:style w:type="paragraph" w:styleId="Heading2">
    <w:name w:val="heading 2"/>
    <w:basedOn w:val="Normal"/>
    <w:next w:val="Text1"/>
    <w:link w:val="Heading2Char"/>
    <w:uiPriority w:val="9"/>
    <w:unhideWhenUsed/>
    <w:qFormat/>
    <w:pPr>
      <w:keepNext/>
      <w:numPr>
        <w:ilvl w:val="1"/>
        <w:numId w:val="7"/>
      </w:numPr>
      <w:spacing w:before="120" w:after="120" w:line="240" w:lineRule="auto"/>
      <w:jc w:val="both"/>
      <w:outlineLvl w:val="1"/>
    </w:pPr>
    <w:rPr>
      <w:rFonts w:ascii="Times New Roman" w:eastAsiaTheme="majorEastAsia" w:hAnsi="Times New Roman" w:cs="Times New Roman"/>
      <w:b/>
      <w:bCs/>
      <w:sz w:val="24"/>
      <w:szCs w:val="26"/>
    </w:rPr>
  </w:style>
  <w:style w:type="paragraph" w:styleId="Heading3">
    <w:name w:val="heading 3"/>
    <w:basedOn w:val="Normal"/>
    <w:next w:val="Text1"/>
    <w:link w:val="Heading3Char"/>
    <w:uiPriority w:val="9"/>
    <w:unhideWhenUsed/>
    <w:qFormat/>
    <w:pPr>
      <w:keepNext/>
      <w:numPr>
        <w:ilvl w:val="2"/>
        <w:numId w:val="7"/>
      </w:numPr>
      <w:spacing w:before="120" w:after="120" w:line="240" w:lineRule="auto"/>
      <w:jc w:val="both"/>
      <w:outlineLvl w:val="2"/>
    </w:pPr>
    <w:rPr>
      <w:rFonts w:ascii="Times New Roman" w:eastAsiaTheme="majorEastAsia" w:hAnsi="Times New Roman" w:cs="Times New Roman"/>
      <w:bCs/>
      <w:i/>
      <w:sz w:val="24"/>
    </w:rPr>
  </w:style>
  <w:style w:type="paragraph" w:styleId="Heading4">
    <w:name w:val="heading 4"/>
    <w:basedOn w:val="Normal"/>
    <w:next w:val="Text1"/>
    <w:link w:val="Heading4Char"/>
    <w:uiPriority w:val="9"/>
    <w:unhideWhenUsed/>
    <w:qFormat/>
    <w:pPr>
      <w:keepNext/>
      <w:numPr>
        <w:ilvl w:val="3"/>
        <w:numId w:val="7"/>
      </w:numPr>
      <w:spacing w:before="120" w:after="120" w:line="240" w:lineRule="auto"/>
      <w:jc w:val="both"/>
      <w:outlineLvl w:val="3"/>
    </w:pPr>
    <w:rPr>
      <w:rFonts w:ascii="Times New Roman" w:eastAsiaTheme="majorEastAsia" w:hAnsi="Times New Roman" w:cs="Times New Roman"/>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hAnsi="Times New Roman" w:cs="Times New Roman"/>
      <w:b/>
      <w:smallCaps/>
      <w:sz w:val="28"/>
      <w:lang w:val="bg-BG"/>
    </w:rPr>
  </w:style>
  <w:style w:type="character" w:customStyle="1" w:styleId="Heading2Char">
    <w:name w:val="Heading 2 Char"/>
    <w:basedOn w:val="DefaultParagraphFont"/>
    <w:link w:val="Heading2"/>
    <w:uiPriority w:val="9"/>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rPr>
      <w:rFonts w:ascii="Times New Roman" w:eastAsiaTheme="majorEastAsia" w:hAnsi="Times New Roman" w:cs="Times New Roman"/>
      <w:bCs/>
      <w:iCs/>
      <w:sz w:val="24"/>
    </w:rPr>
  </w:style>
  <w:style w:type="numbering" w:customStyle="1" w:styleId="NoList1">
    <w:name w:val="No List1"/>
    <w:next w:val="NoList"/>
    <w:uiPriority w:val="99"/>
    <w:semiHidden/>
    <w:unhideWhenUsed/>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basedOn w:val="Normal"/>
    <w:link w:val="FootnoteTextChar"/>
    <w:uiPriority w:val="99"/>
    <w:unhideWhenUsed/>
    <w:pPr>
      <w:spacing w:after="0" w:line="240" w:lineRule="auto"/>
      <w:ind w:left="720" w:hanging="720"/>
      <w:jc w:val="both"/>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rPr>
      <w:rFonts w:ascii="Times New Roman" w:hAnsi="Times New Roman" w:cs="Times New Roman"/>
      <w:sz w:val="20"/>
      <w:szCs w:val="20"/>
    </w:rPr>
  </w:style>
  <w:style w:type="paragraph" w:styleId="TOCHeading">
    <w:name w:val="TOC Heading"/>
    <w:basedOn w:val="Normal"/>
    <w:next w:val="Normal"/>
    <w:uiPriority w:val="39"/>
    <w:semiHidden/>
    <w:unhideWhenUsed/>
    <w:qFormat/>
    <w:pPr>
      <w:spacing w:before="120" w:after="240" w:line="240" w:lineRule="auto"/>
      <w:jc w:val="center"/>
    </w:pPr>
    <w:rPr>
      <w:rFonts w:ascii="Times New Roman" w:hAnsi="Times New Roman" w:cs="Times New Roman"/>
      <w:b/>
      <w:sz w:val="28"/>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hAnsi="Times New Roman" w:cs="Times New Roman"/>
      <w:sz w:val="24"/>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hAnsi="Times New Roman" w:cs="Times New Roman"/>
      <w:sz w:val="24"/>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hAnsi="Times New Roman" w:cs="Times New Roman"/>
      <w:sz w:val="24"/>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hAnsi="Times New Roman" w:cs="Times New Roman"/>
      <w:sz w:val="24"/>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hAnsi="Times New Roman" w:cs="Times New Roman"/>
      <w:sz w:val="24"/>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hAnsi="Times New Roman" w:cs="Times New Roman"/>
      <w:sz w:val="24"/>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hAnsi="Times New Roman" w:cs="Times New Roman"/>
      <w:sz w:val="24"/>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hAnsi="Times New Roman" w:cs="Times New Roman"/>
      <w:sz w:val="24"/>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Text1">
    <w:name w:val="Text 1"/>
    <w:basedOn w:val="Normal"/>
    <w:pPr>
      <w:spacing w:before="120" w:after="120" w:line="240" w:lineRule="auto"/>
      <w:ind w:left="850"/>
      <w:jc w:val="both"/>
    </w:pPr>
    <w:rPr>
      <w:rFonts w:ascii="Times New Roman" w:hAnsi="Times New Roman" w:cs="Times New Roman"/>
      <w:sz w:val="24"/>
    </w:rPr>
  </w:style>
  <w:style w:type="paragraph" w:customStyle="1" w:styleId="Text2">
    <w:name w:val="Text 2"/>
    <w:basedOn w:val="Normal"/>
    <w:pPr>
      <w:spacing w:before="120" w:after="120" w:line="240" w:lineRule="auto"/>
      <w:ind w:left="1417"/>
      <w:jc w:val="both"/>
    </w:pPr>
    <w:rPr>
      <w:rFonts w:ascii="Times New Roman" w:hAnsi="Times New Roman" w:cs="Times New Roman"/>
      <w:sz w:val="24"/>
    </w:rPr>
  </w:style>
  <w:style w:type="paragraph" w:customStyle="1" w:styleId="Text3">
    <w:name w:val="Text 3"/>
    <w:basedOn w:val="Normal"/>
    <w:pPr>
      <w:spacing w:before="120" w:after="120" w:line="240" w:lineRule="auto"/>
      <w:ind w:left="1984"/>
      <w:jc w:val="both"/>
    </w:pPr>
    <w:rPr>
      <w:rFonts w:ascii="Times New Roman" w:hAnsi="Times New Roman" w:cs="Times New Roman"/>
      <w:sz w:val="24"/>
    </w:rPr>
  </w:style>
  <w:style w:type="paragraph" w:customStyle="1" w:styleId="Text4">
    <w:name w:val="Text 4"/>
    <w:basedOn w:val="Normal"/>
    <w:pPr>
      <w:spacing w:before="120" w:after="120" w:line="240" w:lineRule="auto"/>
      <w:ind w:left="2551"/>
      <w:jc w:val="both"/>
    </w:pPr>
    <w:rPr>
      <w:rFonts w:ascii="Times New Roman" w:hAnsi="Times New Roman" w:cs="Times New Roman"/>
      <w:sz w:val="24"/>
    </w:rPr>
  </w:style>
  <w:style w:type="paragraph" w:customStyle="1" w:styleId="NormalCentered">
    <w:name w:val="Normal Centered"/>
    <w:basedOn w:val="Normal"/>
    <w:pPr>
      <w:spacing w:before="120" w:after="120" w:line="240" w:lineRule="auto"/>
      <w:jc w:val="center"/>
    </w:pPr>
    <w:rPr>
      <w:rFonts w:ascii="Times New Roman" w:hAnsi="Times New Roman" w:cs="Times New Roman"/>
      <w:sz w:val="24"/>
    </w:rPr>
  </w:style>
  <w:style w:type="paragraph" w:customStyle="1" w:styleId="NormalLeft">
    <w:name w:val="Normal Left"/>
    <w:basedOn w:val="Normal"/>
    <w:pPr>
      <w:spacing w:before="120" w:after="120" w:line="240" w:lineRule="auto"/>
    </w:pPr>
    <w:rPr>
      <w:rFonts w:ascii="Times New Roman" w:hAnsi="Times New Roman" w:cs="Times New Roman"/>
      <w:sz w:val="24"/>
    </w:rPr>
  </w:style>
  <w:style w:type="paragraph" w:customStyle="1" w:styleId="NormalRight">
    <w:name w:val="Normal Right"/>
    <w:basedOn w:val="Normal"/>
    <w:pPr>
      <w:spacing w:before="120" w:after="120" w:line="240" w:lineRule="auto"/>
      <w:jc w:val="right"/>
    </w:pPr>
    <w:rPr>
      <w:rFonts w:ascii="Times New Roman" w:hAnsi="Times New Roman" w:cs="Times New Roman"/>
      <w:sz w:val="24"/>
    </w:rPr>
  </w:style>
  <w:style w:type="paragraph" w:customStyle="1" w:styleId="QuotedText">
    <w:name w:val="Quoted Text"/>
    <w:basedOn w:val="Normal"/>
    <w:pPr>
      <w:spacing w:before="120" w:after="120" w:line="240" w:lineRule="auto"/>
      <w:ind w:left="1417"/>
      <w:jc w:val="both"/>
    </w:pPr>
    <w:rPr>
      <w:rFonts w:ascii="Times New Roman" w:hAnsi="Times New Roman" w:cs="Times New Roman"/>
      <w:sz w:val="24"/>
    </w:rPr>
  </w:style>
  <w:style w:type="paragraph" w:customStyle="1" w:styleId="Point0">
    <w:name w:val="Point 0"/>
    <w:basedOn w:val="Normal"/>
    <w:pPr>
      <w:spacing w:before="120" w:after="120" w:line="240" w:lineRule="auto"/>
      <w:ind w:left="850" w:hanging="850"/>
      <w:jc w:val="both"/>
    </w:pPr>
    <w:rPr>
      <w:rFonts w:ascii="Times New Roman" w:hAnsi="Times New Roman" w:cs="Times New Roman"/>
      <w:sz w:val="24"/>
    </w:rPr>
  </w:style>
  <w:style w:type="paragraph" w:customStyle="1" w:styleId="Point1">
    <w:name w:val="Point 1"/>
    <w:basedOn w:val="Normal"/>
    <w:pPr>
      <w:spacing w:before="120" w:after="120" w:line="240" w:lineRule="auto"/>
      <w:ind w:left="1417" w:hanging="567"/>
      <w:jc w:val="both"/>
    </w:pPr>
    <w:rPr>
      <w:rFonts w:ascii="Times New Roman" w:hAnsi="Times New Roman" w:cs="Times New Roman"/>
      <w:sz w:val="24"/>
    </w:rPr>
  </w:style>
  <w:style w:type="paragraph" w:customStyle="1" w:styleId="Point2">
    <w:name w:val="Point 2"/>
    <w:basedOn w:val="Normal"/>
    <w:pPr>
      <w:spacing w:before="120" w:after="120" w:line="240" w:lineRule="auto"/>
      <w:ind w:left="1984" w:hanging="567"/>
      <w:jc w:val="both"/>
    </w:pPr>
    <w:rPr>
      <w:rFonts w:ascii="Times New Roman" w:hAnsi="Times New Roman" w:cs="Times New Roman"/>
      <w:sz w:val="24"/>
    </w:rPr>
  </w:style>
  <w:style w:type="paragraph" w:customStyle="1" w:styleId="Point3">
    <w:name w:val="Point 3"/>
    <w:basedOn w:val="Normal"/>
    <w:pPr>
      <w:spacing w:before="120" w:after="120" w:line="240" w:lineRule="auto"/>
      <w:ind w:left="2551" w:hanging="567"/>
      <w:jc w:val="both"/>
    </w:pPr>
    <w:rPr>
      <w:rFonts w:ascii="Times New Roman" w:hAnsi="Times New Roman" w:cs="Times New Roman"/>
      <w:sz w:val="24"/>
    </w:rPr>
  </w:style>
  <w:style w:type="paragraph" w:customStyle="1" w:styleId="Point4">
    <w:name w:val="Point 4"/>
    <w:basedOn w:val="Normal"/>
    <w:pPr>
      <w:spacing w:before="120" w:after="120" w:line="240" w:lineRule="auto"/>
      <w:ind w:left="3118" w:hanging="567"/>
      <w:jc w:val="both"/>
    </w:pPr>
    <w:rPr>
      <w:rFonts w:ascii="Times New Roman" w:hAnsi="Times New Roman" w:cs="Times New Roman"/>
      <w:sz w:val="24"/>
    </w:r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hAnsi="Times New Roman" w:cs="Times New Roman"/>
      <w:sz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hAnsi="Times New Roman" w:cs="Times New Roman"/>
      <w:sz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hAnsi="Times New Roman" w:cs="Times New Roman"/>
      <w:sz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hAnsi="Times New Roman" w:cs="Times New Roman"/>
      <w:sz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hAnsi="Times New Roman" w:cs="Times New Roman"/>
      <w:sz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hAnsi="Times New Roman" w:cs="Times New Roman"/>
      <w:sz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hAnsi="Times New Roman" w:cs="Times New Roman"/>
      <w:sz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hAnsi="Times New Roman" w:cs="Times New Roman"/>
      <w:sz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hAnsi="Times New Roman" w:cs="Times New Roman"/>
      <w:sz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hAnsi="Times New Roman" w:cs="Times New Roman"/>
      <w:sz w:val="24"/>
    </w:rPr>
  </w:style>
  <w:style w:type="paragraph" w:customStyle="1" w:styleId="NumPar1">
    <w:name w:val="NumPar 1"/>
    <w:basedOn w:val="Normal"/>
    <w:next w:val="Text1"/>
    <w:pPr>
      <w:numPr>
        <w:numId w:val="6"/>
      </w:numPr>
      <w:spacing w:before="120" w:after="120" w:line="240" w:lineRule="auto"/>
      <w:jc w:val="both"/>
    </w:pPr>
    <w:rPr>
      <w:rFonts w:ascii="Times New Roman" w:hAnsi="Times New Roman" w:cs="Times New Roman"/>
      <w:sz w:val="24"/>
    </w:rPr>
  </w:style>
  <w:style w:type="paragraph" w:customStyle="1" w:styleId="NumPar2">
    <w:name w:val="NumPar 2"/>
    <w:basedOn w:val="Normal"/>
    <w:next w:val="Text1"/>
    <w:pPr>
      <w:numPr>
        <w:ilvl w:val="1"/>
        <w:numId w:val="6"/>
      </w:numPr>
      <w:spacing w:before="120" w:after="120" w:line="240" w:lineRule="auto"/>
      <w:jc w:val="both"/>
    </w:pPr>
    <w:rPr>
      <w:rFonts w:ascii="Times New Roman" w:hAnsi="Times New Roman" w:cs="Times New Roman"/>
      <w:sz w:val="24"/>
    </w:rPr>
  </w:style>
  <w:style w:type="paragraph" w:customStyle="1" w:styleId="NumPar3">
    <w:name w:val="NumPar 3"/>
    <w:basedOn w:val="Normal"/>
    <w:next w:val="Text1"/>
    <w:pPr>
      <w:numPr>
        <w:ilvl w:val="2"/>
        <w:numId w:val="6"/>
      </w:numPr>
      <w:spacing w:before="120" w:after="120" w:line="240" w:lineRule="auto"/>
      <w:jc w:val="both"/>
    </w:pPr>
    <w:rPr>
      <w:rFonts w:ascii="Times New Roman" w:hAnsi="Times New Roman" w:cs="Times New Roman"/>
      <w:sz w:val="24"/>
    </w:rPr>
  </w:style>
  <w:style w:type="paragraph" w:customStyle="1" w:styleId="NumPar4">
    <w:name w:val="NumPar 4"/>
    <w:basedOn w:val="Normal"/>
    <w:next w:val="Text1"/>
    <w:pPr>
      <w:numPr>
        <w:ilvl w:val="3"/>
        <w:numId w:val="6"/>
      </w:numPr>
      <w:spacing w:before="120" w:after="120" w:line="240" w:lineRule="auto"/>
      <w:jc w:val="both"/>
    </w:pPr>
    <w:rPr>
      <w:rFonts w:ascii="Times New Roman" w:hAnsi="Times New Roman" w:cs="Times New Roman"/>
      <w:sz w:val="24"/>
    </w:rPr>
  </w:style>
  <w:style w:type="paragraph" w:customStyle="1" w:styleId="ManualNumPar1">
    <w:name w:val="Manual NumPar 1"/>
    <w:basedOn w:val="Normal"/>
    <w:next w:val="Text1"/>
    <w:pPr>
      <w:spacing w:before="120" w:after="120" w:line="240" w:lineRule="auto"/>
      <w:ind w:left="850" w:hanging="850"/>
      <w:jc w:val="both"/>
    </w:pPr>
    <w:rPr>
      <w:rFonts w:ascii="Times New Roman" w:hAnsi="Times New Roman" w:cs="Times New Roman"/>
      <w:sz w:val="24"/>
    </w:rPr>
  </w:style>
  <w:style w:type="paragraph" w:customStyle="1" w:styleId="ManualNumPar2">
    <w:name w:val="Manual NumPar 2"/>
    <w:basedOn w:val="Normal"/>
    <w:next w:val="Text1"/>
    <w:pPr>
      <w:spacing w:before="120" w:after="120" w:line="240" w:lineRule="auto"/>
      <w:ind w:left="850" w:hanging="850"/>
      <w:jc w:val="both"/>
    </w:pPr>
    <w:rPr>
      <w:rFonts w:ascii="Times New Roman" w:hAnsi="Times New Roman" w:cs="Times New Roman"/>
      <w:sz w:val="24"/>
    </w:rPr>
  </w:style>
  <w:style w:type="paragraph" w:customStyle="1" w:styleId="ManualNumPar3">
    <w:name w:val="Manual NumPar 3"/>
    <w:basedOn w:val="Normal"/>
    <w:next w:val="Text1"/>
    <w:pPr>
      <w:spacing w:before="120" w:after="120" w:line="240" w:lineRule="auto"/>
      <w:ind w:left="850" w:hanging="850"/>
      <w:jc w:val="both"/>
    </w:pPr>
    <w:rPr>
      <w:rFonts w:ascii="Times New Roman" w:hAnsi="Times New Roman" w:cs="Times New Roman"/>
      <w:sz w:val="24"/>
    </w:rPr>
  </w:style>
  <w:style w:type="paragraph" w:customStyle="1" w:styleId="ManualNumPar4">
    <w:name w:val="Manual NumPar 4"/>
    <w:basedOn w:val="Normal"/>
    <w:next w:val="Text1"/>
    <w:pPr>
      <w:spacing w:before="120" w:after="120" w:line="240" w:lineRule="auto"/>
      <w:ind w:left="850" w:hanging="850"/>
      <w:jc w:val="both"/>
    </w:pPr>
    <w:rPr>
      <w:rFonts w:ascii="Times New Roman" w:hAnsi="Times New Roman" w:cs="Times New Roman"/>
      <w:sz w:val="24"/>
    </w:rPr>
  </w:style>
  <w:style w:type="paragraph" w:customStyle="1" w:styleId="QuotedNumPar">
    <w:name w:val="Quoted NumPar"/>
    <w:basedOn w:val="Normal"/>
    <w:pPr>
      <w:spacing w:before="120" w:after="120" w:line="240" w:lineRule="auto"/>
      <w:ind w:left="1417" w:hanging="567"/>
      <w:jc w:val="both"/>
    </w:pPr>
    <w:rPr>
      <w:rFonts w:ascii="Times New Roman" w:hAnsi="Times New Roman" w:cs="Times New Roman"/>
      <w:sz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hAnsi="Times New Roman" w:cs="Times New Roman"/>
      <w:b/>
      <w:smallCaps/>
      <w:sz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hAnsi="Times New Roman" w:cs="Times New Roman"/>
      <w:b/>
      <w:sz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hAnsi="Times New Roman" w:cs="Times New Roman"/>
      <w:i/>
      <w:sz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hAnsi="Times New Roman" w:cs="Times New Roman"/>
      <w:sz w:val="24"/>
    </w:rPr>
  </w:style>
  <w:style w:type="paragraph" w:customStyle="1" w:styleId="ChapterTitle">
    <w:name w:val="ChapterTitle"/>
    <w:basedOn w:val="Normal"/>
    <w:next w:val="Normal"/>
    <w:pPr>
      <w:keepNext/>
      <w:spacing w:before="120" w:after="360" w:line="240" w:lineRule="auto"/>
      <w:jc w:val="center"/>
    </w:pPr>
    <w:rPr>
      <w:rFonts w:ascii="Times New Roman" w:hAnsi="Times New Roman" w:cs="Times New Roman"/>
      <w:b/>
      <w:sz w:val="32"/>
    </w:rPr>
  </w:style>
  <w:style w:type="paragraph" w:customStyle="1" w:styleId="PartTitle">
    <w:name w:val="PartTitle"/>
    <w:basedOn w:val="Normal"/>
    <w:next w:val="ChapterTitle"/>
    <w:pPr>
      <w:keepNext/>
      <w:pageBreakBefore/>
      <w:spacing w:before="120" w:after="360" w:line="240" w:lineRule="auto"/>
      <w:jc w:val="center"/>
    </w:pPr>
    <w:rPr>
      <w:rFonts w:ascii="Times New Roman" w:hAnsi="Times New Roman" w:cs="Times New Roman"/>
      <w:b/>
      <w:sz w:val="36"/>
    </w:rPr>
  </w:style>
  <w:style w:type="paragraph" w:customStyle="1" w:styleId="SectionTitle">
    <w:name w:val="SectionTitle"/>
    <w:basedOn w:val="Normal"/>
    <w:next w:val="Heading1"/>
    <w:pPr>
      <w:keepNext/>
      <w:spacing w:before="120" w:after="360" w:line="240" w:lineRule="auto"/>
      <w:jc w:val="center"/>
    </w:pPr>
    <w:rPr>
      <w:rFonts w:ascii="Times New Roman" w:hAnsi="Times New Roman" w:cs="Times New Roman"/>
      <w:b/>
      <w:smallCaps/>
      <w:sz w:val="28"/>
    </w:rPr>
  </w:style>
  <w:style w:type="paragraph" w:customStyle="1" w:styleId="TableTitle">
    <w:name w:val="Table Title"/>
    <w:basedOn w:val="Normal"/>
    <w:next w:val="Normal"/>
    <w:pPr>
      <w:spacing w:before="120" w:after="120" w:line="240" w:lineRule="auto"/>
      <w:jc w:val="center"/>
    </w:pPr>
    <w:rPr>
      <w:rFonts w:ascii="Times New Roman" w:hAnsi="Times New Roman" w:cs="Times New Roman"/>
      <w:b/>
      <w:sz w:val="24"/>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8"/>
      </w:numPr>
      <w:spacing w:before="120" w:after="120" w:line="240" w:lineRule="auto"/>
      <w:jc w:val="both"/>
    </w:pPr>
    <w:rPr>
      <w:rFonts w:ascii="Times New Roman" w:hAnsi="Times New Roman" w:cs="Times New Roman"/>
      <w:sz w:val="24"/>
    </w:rPr>
  </w:style>
  <w:style w:type="paragraph" w:customStyle="1" w:styleId="Point1number">
    <w:name w:val="Point 1 (number)"/>
    <w:basedOn w:val="Normal"/>
    <w:pPr>
      <w:numPr>
        <w:ilvl w:val="2"/>
        <w:numId w:val="8"/>
      </w:numPr>
      <w:spacing w:before="120" w:after="120" w:line="240" w:lineRule="auto"/>
      <w:jc w:val="both"/>
    </w:pPr>
    <w:rPr>
      <w:rFonts w:ascii="Times New Roman" w:hAnsi="Times New Roman" w:cs="Times New Roman"/>
      <w:sz w:val="24"/>
    </w:rPr>
  </w:style>
  <w:style w:type="paragraph" w:customStyle="1" w:styleId="Point2number">
    <w:name w:val="Point 2 (number)"/>
    <w:basedOn w:val="Normal"/>
    <w:pPr>
      <w:numPr>
        <w:ilvl w:val="4"/>
        <w:numId w:val="8"/>
      </w:numPr>
      <w:spacing w:before="120" w:after="120" w:line="240" w:lineRule="auto"/>
      <w:jc w:val="both"/>
    </w:pPr>
    <w:rPr>
      <w:rFonts w:ascii="Times New Roman" w:hAnsi="Times New Roman" w:cs="Times New Roman"/>
      <w:sz w:val="24"/>
    </w:rPr>
  </w:style>
  <w:style w:type="paragraph" w:customStyle="1" w:styleId="Point3number">
    <w:name w:val="Point 3 (number)"/>
    <w:basedOn w:val="Normal"/>
    <w:pPr>
      <w:numPr>
        <w:ilvl w:val="6"/>
        <w:numId w:val="8"/>
      </w:numPr>
      <w:spacing w:before="120" w:after="120" w:line="240" w:lineRule="auto"/>
      <w:jc w:val="both"/>
    </w:pPr>
    <w:rPr>
      <w:rFonts w:ascii="Times New Roman" w:hAnsi="Times New Roman" w:cs="Times New Roman"/>
      <w:sz w:val="24"/>
    </w:rPr>
  </w:style>
  <w:style w:type="paragraph" w:customStyle="1" w:styleId="Point0letter">
    <w:name w:val="Point 0 (letter)"/>
    <w:basedOn w:val="Normal"/>
    <w:pPr>
      <w:numPr>
        <w:ilvl w:val="1"/>
        <w:numId w:val="8"/>
      </w:numPr>
      <w:spacing w:before="120" w:after="120" w:line="240" w:lineRule="auto"/>
      <w:jc w:val="both"/>
    </w:pPr>
    <w:rPr>
      <w:rFonts w:ascii="Times New Roman" w:hAnsi="Times New Roman" w:cs="Times New Roman"/>
      <w:sz w:val="24"/>
    </w:rPr>
  </w:style>
  <w:style w:type="paragraph" w:customStyle="1" w:styleId="Point1letter">
    <w:name w:val="Point 1 (letter)"/>
    <w:basedOn w:val="Normal"/>
    <w:pPr>
      <w:numPr>
        <w:ilvl w:val="3"/>
        <w:numId w:val="8"/>
      </w:numPr>
      <w:spacing w:before="120" w:after="120" w:line="240" w:lineRule="auto"/>
      <w:jc w:val="both"/>
    </w:pPr>
    <w:rPr>
      <w:rFonts w:ascii="Times New Roman" w:hAnsi="Times New Roman" w:cs="Times New Roman"/>
      <w:sz w:val="24"/>
    </w:rPr>
  </w:style>
  <w:style w:type="paragraph" w:customStyle="1" w:styleId="Point2letter">
    <w:name w:val="Point 2 (letter)"/>
    <w:basedOn w:val="Normal"/>
    <w:pPr>
      <w:numPr>
        <w:ilvl w:val="5"/>
        <w:numId w:val="8"/>
      </w:numPr>
      <w:spacing w:before="120" w:after="120" w:line="240" w:lineRule="auto"/>
      <w:jc w:val="both"/>
    </w:pPr>
    <w:rPr>
      <w:rFonts w:ascii="Times New Roman" w:hAnsi="Times New Roman" w:cs="Times New Roman"/>
      <w:sz w:val="24"/>
    </w:rPr>
  </w:style>
  <w:style w:type="paragraph" w:customStyle="1" w:styleId="Point3letter">
    <w:name w:val="Point 3 (letter)"/>
    <w:basedOn w:val="Normal"/>
    <w:pPr>
      <w:numPr>
        <w:ilvl w:val="7"/>
        <w:numId w:val="8"/>
      </w:numPr>
      <w:spacing w:before="120" w:after="120" w:line="240" w:lineRule="auto"/>
      <w:jc w:val="both"/>
    </w:pPr>
    <w:rPr>
      <w:rFonts w:ascii="Times New Roman" w:hAnsi="Times New Roman" w:cs="Times New Roman"/>
      <w:sz w:val="24"/>
    </w:rPr>
  </w:style>
  <w:style w:type="paragraph" w:customStyle="1" w:styleId="Point4letter">
    <w:name w:val="Point 4 (letter)"/>
    <w:basedOn w:val="Normal"/>
    <w:pPr>
      <w:numPr>
        <w:ilvl w:val="8"/>
        <w:numId w:val="8"/>
      </w:numPr>
      <w:spacing w:before="120" w:after="120" w:line="240" w:lineRule="auto"/>
      <w:jc w:val="both"/>
    </w:pPr>
    <w:rPr>
      <w:rFonts w:ascii="Times New Roman" w:hAnsi="Times New Roman" w:cs="Times New Roman"/>
      <w:sz w:val="24"/>
    </w:rPr>
  </w:style>
  <w:style w:type="paragraph" w:customStyle="1" w:styleId="Bullet0">
    <w:name w:val="Bullet 0"/>
    <w:basedOn w:val="Normal"/>
    <w:pPr>
      <w:numPr>
        <w:numId w:val="9"/>
      </w:numPr>
      <w:spacing w:before="120" w:after="120" w:line="240" w:lineRule="auto"/>
      <w:jc w:val="both"/>
    </w:pPr>
    <w:rPr>
      <w:rFonts w:ascii="Times New Roman" w:hAnsi="Times New Roman" w:cs="Times New Roman"/>
      <w:sz w:val="24"/>
    </w:rPr>
  </w:style>
  <w:style w:type="paragraph" w:customStyle="1" w:styleId="Bullet1">
    <w:name w:val="Bullet 1"/>
    <w:basedOn w:val="Normal"/>
    <w:link w:val="Bullet1Char"/>
    <w:qFormat/>
    <w:pPr>
      <w:numPr>
        <w:numId w:val="10"/>
      </w:numPr>
      <w:spacing w:before="120" w:after="120" w:line="240" w:lineRule="auto"/>
      <w:jc w:val="both"/>
    </w:pPr>
    <w:rPr>
      <w:rFonts w:ascii="Times New Roman" w:hAnsi="Times New Roman" w:cs="Times New Roman"/>
      <w:sz w:val="24"/>
    </w:rPr>
  </w:style>
  <w:style w:type="paragraph" w:customStyle="1" w:styleId="Bullet20">
    <w:name w:val="Bullet 2"/>
    <w:basedOn w:val="Normal"/>
    <w:pPr>
      <w:numPr>
        <w:numId w:val="11"/>
      </w:numPr>
      <w:spacing w:before="120" w:after="120" w:line="240" w:lineRule="auto"/>
      <w:jc w:val="both"/>
    </w:pPr>
    <w:rPr>
      <w:rFonts w:ascii="Times New Roman" w:hAnsi="Times New Roman" w:cs="Times New Roman"/>
      <w:sz w:val="24"/>
    </w:rPr>
  </w:style>
  <w:style w:type="paragraph" w:customStyle="1" w:styleId="Bullet3">
    <w:name w:val="Bullet 3"/>
    <w:basedOn w:val="Normal"/>
    <w:pPr>
      <w:numPr>
        <w:numId w:val="12"/>
      </w:numPr>
      <w:spacing w:before="120" w:after="120" w:line="240" w:lineRule="auto"/>
      <w:jc w:val="both"/>
    </w:pPr>
    <w:rPr>
      <w:rFonts w:ascii="Times New Roman" w:hAnsi="Times New Roman" w:cs="Times New Roman"/>
      <w:sz w:val="24"/>
    </w:rPr>
  </w:style>
  <w:style w:type="paragraph" w:customStyle="1" w:styleId="Bullet4">
    <w:name w:val="Bullet 4"/>
    <w:basedOn w:val="Normal"/>
    <w:pPr>
      <w:numPr>
        <w:numId w:val="13"/>
      </w:numPr>
      <w:spacing w:before="120" w:after="120" w:line="240" w:lineRule="auto"/>
      <w:jc w:val="both"/>
    </w:pPr>
    <w:rPr>
      <w:rFonts w:ascii="Times New Roman" w:hAnsi="Times New Roman" w:cs="Times New Roman"/>
      <w:sz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hAnsi="Times New Roman" w:cs="Times New Roman"/>
      <w:b/>
      <w:caps/>
      <w:sz w:val="24"/>
    </w:rPr>
  </w:style>
  <w:style w:type="paragraph" w:customStyle="1" w:styleId="Nomdelinstitution">
    <w:name w:val="Nom de l'institution"/>
    <w:basedOn w:val="Normal"/>
    <w:next w:val="Emission"/>
    <w:pPr>
      <w:spacing w:after="0" w:line="240" w:lineRule="auto"/>
    </w:pPr>
    <w:rPr>
      <w:rFonts w:ascii="Arial" w:hAnsi="Arial" w:cs="Arial"/>
      <w:sz w:val="24"/>
    </w:rPr>
  </w:style>
  <w:style w:type="paragraph" w:customStyle="1" w:styleId="Emission">
    <w:name w:val="Emission"/>
    <w:basedOn w:val="Normal"/>
    <w:next w:val="Rfrenceinstitutionnelle"/>
    <w:pPr>
      <w:spacing w:after="0" w:line="240" w:lineRule="auto"/>
      <w:ind w:left="5103"/>
    </w:pPr>
    <w:rPr>
      <w:rFonts w:ascii="Times New Roman" w:hAnsi="Times New Roman" w:cs="Times New Roman"/>
      <w:sz w:val="24"/>
    </w:rPr>
  </w:style>
  <w:style w:type="paragraph" w:customStyle="1" w:styleId="Rfrenceinstitutionnelle">
    <w:name w:val="Référence institutionnelle"/>
    <w:basedOn w:val="Normal"/>
    <w:next w:val="Confidentialit"/>
    <w:pPr>
      <w:spacing w:after="240" w:line="240" w:lineRule="auto"/>
      <w:ind w:left="5103"/>
    </w:pPr>
    <w:rPr>
      <w:rFonts w:ascii="Times New Roman" w:hAnsi="Times New Roman" w:cs="Times New Roman"/>
      <w:sz w:val="24"/>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Annexetitreexpos">
    <w:name w:val="Annexe titre (exposé)"/>
    <w:basedOn w:val="Normal"/>
    <w:next w:val="Normal"/>
    <w:pPr>
      <w:spacing w:before="120" w:after="120" w:line="240" w:lineRule="auto"/>
      <w:jc w:val="center"/>
    </w:pPr>
    <w:rPr>
      <w:rFonts w:ascii="Times New Roman" w:hAnsi="Times New Roman" w:cs="Times New Roman"/>
      <w:b/>
      <w:sz w:val="24"/>
      <w:u w:val="single"/>
    </w:rPr>
  </w:style>
  <w:style w:type="paragraph" w:customStyle="1" w:styleId="Annexetitre">
    <w:name w:val="Annexe titre"/>
    <w:basedOn w:val="Normal"/>
    <w:next w:val="Normal"/>
    <w:pPr>
      <w:spacing w:before="120" w:after="120" w:line="240" w:lineRule="auto"/>
      <w:jc w:val="center"/>
    </w:pPr>
    <w:rPr>
      <w:rFonts w:ascii="Times New Roman" w:hAnsi="Times New Roman" w:cs="Times New Roman"/>
      <w:b/>
      <w:sz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hAnsi="Times New Roman" w:cs="Times New Roman"/>
      <w:b/>
      <w:sz w:val="24"/>
      <w:u w:val="single"/>
    </w:rPr>
  </w:style>
  <w:style w:type="paragraph" w:customStyle="1" w:styleId="Applicationdirecte">
    <w:name w:val="Application directe"/>
    <w:basedOn w:val="Normal"/>
    <w:next w:val="Fait"/>
    <w:pPr>
      <w:spacing w:before="480" w:after="120" w:line="240" w:lineRule="auto"/>
      <w:jc w:val="both"/>
    </w:pPr>
    <w:rPr>
      <w:rFonts w:ascii="Times New Roman" w:hAnsi="Times New Roman" w:cs="Times New Roman"/>
      <w:sz w:val="24"/>
    </w:rPr>
  </w:style>
  <w:style w:type="paragraph" w:customStyle="1" w:styleId="Avertissementtitre">
    <w:name w:val="Avertissement titre"/>
    <w:basedOn w:val="Normal"/>
    <w:next w:val="Normal"/>
    <w:pPr>
      <w:keepNext/>
      <w:spacing w:before="480" w:after="120" w:line="240" w:lineRule="auto"/>
      <w:jc w:val="both"/>
    </w:pPr>
    <w:rPr>
      <w:rFonts w:ascii="Times New Roman" w:hAnsi="Times New Roman" w:cs="Times New Roman"/>
      <w:sz w:val="24"/>
      <w:u w:val="single"/>
    </w:rPr>
  </w:style>
  <w:style w:type="paragraph" w:customStyle="1" w:styleId="Confidence">
    <w:name w:val="Confidence"/>
    <w:basedOn w:val="Normal"/>
    <w:next w:val="Normal"/>
    <w:pPr>
      <w:spacing w:before="360" w:after="120" w:line="240" w:lineRule="auto"/>
      <w:jc w:val="center"/>
    </w:pPr>
    <w:rPr>
      <w:rFonts w:ascii="Times New Roman" w:hAnsi="Times New Roman" w:cs="Times New Roman"/>
      <w:sz w:val="24"/>
    </w:rPr>
  </w:style>
  <w:style w:type="paragraph" w:customStyle="1" w:styleId="Confidentialit">
    <w:name w:val="Confidentialité"/>
    <w:basedOn w:val="Normal"/>
    <w:next w:val="TypedudocumentPagedecouverture"/>
    <w:pPr>
      <w:spacing w:before="240" w:after="240" w:line="240" w:lineRule="auto"/>
      <w:ind w:left="5103"/>
    </w:pPr>
    <w:rPr>
      <w:rFonts w:ascii="Times New Roman" w:hAnsi="Times New Roman" w:cs="Times New Roman"/>
      <w:i/>
      <w:sz w:val="32"/>
    </w:rPr>
  </w:style>
  <w:style w:type="paragraph" w:customStyle="1" w:styleId="Considrant">
    <w:name w:val="Considérant"/>
    <w:basedOn w:val="Normal"/>
    <w:pPr>
      <w:numPr>
        <w:numId w:val="14"/>
      </w:numPr>
      <w:spacing w:before="120" w:after="120" w:line="240" w:lineRule="auto"/>
      <w:jc w:val="both"/>
    </w:pPr>
    <w:rPr>
      <w:rFonts w:ascii="Times New Roman" w:hAnsi="Times New Roman" w:cs="Times New Roman"/>
      <w:sz w:val="24"/>
    </w:rPr>
  </w:style>
  <w:style w:type="paragraph" w:customStyle="1" w:styleId="Corrigendum">
    <w:name w:val="Corrigendum"/>
    <w:basedOn w:val="Normal"/>
    <w:next w:val="Normal"/>
    <w:pPr>
      <w:spacing w:after="240" w:line="240" w:lineRule="auto"/>
    </w:pPr>
    <w:rPr>
      <w:rFonts w:ascii="Times New Roman" w:hAnsi="Times New Roman" w:cs="Times New Roman"/>
      <w:sz w:val="24"/>
    </w:rPr>
  </w:style>
  <w:style w:type="paragraph" w:customStyle="1" w:styleId="Datedadoption">
    <w:name w:val="Date d'adoption"/>
    <w:basedOn w:val="Normal"/>
    <w:next w:val="IntrtEEE"/>
    <w:pPr>
      <w:spacing w:before="360" w:after="0" w:line="240" w:lineRule="auto"/>
      <w:jc w:val="center"/>
    </w:pPr>
    <w:rPr>
      <w:rFonts w:ascii="Times New Roman" w:hAnsi="Times New Roman" w:cs="Times New Roman"/>
      <w:b/>
      <w:sz w:val="24"/>
    </w:rPr>
  </w:style>
  <w:style w:type="paragraph" w:customStyle="1" w:styleId="Exposdesmotifstitre">
    <w:name w:val="Exposé des motifs titre"/>
    <w:basedOn w:val="Normal"/>
    <w:next w:val="Normal"/>
    <w:pPr>
      <w:spacing w:before="120" w:after="120" w:line="240" w:lineRule="auto"/>
      <w:jc w:val="center"/>
    </w:pPr>
    <w:rPr>
      <w:rFonts w:ascii="Times New Roman" w:hAnsi="Times New Roman" w:cs="Times New Roman"/>
      <w:b/>
      <w:sz w:val="24"/>
      <w:u w:val="single"/>
    </w:rPr>
  </w:style>
  <w:style w:type="paragraph" w:customStyle="1" w:styleId="Fait">
    <w:name w:val="Fait à"/>
    <w:basedOn w:val="Normal"/>
    <w:next w:val="Institutionquisigne"/>
    <w:pPr>
      <w:keepNext/>
      <w:spacing w:before="120" w:after="0" w:line="240" w:lineRule="auto"/>
      <w:jc w:val="both"/>
    </w:pPr>
    <w:rPr>
      <w:rFonts w:ascii="Times New Roman" w:hAnsi="Times New Roman" w:cs="Times New Roman"/>
      <w:sz w:val="24"/>
    </w:rPr>
  </w:style>
  <w:style w:type="paragraph" w:customStyle="1" w:styleId="Formuledadoption">
    <w:name w:val="Formule d'adoption"/>
    <w:basedOn w:val="Normal"/>
    <w:next w:val="Titrearticle"/>
    <w:pPr>
      <w:keepNext/>
      <w:spacing w:before="120" w:after="120" w:line="240" w:lineRule="auto"/>
      <w:jc w:val="both"/>
    </w:pPr>
    <w:rPr>
      <w:rFonts w:ascii="Times New Roman" w:hAnsi="Times New Roman" w:cs="Times New Roman"/>
      <w:sz w:val="24"/>
    </w:rPr>
  </w:style>
  <w:style w:type="paragraph" w:customStyle="1" w:styleId="Institutionquiagit">
    <w:name w:val="Institution qui agit"/>
    <w:basedOn w:val="Normal"/>
    <w:next w:val="Normal"/>
    <w:pPr>
      <w:keepNext/>
      <w:spacing w:before="600" w:after="120" w:line="240" w:lineRule="auto"/>
      <w:jc w:val="both"/>
    </w:pPr>
    <w:rPr>
      <w:rFonts w:ascii="Times New Roman" w:hAnsi="Times New Roman" w:cs="Times New Roman"/>
      <w:sz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hAnsi="Times New Roman" w:cs="Times New Roman"/>
      <w:i/>
      <w:sz w:val="24"/>
    </w:rPr>
  </w:style>
  <w:style w:type="paragraph" w:customStyle="1" w:styleId="ManualConsidrant">
    <w:name w:val="Manual Considérant"/>
    <w:basedOn w:val="Normal"/>
    <w:pPr>
      <w:spacing w:before="120" w:after="120" w:line="240" w:lineRule="auto"/>
      <w:ind w:left="709" w:hanging="709"/>
      <w:jc w:val="both"/>
    </w:pPr>
    <w:rPr>
      <w:rFonts w:ascii="Times New Roman" w:hAnsi="Times New Roman" w:cs="Times New Roman"/>
      <w:sz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hAnsi="Times New Roman" w:cs="Times New Roman"/>
      <w:i/>
      <w:sz w:val="24"/>
    </w:rPr>
  </w:style>
  <w:style w:type="paragraph" w:customStyle="1" w:styleId="Rfrenceinterinstitutionnelle">
    <w:name w:val="Référence interinstitutionnelle"/>
    <w:basedOn w:val="Normal"/>
    <w:next w:val="Statut"/>
    <w:pPr>
      <w:spacing w:after="0" w:line="240" w:lineRule="auto"/>
      <w:ind w:left="5103"/>
    </w:pPr>
    <w:rPr>
      <w:rFonts w:ascii="Times New Roman" w:hAnsi="Times New Roman" w:cs="Times New Roman"/>
      <w:sz w:val="24"/>
    </w:rPr>
  </w:style>
  <w:style w:type="paragraph" w:customStyle="1" w:styleId="Rfrenceinterne">
    <w:name w:val="Référence interne"/>
    <w:basedOn w:val="Normal"/>
    <w:next w:val="Rfrenceinterinstitutionnelle"/>
    <w:pPr>
      <w:spacing w:after="0" w:line="240" w:lineRule="auto"/>
      <w:ind w:left="5103"/>
    </w:pPr>
    <w:rPr>
      <w:rFonts w:ascii="Times New Roman" w:hAnsi="Times New Roman" w:cs="Times New Roman"/>
      <w:sz w:val="24"/>
    </w:rPr>
  </w:style>
  <w:style w:type="paragraph" w:customStyle="1" w:styleId="Statut">
    <w:name w:val="Statut"/>
    <w:basedOn w:val="Normal"/>
    <w:next w:val="Typedudocument"/>
    <w:pPr>
      <w:spacing w:after="240" w:line="240" w:lineRule="auto"/>
      <w:jc w:val="center"/>
    </w:pPr>
    <w:rPr>
      <w:rFonts w:ascii="Times New Roman" w:hAnsi="Times New Roman" w:cs="Times New Roman"/>
      <w:sz w:val="24"/>
    </w:rPr>
  </w:style>
  <w:style w:type="paragraph" w:customStyle="1" w:styleId="Titrearticle">
    <w:name w:val="Titre article"/>
    <w:basedOn w:val="Normal"/>
    <w:next w:val="Normal"/>
    <w:pPr>
      <w:keepNext/>
      <w:spacing w:before="360" w:after="120" w:line="240" w:lineRule="auto"/>
      <w:jc w:val="center"/>
    </w:pPr>
    <w:rPr>
      <w:rFonts w:ascii="Times New Roman" w:hAnsi="Times New Roman" w:cs="Times New Roman"/>
      <w:i/>
      <w:sz w:val="24"/>
    </w:rPr>
  </w:style>
  <w:style w:type="paragraph" w:customStyle="1" w:styleId="Typedudocument">
    <w:name w:val="Type du document"/>
    <w:basedOn w:val="Normal"/>
    <w:next w:val="Accompagnant"/>
    <w:pPr>
      <w:spacing w:before="360" w:after="180" w:line="240" w:lineRule="auto"/>
      <w:jc w:val="center"/>
    </w:pPr>
    <w:rPr>
      <w:rFonts w:ascii="Times New Roman" w:hAnsi="Times New Roman" w:cs="Times New Roman"/>
      <w:b/>
      <w:sz w:val="24"/>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hAnsi="Times New Roman" w:cs="Times New Roman"/>
      <w:sz w:val="24"/>
    </w:rPr>
  </w:style>
  <w:style w:type="paragraph" w:customStyle="1" w:styleId="Objetexterne">
    <w:name w:val="Objet externe"/>
    <w:basedOn w:val="Normal"/>
    <w:next w:val="Normal"/>
    <w:pPr>
      <w:spacing w:before="120" w:after="120" w:line="240" w:lineRule="auto"/>
      <w:jc w:val="both"/>
    </w:pPr>
    <w:rPr>
      <w:rFonts w:ascii="Times New Roman" w:hAnsi="Times New Roman" w:cs="Times New Roman"/>
      <w:i/>
      <w:caps/>
      <w:sz w:val="24"/>
    </w:rPr>
  </w:style>
  <w:style w:type="paragraph" w:customStyle="1" w:styleId="Supertitre">
    <w:name w:val="Supertitre"/>
    <w:basedOn w:val="Normal"/>
    <w:next w:val="Normal"/>
    <w:pPr>
      <w:spacing w:after="600" w:line="240" w:lineRule="auto"/>
      <w:jc w:val="center"/>
    </w:pPr>
    <w:rPr>
      <w:rFonts w:ascii="Times New Roman" w:hAnsi="Times New Roman" w:cs="Times New Roman"/>
      <w:b/>
      <w:sz w:val="24"/>
    </w:rPr>
  </w:style>
  <w:style w:type="paragraph" w:customStyle="1" w:styleId="Languesfaisantfoi">
    <w:name w:val="Langues faisant foi"/>
    <w:basedOn w:val="Normal"/>
    <w:next w:val="Normal"/>
    <w:pPr>
      <w:spacing w:before="360" w:after="0" w:line="240" w:lineRule="auto"/>
      <w:jc w:val="center"/>
    </w:pPr>
    <w:rPr>
      <w:rFonts w:ascii="Times New Roman" w:hAnsi="Times New Roman" w:cs="Times New Roman"/>
      <w:sz w:val="24"/>
    </w:rPr>
  </w:style>
  <w:style w:type="paragraph" w:customStyle="1" w:styleId="Rfrencecroise">
    <w:name w:val="Référence croisée"/>
    <w:basedOn w:val="Normal"/>
    <w:pPr>
      <w:spacing w:after="0" w:line="240" w:lineRule="auto"/>
      <w:jc w:val="center"/>
    </w:pPr>
    <w:rPr>
      <w:rFonts w:ascii="Times New Roman" w:hAnsi="Times New Roman" w:cs="Times New Roman"/>
      <w:sz w:val="24"/>
    </w:rPr>
  </w:style>
  <w:style w:type="paragraph" w:customStyle="1" w:styleId="Fichefinanciretitre">
    <w:name w:val="Fiche financière titre"/>
    <w:basedOn w:val="Normal"/>
    <w:next w:val="Normal"/>
    <w:pPr>
      <w:spacing w:before="120" w:after="120" w:line="240" w:lineRule="auto"/>
      <w:jc w:val="center"/>
    </w:pPr>
    <w:rPr>
      <w:rFonts w:ascii="Times New Roman" w:hAnsi="Times New Roman" w:cs="Times New Roman"/>
      <w:b/>
      <w:sz w:val="24"/>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after="240" w:line="240" w:lineRule="auto"/>
      <w:ind w:left="5103"/>
    </w:pPr>
    <w:rPr>
      <w:rFonts w:ascii="Times New Roman" w:hAnsi="Times New Roman" w:cs="Times New Roman"/>
      <w:sz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line="240" w:lineRule="auto"/>
      <w:jc w:val="center"/>
    </w:pPr>
    <w:rPr>
      <w:rFonts w:ascii="Times New Roman" w:hAnsi="Times New Roman" w:cs="Times New Roman"/>
      <w:b/>
      <w:sz w:val="24"/>
    </w:rPr>
  </w:style>
  <w:style w:type="paragraph" w:customStyle="1" w:styleId="Typeacteprincipal">
    <w:name w:val="Type acte principal"/>
    <w:basedOn w:val="Normal"/>
    <w:next w:val="Objetacteprincipal"/>
    <w:pPr>
      <w:spacing w:after="240" w:line="240" w:lineRule="auto"/>
      <w:jc w:val="center"/>
    </w:pPr>
    <w:rPr>
      <w:rFonts w:ascii="Times New Roman" w:hAnsi="Times New Roman" w:cs="Times New Roman"/>
      <w:b/>
      <w:sz w:val="24"/>
    </w:rPr>
  </w:style>
  <w:style w:type="paragraph" w:customStyle="1" w:styleId="Objetacteprincipal">
    <w:name w:val="Objet acte principal"/>
    <w:basedOn w:val="Normal"/>
    <w:next w:val="Titrearticle"/>
    <w:pPr>
      <w:spacing w:after="360" w:line="240" w:lineRule="auto"/>
      <w:jc w:val="center"/>
    </w:pPr>
    <w:rPr>
      <w:rFonts w:ascii="Times New Roman" w:hAnsi="Times New Roman" w:cs="Times New Roman"/>
      <w:b/>
      <w:sz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hAnsi="Times New Roman" w:cs="Times New Roman"/>
      <w:sz w:val="24"/>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before="120" w:after="120" w:line="240" w:lineRule="auto"/>
      <w:jc w:val="both"/>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rPr>
  </w:style>
  <w:style w:type="paragraph" w:styleId="ListParagraph">
    <w:name w:val="List Paragraph"/>
    <w:aliases w:val="numbered list,2,OBC Bullet,Normal 1,Task Body,Viñetas (Inicio Parrafo),Paragrafo elenco,3 Txt tabla,Zerrenda-paragrafoa,Fiche List Paragraph,Dot pt,F5 List Paragraph,List Paragraph1,No Spacing1,List Paragraph Char Char Char,Indicator Text"/>
    <w:basedOn w:val="Normal"/>
    <w:link w:val="ListParagraphChar"/>
    <w:uiPriority w:val="34"/>
    <w:qFormat/>
    <w:pPr>
      <w:spacing w:after="160" w:line="259" w:lineRule="auto"/>
      <w:ind w:left="720"/>
      <w:contextualSpacing/>
    </w:pPr>
  </w:style>
  <w:style w:type="character" w:customStyle="1" w:styleId="ListParagraphChar">
    <w:name w:val="List Paragraph Char"/>
    <w:aliases w:val="numbered list Char,2 Char,OBC Bullet Char,Normal 1 Char,Task Body Char,Viñetas (Inicio Parrafo) Char,Paragrafo elenco Char,3 Txt tabla Char,Zerrenda-paragrafoa Char,Fiche List Paragraph Char,Dot pt Char,F5 List Paragraph Char"/>
    <w:basedOn w:val="DefaultParagraphFont"/>
    <w:link w:val="ListParagraph"/>
    <w:uiPriority w:val="34"/>
    <w:qFormat/>
    <w:locked/>
    <w:rPr>
      <w:lang w:val="bg-BG"/>
    </w:rPr>
  </w:style>
  <w:style w:type="character" w:styleId="IntenseEmphasis">
    <w:name w:val="Intense Emphasis"/>
    <w:basedOn w:val="DefaultParagraphFont"/>
    <w:uiPriority w:val="21"/>
    <w:qFormat/>
    <w:rPr>
      <w:i/>
      <w:iCs/>
      <w:color w:val="4F81BD" w:themeColor="accent1"/>
    </w:rPr>
  </w:style>
  <w:style w:type="paragraph" w:styleId="BalloonText">
    <w:name w:val="Balloon Text"/>
    <w:basedOn w:val="Normal"/>
    <w:link w:val="BalloonTextChar"/>
    <w:uiPriority w:val="99"/>
    <w:semiHidden/>
    <w:unhideWhenUsed/>
    <w:pPr>
      <w:spacing w:after="0" w:line="240" w:lineRule="auto"/>
      <w:jc w:val="both"/>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Bullet">
    <w:name w:val="List Bullet"/>
    <w:basedOn w:val="Normal"/>
    <w:uiPriority w:val="99"/>
    <w:semiHidden/>
    <w:unhideWhenUsed/>
    <w:pPr>
      <w:numPr>
        <w:numId w:val="15"/>
      </w:numPr>
      <w:spacing w:before="120" w:after="120" w:line="240" w:lineRule="auto"/>
      <w:contextualSpacing/>
      <w:jc w:val="both"/>
    </w:pPr>
    <w:rPr>
      <w:rFonts w:ascii="Times New Roman" w:hAnsi="Times New Roman" w:cs="Times New Roman"/>
      <w:sz w:val="24"/>
    </w:rPr>
  </w:style>
  <w:style w:type="paragraph" w:styleId="ListBullet2">
    <w:name w:val="List Bullet 2"/>
    <w:basedOn w:val="Normal"/>
    <w:uiPriority w:val="99"/>
    <w:semiHidden/>
    <w:unhideWhenUsed/>
    <w:pPr>
      <w:numPr>
        <w:numId w:val="16"/>
      </w:numPr>
      <w:spacing w:before="120" w:after="120" w:line="240" w:lineRule="auto"/>
      <w:contextualSpacing/>
      <w:jc w:val="both"/>
    </w:pPr>
    <w:rPr>
      <w:rFonts w:ascii="Times New Roman" w:hAnsi="Times New Roman" w:cs="Times New Roman"/>
      <w:sz w:val="24"/>
    </w:rPr>
  </w:style>
  <w:style w:type="paragraph" w:styleId="ListBullet3">
    <w:name w:val="List Bullet 3"/>
    <w:basedOn w:val="Normal"/>
    <w:uiPriority w:val="99"/>
    <w:semiHidden/>
    <w:unhideWhenUsed/>
    <w:pPr>
      <w:numPr>
        <w:numId w:val="17"/>
      </w:numPr>
      <w:spacing w:before="120" w:after="120" w:line="240" w:lineRule="auto"/>
      <w:contextualSpacing/>
      <w:jc w:val="both"/>
    </w:pPr>
    <w:rPr>
      <w:rFonts w:ascii="Times New Roman" w:hAnsi="Times New Roman" w:cs="Times New Roman"/>
      <w:sz w:val="24"/>
    </w:rPr>
  </w:style>
  <w:style w:type="paragraph" w:styleId="ListBullet4">
    <w:name w:val="List Bullet 4"/>
    <w:basedOn w:val="Normal"/>
    <w:uiPriority w:val="99"/>
    <w:semiHidden/>
    <w:unhideWhenUsed/>
    <w:pPr>
      <w:numPr>
        <w:numId w:val="18"/>
      </w:numPr>
      <w:spacing w:before="120" w:after="120" w:line="240" w:lineRule="auto"/>
      <w:contextualSpacing/>
      <w:jc w:val="both"/>
    </w:pPr>
    <w:rPr>
      <w:rFonts w:ascii="Times New Roman" w:hAnsi="Times New Roman" w:cs="Times New Roman"/>
      <w:sz w:val="24"/>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Bullet1Char">
    <w:name w:val="Bullet 1 Char"/>
    <w:basedOn w:val="DefaultParagraphFont"/>
    <w:link w:val="Bullet1"/>
    <w:rPr>
      <w:rFonts w:ascii="Times New Roman" w:hAnsi="Times New Roman" w:cs="Times New Roman"/>
      <w:sz w:val="24"/>
    </w:rPr>
  </w:style>
  <w:style w:type="paragraph" w:customStyle="1" w:styleId="bullet2">
    <w:name w:val="bullet 2"/>
    <w:basedOn w:val="Normal"/>
    <w:link w:val="bullet2Char"/>
    <w:qFormat/>
    <w:pPr>
      <w:numPr>
        <w:ilvl w:val="1"/>
        <w:numId w:val="22"/>
      </w:numPr>
      <w:spacing w:before="120" w:after="120" w:line="240" w:lineRule="auto"/>
    </w:pPr>
    <w:rPr>
      <w:rFonts w:eastAsia="Arial" w:cstheme="minorHAnsi"/>
      <w:color w:val="000000" w:themeColor="text1"/>
      <w:sz w:val="24"/>
      <w:szCs w:val="24"/>
    </w:rPr>
  </w:style>
  <w:style w:type="character" w:customStyle="1" w:styleId="bullet2Char">
    <w:name w:val="bullet 2 Char"/>
    <w:basedOn w:val="DefaultParagraphFont"/>
    <w:link w:val="bullet2"/>
    <w:rPr>
      <w:rFonts w:eastAsia="Arial" w:cstheme="minorHAnsi"/>
      <w:color w:val="000000" w:themeColor="text1"/>
      <w:sz w:val="24"/>
      <w:szCs w:val="24"/>
      <w:lang w:val="bg-BG"/>
    </w:rPr>
  </w:style>
  <w:style w:type="character" w:styleId="Hyperlink">
    <w:name w:val="Hyperlink"/>
    <w:basedOn w:val="DefaultParagraphFont"/>
    <w:uiPriority w:val="99"/>
    <w:unhideWhenUsed/>
    <w:rPr>
      <w:color w:val="0563C1"/>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eop">
    <w:name w:val="eop"/>
    <w:basedOn w:val="DefaultParagraphFont"/>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Titreobjet">
    <w:name w:val="Titre objet"/>
    <w:basedOn w:val="Normal"/>
    <w:next w:val="IntrtEEE"/>
    <w:pPr>
      <w:spacing w:before="360" w:after="360" w:line="240" w:lineRule="auto"/>
      <w:jc w:val="center"/>
    </w:pPr>
    <w:rPr>
      <w:rFonts w:ascii="Times New Roman" w:hAnsi="Times New Roman" w:cs="Times New Roman"/>
      <w:b/>
      <w:sz w:val="24"/>
    </w:rPr>
  </w:style>
  <w:style w:type="paragraph" w:customStyle="1" w:styleId="TitreobjetPagedecouverture">
    <w:name w:val="Titre objet (Page de couverture)"/>
    <w:basedOn w:val="Titreobjet"/>
    <w:next w:val="IntrtEEEPagedecouverture"/>
  </w:style>
  <w:style w:type="paragraph" w:customStyle="1" w:styleId="FooterCoverPage">
    <w:name w:val="Footer Cover Page"/>
    <w:basedOn w:val="Normal"/>
    <w:link w:val="FooterCoverPageChar"/>
    <w:pPr>
      <w:keepNext/>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keepNext/>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urier New" w:eastAsia="Times New Roman" w:hAnsi="Courier New" w:cs="Courier New"/>
      <w:sz w:val="20"/>
      <w:szCs w:val="20"/>
      <w:lang w:val="bg-BG"/>
    </w:rPr>
  </w:style>
  <w:style w:type="character" w:customStyle="1" w:styleId="y2iqfc">
    <w:name w:val="y2iqfc"/>
    <w:basedOn w:val="DefaultParagraphFont"/>
  </w:style>
  <w:style w:type="paragraph" w:styleId="ListNumber">
    <w:name w:val="List Number"/>
    <w:basedOn w:val="Normal"/>
    <w:uiPriority w:val="99"/>
    <w:semiHidden/>
    <w:unhideWhenUsed/>
    <w:pPr>
      <w:numPr>
        <w:numId w:val="148"/>
      </w:numPr>
      <w:spacing w:before="120" w:after="120" w:line="240" w:lineRule="auto"/>
      <w:contextualSpacing/>
      <w:jc w:val="both"/>
    </w:pPr>
    <w:rPr>
      <w:rFonts w:ascii="Times New Roman" w:hAnsi="Times New Roman" w:cs="Times New Roman"/>
      <w:sz w:val="24"/>
    </w:rPr>
  </w:style>
  <w:style w:type="character" w:customStyle="1" w:styleId="oj-super">
    <w:name w:val="oj-super"/>
    <w:basedOn w:val="DefaultParagraphFont"/>
  </w:style>
  <w:style w:type="paragraph" w:customStyle="1" w:styleId="xmsonormal">
    <w:name w:val="x_msonormal"/>
    <w:basedOn w:val="Normal"/>
    <w:pPr>
      <w:spacing w:after="0" w:line="240" w:lineRule="auto"/>
    </w:pPr>
    <w:rPr>
      <w:rFonts w:ascii="Calibri" w:hAnsi="Calibri" w:cs="Calibri"/>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spacing w:before="360" w:after="360" w:line="240" w:lineRule="auto"/>
      <w:jc w:val="center"/>
      <w:outlineLvl w:val="0"/>
    </w:pPr>
    <w:rPr>
      <w:rFonts w:ascii="Times New Roman" w:hAnsi="Times New Roman" w:cs="Times New Roman"/>
      <w:b/>
      <w:smallCaps/>
      <w:sz w:val="28"/>
    </w:rPr>
  </w:style>
  <w:style w:type="paragraph" w:styleId="Heading2">
    <w:name w:val="heading 2"/>
    <w:basedOn w:val="Normal"/>
    <w:next w:val="Text1"/>
    <w:link w:val="Heading2Char"/>
    <w:uiPriority w:val="9"/>
    <w:unhideWhenUsed/>
    <w:qFormat/>
    <w:pPr>
      <w:keepNext/>
      <w:numPr>
        <w:ilvl w:val="1"/>
        <w:numId w:val="7"/>
      </w:numPr>
      <w:spacing w:before="120" w:after="120" w:line="240" w:lineRule="auto"/>
      <w:jc w:val="both"/>
      <w:outlineLvl w:val="1"/>
    </w:pPr>
    <w:rPr>
      <w:rFonts w:ascii="Times New Roman" w:eastAsiaTheme="majorEastAsia" w:hAnsi="Times New Roman" w:cs="Times New Roman"/>
      <w:b/>
      <w:bCs/>
      <w:sz w:val="24"/>
      <w:szCs w:val="26"/>
    </w:rPr>
  </w:style>
  <w:style w:type="paragraph" w:styleId="Heading3">
    <w:name w:val="heading 3"/>
    <w:basedOn w:val="Normal"/>
    <w:next w:val="Text1"/>
    <w:link w:val="Heading3Char"/>
    <w:uiPriority w:val="9"/>
    <w:unhideWhenUsed/>
    <w:qFormat/>
    <w:pPr>
      <w:keepNext/>
      <w:numPr>
        <w:ilvl w:val="2"/>
        <w:numId w:val="7"/>
      </w:numPr>
      <w:spacing w:before="120" w:after="120" w:line="240" w:lineRule="auto"/>
      <w:jc w:val="both"/>
      <w:outlineLvl w:val="2"/>
    </w:pPr>
    <w:rPr>
      <w:rFonts w:ascii="Times New Roman" w:eastAsiaTheme="majorEastAsia" w:hAnsi="Times New Roman" w:cs="Times New Roman"/>
      <w:bCs/>
      <w:i/>
      <w:sz w:val="24"/>
    </w:rPr>
  </w:style>
  <w:style w:type="paragraph" w:styleId="Heading4">
    <w:name w:val="heading 4"/>
    <w:basedOn w:val="Normal"/>
    <w:next w:val="Text1"/>
    <w:link w:val="Heading4Char"/>
    <w:uiPriority w:val="9"/>
    <w:unhideWhenUsed/>
    <w:qFormat/>
    <w:pPr>
      <w:keepNext/>
      <w:numPr>
        <w:ilvl w:val="3"/>
        <w:numId w:val="7"/>
      </w:numPr>
      <w:spacing w:before="120" w:after="120" w:line="240" w:lineRule="auto"/>
      <w:jc w:val="both"/>
      <w:outlineLvl w:val="3"/>
    </w:pPr>
    <w:rPr>
      <w:rFonts w:ascii="Times New Roman" w:eastAsiaTheme="majorEastAsia" w:hAnsi="Times New Roman" w:cs="Times New Roman"/>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hAnsi="Times New Roman" w:cs="Times New Roman"/>
      <w:b/>
      <w:smallCaps/>
      <w:sz w:val="28"/>
      <w:lang w:val="bg-BG"/>
    </w:rPr>
  </w:style>
  <w:style w:type="character" w:customStyle="1" w:styleId="Heading2Char">
    <w:name w:val="Heading 2 Char"/>
    <w:basedOn w:val="DefaultParagraphFont"/>
    <w:link w:val="Heading2"/>
    <w:uiPriority w:val="9"/>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rPr>
      <w:rFonts w:ascii="Times New Roman" w:eastAsiaTheme="majorEastAsia" w:hAnsi="Times New Roman" w:cs="Times New Roman"/>
      <w:bCs/>
      <w:iCs/>
      <w:sz w:val="24"/>
    </w:rPr>
  </w:style>
  <w:style w:type="numbering" w:customStyle="1" w:styleId="NoList1">
    <w:name w:val="No List1"/>
    <w:next w:val="NoList"/>
    <w:uiPriority w:val="99"/>
    <w:semiHidden/>
    <w:unhideWhenUsed/>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basedOn w:val="Normal"/>
    <w:link w:val="FootnoteTextChar"/>
    <w:uiPriority w:val="99"/>
    <w:unhideWhenUsed/>
    <w:pPr>
      <w:spacing w:after="0" w:line="240" w:lineRule="auto"/>
      <w:ind w:left="720" w:hanging="720"/>
      <w:jc w:val="both"/>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rPr>
      <w:rFonts w:ascii="Times New Roman" w:hAnsi="Times New Roman" w:cs="Times New Roman"/>
      <w:sz w:val="20"/>
      <w:szCs w:val="20"/>
    </w:rPr>
  </w:style>
  <w:style w:type="paragraph" w:styleId="TOCHeading">
    <w:name w:val="TOC Heading"/>
    <w:basedOn w:val="Normal"/>
    <w:next w:val="Normal"/>
    <w:uiPriority w:val="39"/>
    <w:semiHidden/>
    <w:unhideWhenUsed/>
    <w:qFormat/>
    <w:pPr>
      <w:spacing w:before="120" w:after="240" w:line="240" w:lineRule="auto"/>
      <w:jc w:val="center"/>
    </w:pPr>
    <w:rPr>
      <w:rFonts w:ascii="Times New Roman" w:hAnsi="Times New Roman" w:cs="Times New Roman"/>
      <w:b/>
      <w:sz w:val="28"/>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hAnsi="Times New Roman" w:cs="Times New Roman"/>
      <w:sz w:val="24"/>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hAnsi="Times New Roman" w:cs="Times New Roman"/>
      <w:sz w:val="24"/>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hAnsi="Times New Roman" w:cs="Times New Roman"/>
      <w:sz w:val="24"/>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hAnsi="Times New Roman" w:cs="Times New Roman"/>
      <w:sz w:val="24"/>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hAnsi="Times New Roman" w:cs="Times New Roman"/>
      <w:sz w:val="24"/>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hAnsi="Times New Roman" w:cs="Times New Roman"/>
      <w:sz w:val="24"/>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hAnsi="Times New Roman" w:cs="Times New Roman"/>
      <w:sz w:val="24"/>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hAnsi="Times New Roman" w:cs="Times New Roman"/>
      <w:sz w:val="24"/>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Text1">
    <w:name w:val="Text 1"/>
    <w:basedOn w:val="Normal"/>
    <w:pPr>
      <w:spacing w:before="120" w:after="120" w:line="240" w:lineRule="auto"/>
      <w:ind w:left="850"/>
      <w:jc w:val="both"/>
    </w:pPr>
    <w:rPr>
      <w:rFonts w:ascii="Times New Roman" w:hAnsi="Times New Roman" w:cs="Times New Roman"/>
      <w:sz w:val="24"/>
    </w:rPr>
  </w:style>
  <w:style w:type="paragraph" w:customStyle="1" w:styleId="Text2">
    <w:name w:val="Text 2"/>
    <w:basedOn w:val="Normal"/>
    <w:pPr>
      <w:spacing w:before="120" w:after="120" w:line="240" w:lineRule="auto"/>
      <w:ind w:left="1417"/>
      <w:jc w:val="both"/>
    </w:pPr>
    <w:rPr>
      <w:rFonts w:ascii="Times New Roman" w:hAnsi="Times New Roman" w:cs="Times New Roman"/>
      <w:sz w:val="24"/>
    </w:rPr>
  </w:style>
  <w:style w:type="paragraph" w:customStyle="1" w:styleId="Text3">
    <w:name w:val="Text 3"/>
    <w:basedOn w:val="Normal"/>
    <w:pPr>
      <w:spacing w:before="120" w:after="120" w:line="240" w:lineRule="auto"/>
      <w:ind w:left="1984"/>
      <w:jc w:val="both"/>
    </w:pPr>
    <w:rPr>
      <w:rFonts w:ascii="Times New Roman" w:hAnsi="Times New Roman" w:cs="Times New Roman"/>
      <w:sz w:val="24"/>
    </w:rPr>
  </w:style>
  <w:style w:type="paragraph" w:customStyle="1" w:styleId="Text4">
    <w:name w:val="Text 4"/>
    <w:basedOn w:val="Normal"/>
    <w:pPr>
      <w:spacing w:before="120" w:after="120" w:line="240" w:lineRule="auto"/>
      <w:ind w:left="2551"/>
      <w:jc w:val="both"/>
    </w:pPr>
    <w:rPr>
      <w:rFonts w:ascii="Times New Roman" w:hAnsi="Times New Roman" w:cs="Times New Roman"/>
      <w:sz w:val="24"/>
    </w:rPr>
  </w:style>
  <w:style w:type="paragraph" w:customStyle="1" w:styleId="NormalCentered">
    <w:name w:val="Normal Centered"/>
    <w:basedOn w:val="Normal"/>
    <w:pPr>
      <w:spacing w:before="120" w:after="120" w:line="240" w:lineRule="auto"/>
      <w:jc w:val="center"/>
    </w:pPr>
    <w:rPr>
      <w:rFonts w:ascii="Times New Roman" w:hAnsi="Times New Roman" w:cs="Times New Roman"/>
      <w:sz w:val="24"/>
    </w:rPr>
  </w:style>
  <w:style w:type="paragraph" w:customStyle="1" w:styleId="NormalLeft">
    <w:name w:val="Normal Left"/>
    <w:basedOn w:val="Normal"/>
    <w:pPr>
      <w:spacing w:before="120" w:after="120" w:line="240" w:lineRule="auto"/>
    </w:pPr>
    <w:rPr>
      <w:rFonts w:ascii="Times New Roman" w:hAnsi="Times New Roman" w:cs="Times New Roman"/>
      <w:sz w:val="24"/>
    </w:rPr>
  </w:style>
  <w:style w:type="paragraph" w:customStyle="1" w:styleId="NormalRight">
    <w:name w:val="Normal Right"/>
    <w:basedOn w:val="Normal"/>
    <w:pPr>
      <w:spacing w:before="120" w:after="120" w:line="240" w:lineRule="auto"/>
      <w:jc w:val="right"/>
    </w:pPr>
    <w:rPr>
      <w:rFonts w:ascii="Times New Roman" w:hAnsi="Times New Roman" w:cs="Times New Roman"/>
      <w:sz w:val="24"/>
    </w:rPr>
  </w:style>
  <w:style w:type="paragraph" w:customStyle="1" w:styleId="QuotedText">
    <w:name w:val="Quoted Text"/>
    <w:basedOn w:val="Normal"/>
    <w:pPr>
      <w:spacing w:before="120" w:after="120" w:line="240" w:lineRule="auto"/>
      <w:ind w:left="1417"/>
      <w:jc w:val="both"/>
    </w:pPr>
    <w:rPr>
      <w:rFonts w:ascii="Times New Roman" w:hAnsi="Times New Roman" w:cs="Times New Roman"/>
      <w:sz w:val="24"/>
    </w:rPr>
  </w:style>
  <w:style w:type="paragraph" w:customStyle="1" w:styleId="Point0">
    <w:name w:val="Point 0"/>
    <w:basedOn w:val="Normal"/>
    <w:pPr>
      <w:spacing w:before="120" w:after="120" w:line="240" w:lineRule="auto"/>
      <w:ind w:left="850" w:hanging="850"/>
      <w:jc w:val="both"/>
    </w:pPr>
    <w:rPr>
      <w:rFonts w:ascii="Times New Roman" w:hAnsi="Times New Roman" w:cs="Times New Roman"/>
      <w:sz w:val="24"/>
    </w:rPr>
  </w:style>
  <w:style w:type="paragraph" w:customStyle="1" w:styleId="Point1">
    <w:name w:val="Point 1"/>
    <w:basedOn w:val="Normal"/>
    <w:pPr>
      <w:spacing w:before="120" w:after="120" w:line="240" w:lineRule="auto"/>
      <w:ind w:left="1417" w:hanging="567"/>
      <w:jc w:val="both"/>
    </w:pPr>
    <w:rPr>
      <w:rFonts w:ascii="Times New Roman" w:hAnsi="Times New Roman" w:cs="Times New Roman"/>
      <w:sz w:val="24"/>
    </w:rPr>
  </w:style>
  <w:style w:type="paragraph" w:customStyle="1" w:styleId="Point2">
    <w:name w:val="Point 2"/>
    <w:basedOn w:val="Normal"/>
    <w:pPr>
      <w:spacing w:before="120" w:after="120" w:line="240" w:lineRule="auto"/>
      <w:ind w:left="1984" w:hanging="567"/>
      <w:jc w:val="both"/>
    </w:pPr>
    <w:rPr>
      <w:rFonts w:ascii="Times New Roman" w:hAnsi="Times New Roman" w:cs="Times New Roman"/>
      <w:sz w:val="24"/>
    </w:rPr>
  </w:style>
  <w:style w:type="paragraph" w:customStyle="1" w:styleId="Point3">
    <w:name w:val="Point 3"/>
    <w:basedOn w:val="Normal"/>
    <w:pPr>
      <w:spacing w:before="120" w:after="120" w:line="240" w:lineRule="auto"/>
      <w:ind w:left="2551" w:hanging="567"/>
      <w:jc w:val="both"/>
    </w:pPr>
    <w:rPr>
      <w:rFonts w:ascii="Times New Roman" w:hAnsi="Times New Roman" w:cs="Times New Roman"/>
      <w:sz w:val="24"/>
    </w:rPr>
  </w:style>
  <w:style w:type="paragraph" w:customStyle="1" w:styleId="Point4">
    <w:name w:val="Point 4"/>
    <w:basedOn w:val="Normal"/>
    <w:pPr>
      <w:spacing w:before="120" w:after="120" w:line="240" w:lineRule="auto"/>
      <w:ind w:left="3118" w:hanging="567"/>
      <w:jc w:val="both"/>
    </w:pPr>
    <w:rPr>
      <w:rFonts w:ascii="Times New Roman" w:hAnsi="Times New Roman" w:cs="Times New Roman"/>
      <w:sz w:val="24"/>
    </w:r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hAnsi="Times New Roman" w:cs="Times New Roman"/>
      <w:sz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hAnsi="Times New Roman" w:cs="Times New Roman"/>
      <w:sz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hAnsi="Times New Roman" w:cs="Times New Roman"/>
      <w:sz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hAnsi="Times New Roman" w:cs="Times New Roman"/>
      <w:sz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hAnsi="Times New Roman" w:cs="Times New Roman"/>
      <w:sz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hAnsi="Times New Roman" w:cs="Times New Roman"/>
      <w:sz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hAnsi="Times New Roman" w:cs="Times New Roman"/>
      <w:sz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hAnsi="Times New Roman" w:cs="Times New Roman"/>
      <w:sz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hAnsi="Times New Roman" w:cs="Times New Roman"/>
      <w:sz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hAnsi="Times New Roman" w:cs="Times New Roman"/>
      <w:sz w:val="24"/>
    </w:rPr>
  </w:style>
  <w:style w:type="paragraph" w:customStyle="1" w:styleId="NumPar1">
    <w:name w:val="NumPar 1"/>
    <w:basedOn w:val="Normal"/>
    <w:next w:val="Text1"/>
    <w:pPr>
      <w:numPr>
        <w:numId w:val="6"/>
      </w:numPr>
      <w:spacing w:before="120" w:after="120" w:line="240" w:lineRule="auto"/>
      <w:jc w:val="both"/>
    </w:pPr>
    <w:rPr>
      <w:rFonts w:ascii="Times New Roman" w:hAnsi="Times New Roman" w:cs="Times New Roman"/>
      <w:sz w:val="24"/>
    </w:rPr>
  </w:style>
  <w:style w:type="paragraph" w:customStyle="1" w:styleId="NumPar2">
    <w:name w:val="NumPar 2"/>
    <w:basedOn w:val="Normal"/>
    <w:next w:val="Text1"/>
    <w:pPr>
      <w:numPr>
        <w:ilvl w:val="1"/>
        <w:numId w:val="6"/>
      </w:numPr>
      <w:spacing w:before="120" w:after="120" w:line="240" w:lineRule="auto"/>
      <w:jc w:val="both"/>
    </w:pPr>
    <w:rPr>
      <w:rFonts w:ascii="Times New Roman" w:hAnsi="Times New Roman" w:cs="Times New Roman"/>
      <w:sz w:val="24"/>
    </w:rPr>
  </w:style>
  <w:style w:type="paragraph" w:customStyle="1" w:styleId="NumPar3">
    <w:name w:val="NumPar 3"/>
    <w:basedOn w:val="Normal"/>
    <w:next w:val="Text1"/>
    <w:pPr>
      <w:numPr>
        <w:ilvl w:val="2"/>
        <w:numId w:val="6"/>
      </w:numPr>
      <w:spacing w:before="120" w:after="120" w:line="240" w:lineRule="auto"/>
      <w:jc w:val="both"/>
    </w:pPr>
    <w:rPr>
      <w:rFonts w:ascii="Times New Roman" w:hAnsi="Times New Roman" w:cs="Times New Roman"/>
      <w:sz w:val="24"/>
    </w:rPr>
  </w:style>
  <w:style w:type="paragraph" w:customStyle="1" w:styleId="NumPar4">
    <w:name w:val="NumPar 4"/>
    <w:basedOn w:val="Normal"/>
    <w:next w:val="Text1"/>
    <w:pPr>
      <w:numPr>
        <w:ilvl w:val="3"/>
        <w:numId w:val="6"/>
      </w:numPr>
      <w:spacing w:before="120" w:after="120" w:line="240" w:lineRule="auto"/>
      <w:jc w:val="both"/>
    </w:pPr>
    <w:rPr>
      <w:rFonts w:ascii="Times New Roman" w:hAnsi="Times New Roman" w:cs="Times New Roman"/>
      <w:sz w:val="24"/>
    </w:rPr>
  </w:style>
  <w:style w:type="paragraph" w:customStyle="1" w:styleId="ManualNumPar1">
    <w:name w:val="Manual NumPar 1"/>
    <w:basedOn w:val="Normal"/>
    <w:next w:val="Text1"/>
    <w:pPr>
      <w:spacing w:before="120" w:after="120" w:line="240" w:lineRule="auto"/>
      <w:ind w:left="850" w:hanging="850"/>
      <w:jc w:val="both"/>
    </w:pPr>
    <w:rPr>
      <w:rFonts w:ascii="Times New Roman" w:hAnsi="Times New Roman" w:cs="Times New Roman"/>
      <w:sz w:val="24"/>
    </w:rPr>
  </w:style>
  <w:style w:type="paragraph" w:customStyle="1" w:styleId="ManualNumPar2">
    <w:name w:val="Manual NumPar 2"/>
    <w:basedOn w:val="Normal"/>
    <w:next w:val="Text1"/>
    <w:pPr>
      <w:spacing w:before="120" w:after="120" w:line="240" w:lineRule="auto"/>
      <w:ind w:left="850" w:hanging="850"/>
      <w:jc w:val="both"/>
    </w:pPr>
    <w:rPr>
      <w:rFonts w:ascii="Times New Roman" w:hAnsi="Times New Roman" w:cs="Times New Roman"/>
      <w:sz w:val="24"/>
    </w:rPr>
  </w:style>
  <w:style w:type="paragraph" w:customStyle="1" w:styleId="ManualNumPar3">
    <w:name w:val="Manual NumPar 3"/>
    <w:basedOn w:val="Normal"/>
    <w:next w:val="Text1"/>
    <w:pPr>
      <w:spacing w:before="120" w:after="120" w:line="240" w:lineRule="auto"/>
      <w:ind w:left="850" w:hanging="850"/>
      <w:jc w:val="both"/>
    </w:pPr>
    <w:rPr>
      <w:rFonts w:ascii="Times New Roman" w:hAnsi="Times New Roman" w:cs="Times New Roman"/>
      <w:sz w:val="24"/>
    </w:rPr>
  </w:style>
  <w:style w:type="paragraph" w:customStyle="1" w:styleId="ManualNumPar4">
    <w:name w:val="Manual NumPar 4"/>
    <w:basedOn w:val="Normal"/>
    <w:next w:val="Text1"/>
    <w:pPr>
      <w:spacing w:before="120" w:after="120" w:line="240" w:lineRule="auto"/>
      <w:ind w:left="850" w:hanging="850"/>
      <w:jc w:val="both"/>
    </w:pPr>
    <w:rPr>
      <w:rFonts w:ascii="Times New Roman" w:hAnsi="Times New Roman" w:cs="Times New Roman"/>
      <w:sz w:val="24"/>
    </w:rPr>
  </w:style>
  <w:style w:type="paragraph" w:customStyle="1" w:styleId="QuotedNumPar">
    <w:name w:val="Quoted NumPar"/>
    <w:basedOn w:val="Normal"/>
    <w:pPr>
      <w:spacing w:before="120" w:after="120" w:line="240" w:lineRule="auto"/>
      <w:ind w:left="1417" w:hanging="567"/>
      <w:jc w:val="both"/>
    </w:pPr>
    <w:rPr>
      <w:rFonts w:ascii="Times New Roman" w:hAnsi="Times New Roman" w:cs="Times New Roman"/>
      <w:sz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hAnsi="Times New Roman" w:cs="Times New Roman"/>
      <w:b/>
      <w:smallCaps/>
      <w:sz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hAnsi="Times New Roman" w:cs="Times New Roman"/>
      <w:b/>
      <w:sz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hAnsi="Times New Roman" w:cs="Times New Roman"/>
      <w:i/>
      <w:sz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hAnsi="Times New Roman" w:cs="Times New Roman"/>
      <w:sz w:val="24"/>
    </w:rPr>
  </w:style>
  <w:style w:type="paragraph" w:customStyle="1" w:styleId="ChapterTitle">
    <w:name w:val="ChapterTitle"/>
    <w:basedOn w:val="Normal"/>
    <w:next w:val="Normal"/>
    <w:pPr>
      <w:keepNext/>
      <w:spacing w:before="120" w:after="360" w:line="240" w:lineRule="auto"/>
      <w:jc w:val="center"/>
    </w:pPr>
    <w:rPr>
      <w:rFonts w:ascii="Times New Roman" w:hAnsi="Times New Roman" w:cs="Times New Roman"/>
      <w:b/>
      <w:sz w:val="32"/>
    </w:rPr>
  </w:style>
  <w:style w:type="paragraph" w:customStyle="1" w:styleId="PartTitle">
    <w:name w:val="PartTitle"/>
    <w:basedOn w:val="Normal"/>
    <w:next w:val="ChapterTitle"/>
    <w:pPr>
      <w:keepNext/>
      <w:pageBreakBefore/>
      <w:spacing w:before="120" w:after="360" w:line="240" w:lineRule="auto"/>
      <w:jc w:val="center"/>
    </w:pPr>
    <w:rPr>
      <w:rFonts w:ascii="Times New Roman" w:hAnsi="Times New Roman" w:cs="Times New Roman"/>
      <w:b/>
      <w:sz w:val="36"/>
    </w:rPr>
  </w:style>
  <w:style w:type="paragraph" w:customStyle="1" w:styleId="SectionTitle">
    <w:name w:val="SectionTitle"/>
    <w:basedOn w:val="Normal"/>
    <w:next w:val="Heading1"/>
    <w:pPr>
      <w:keepNext/>
      <w:spacing w:before="120" w:after="360" w:line="240" w:lineRule="auto"/>
      <w:jc w:val="center"/>
    </w:pPr>
    <w:rPr>
      <w:rFonts w:ascii="Times New Roman" w:hAnsi="Times New Roman" w:cs="Times New Roman"/>
      <w:b/>
      <w:smallCaps/>
      <w:sz w:val="28"/>
    </w:rPr>
  </w:style>
  <w:style w:type="paragraph" w:customStyle="1" w:styleId="TableTitle">
    <w:name w:val="Table Title"/>
    <w:basedOn w:val="Normal"/>
    <w:next w:val="Normal"/>
    <w:pPr>
      <w:spacing w:before="120" w:after="120" w:line="240" w:lineRule="auto"/>
      <w:jc w:val="center"/>
    </w:pPr>
    <w:rPr>
      <w:rFonts w:ascii="Times New Roman" w:hAnsi="Times New Roman" w:cs="Times New Roman"/>
      <w:b/>
      <w:sz w:val="24"/>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8"/>
      </w:numPr>
      <w:spacing w:before="120" w:after="120" w:line="240" w:lineRule="auto"/>
      <w:jc w:val="both"/>
    </w:pPr>
    <w:rPr>
      <w:rFonts w:ascii="Times New Roman" w:hAnsi="Times New Roman" w:cs="Times New Roman"/>
      <w:sz w:val="24"/>
    </w:rPr>
  </w:style>
  <w:style w:type="paragraph" w:customStyle="1" w:styleId="Point1number">
    <w:name w:val="Point 1 (number)"/>
    <w:basedOn w:val="Normal"/>
    <w:pPr>
      <w:numPr>
        <w:ilvl w:val="2"/>
        <w:numId w:val="8"/>
      </w:numPr>
      <w:spacing w:before="120" w:after="120" w:line="240" w:lineRule="auto"/>
      <w:jc w:val="both"/>
    </w:pPr>
    <w:rPr>
      <w:rFonts w:ascii="Times New Roman" w:hAnsi="Times New Roman" w:cs="Times New Roman"/>
      <w:sz w:val="24"/>
    </w:rPr>
  </w:style>
  <w:style w:type="paragraph" w:customStyle="1" w:styleId="Point2number">
    <w:name w:val="Point 2 (number)"/>
    <w:basedOn w:val="Normal"/>
    <w:pPr>
      <w:numPr>
        <w:ilvl w:val="4"/>
        <w:numId w:val="8"/>
      </w:numPr>
      <w:spacing w:before="120" w:after="120" w:line="240" w:lineRule="auto"/>
      <w:jc w:val="both"/>
    </w:pPr>
    <w:rPr>
      <w:rFonts w:ascii="Times New Roman" w:hAnsi="Times New Roman" w:cs="Times New Roman"/>
      <w:sz w:val="24"/>
    </w:rPr>
  </w:style>
  <w:style w:type="paragraph" w:customStyle="1" w:styleId="Point3number">
    <w:name w:val="Point 3 (number)"/>
    <w:basedOn w:val="Normal"/>
    <w:pPr>
      <w:numPr>
        <w:ilvl w:val="6"/>
        <w:numId w:val="8"/>
      </w:numPr>
      <w:spacing w:before="120" w:after="120" w:line="240" w:lineRule="auto"/>
      <w:jc w:val="both"/>
    </w:pPr>
    <w:rPr>
      <w:rFonts w:ascii="Times New Roman" w:hAnsi="Times New Roman" w:cs="Times New Roman"/>
      <w:sz w:val="24"/>
    </w:rPr>
  </w:style>
  <w:style w:type="paragraph" w:customStyle="1" w:styleId="Point0letter">
    <w:name w:val="Point 0 (letter)"/>
    <w:basedOn w:val="Normal"/>
    <w:pPr>
      <w:numPr>
        <w:ilvl w:val="1"/>
        <w:numId w:val="8"/>
      </w:numPr>
      <w:spacing w:before="120" w:after="120" w:line="240" w:lineRule="auto"/>
      <w:jc w:val="both"/>
    </w:pPr>
    <w:rPr>
      <w:rFonts w:ascii="Times New Roman" w:hAnsi="Times New Roman" w:cs="Times New Roman"/>
      <w:sz w:val="24"/>
    </w:rPr>
  </w:style>
  <w:style w:type="paragraph" w:customStyle="1" w:styleId="Point1letter">
    <w:name w:val="Point 1 (letter)"/>
    <w:basedOn w:val="Normal"/>
    <w:pPr>
      <w:numPr>
        <w:ilvl w:val="3"/>
        <w:numId w:val="8"/>
      </w:numPr>
      <w:spacing w:before="120" w:after="120" w:line="240" w:lineRule="auto"/>
      <w:jc w:val="both"/>
    </w:pPr>
    <w:rPr>
      <w:rFonts w:ascii="Times New Roman" w:hAnsi="Times New Roman" w:cs="Times New Roman"/>
      <w:sz w:val="24"/>
    </w:rPr>
  </w:style>
  <w:style w:type="paragraph" w:customStyle="1" w:styleId="Point2letter">
    <w:name w:val="Point 2 (letter)"/>
    <w:basedOn w:val="Normal"/>
    <w:pPr>
      <w:numPr>
        <w:ilvl w:val="5"/>
        <w:numId w:val="8"/>
      </w:numPr>
      <w:spacing w:before="120" w:after="120" w:line="240" w:lineRule="auto"/>
      <w:jc w:val="both"/>
    </w:pPr>
    <w:rPr>
      <w:rFonts w:ascii="Times New Roman" w:hAnsi="Times New Roman" w:cs="Times New Roman"/>
      <w:sz w:val="24"/>
    </w:rPr>
  </w:style>
  <w:style w:type="paragraph" w:customStyle="1" w:styleId="Point3letter">
    <w:name w:val="Point 3 (letter)"/>
    <w:basedOn w:val="Normal"/>
    <w:pPr>
      <w:numPr>
        <w:ilvl w:val="7"/>
        <w:numId w:val="8"/>
      </w:numPr>
      <w:spacing w:before="120" w:after="120" w:line="240" w:lineRule="auto"/>
      <w:jc w:val="both"/>
    </w:pPr>
    <w:rPr>
      <w:rFonts w:ascii="Times New Roman" w:hAnsi="Times New Roman" w:cs="Times New Roman"/>
      <w:sz w:val="24"/>
    </w:rPr>
  </w:style>
  <w:style w:type="paragraph" w:customStyle="1" w:styleId="Point4letter">
    <w:name w:val="Point 4 (letter)"/>
    <w:basedOn w:val="Normal"/>
    <w:pPr>
      <w:numPr>
        <w:ilvl w:val="8"/>
        <w:numId w:val="8"/>
      </w:numPr>
      <w:spacing w:before="120" w:after="120" w:line="240" w:lineRule="auto"/>
      <w:jc w:val="both"/>
    </w:pPr>
    <w:rPr>
      <w:rFonts w:ascii="Times New Roman" w:hAnsi="Times New Roman" w:cs="Times New Roman"/>
      <w:sz w:val="24"/>
    </w:rPr>
  </w:style>
  <w:style w:type="paragraph" w:customStyle="1" w:styleId="Bullet0">
    <w:name w:val="Bullet 0"/>
    <w:basedOn w:val="Normal"/>
    <w:pPr>
      <w:numPr>
        <w:numId w:val="9"/>
      </w:numPr>
      <w:spacing w:before="120" w:after="120" w:line="240" w:lineRule="auto"/>
      <w:jc w:val="both"/>
    </w:pPr>
    <w:rPr>
      <w:rFonts w:ascii="Times New Roman" w:hAnsi="Times New Roman" w:cs="Times New Roman"/>
      <w:sz w:val="24"/>
    </w:rPr>
  </w:style>
  <w:style w:type="paragraph" w:customStyle="1" w:styleId="Bullet1">
    <w:name w:val="Bullet 1"/>
    <w:basedOn w:val="Normal"/>
    <w:link w:val="Bullet1Char"/>
    <w:qFormat/>
    <w:pPr>
      <w:numPr>
        <w:numId w:val="10"/>
      </w:numPr>
      <w:spacing w:before="120" w:after="120" w:line="240" w:lineRule="auto"/>
      <w:jc w:val="both"/>
    </w:pPr>
    <w:rPr>
      <w:rFonts w:ascii="Times New Roman" w:hAnsi="Times New Roman" w:cs="Times New Roman"/>
      <w:sz w:val="24"/>
    </w:rPr>
  </w:style>
  <w:style w:type="paragraph" w:customStyle="1" w:styleId="Bullet20">
    <w:name w:val="Bullet 2"/>
    <w:basedOn w:val="Normal"/>
    <w:pPr>
      <w:numPr>
        <w:numId w:val="11"/>
      </w:numPr>
      <w:spacing w:before="120" w:after="120" w:line="240" w:lineRule="auto"/>
      <w:jc w:val="both"/>
    </w:pPr>
    <w:rPr>
      <w:rFonts w:ascii="Times New Roman" w:hAnsi="Times New Roman" w:cs="Times New Roman"/>
      <w:sz w:val="24"/>
    </w:rPr>
  </w:style>
  <w:style w:type="paragraph" w:customStyle="1" w:styleId="Bullet3">
    <w:name w:val="Bullet 3"/>
    <w:basedOn w:val="Normal"/>
    <w:pPr>
      <w:numPr>
        <w:numId w:val="12"/>
      </w:numPr>
      <w:spacing w:before="120" w:after="120" w:line="240" w:lineRule="auto"/>
      <w:jc w:val="both"/>
    </w:pPr>
    <w:rPr>
      <w:rFonts w:ascii="Times New Roman" w:hAnsi="Times New Roman" w:cs="Times New Roman"/>
      <w:sz w:val="24"/>
    </w:rPr>
  </w:style>
  <w:style w:type="paragraph" w:customStyle="1" w:styleId="Bullet4">
    <w:name w:val="Bullet 4"/>
    <w:basedOn w:val="Normal"/>
    <w:pPr>
      <w:numPr>
        <w:numId w:val="13"/>
      </w:numPr>
      <w:spacing w:before="120" w:after="120" w:line="240" w:lineRule="auto"/>
      <w:jc w:val="both"/>
    </w:pPr>
    <w:rPr>
      <w:rFonts w:ascii="Times New Roman" w:hAnsi="Times New Roman" w:cs="Times New Roman"/>
      <w:sz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hAnsi="Times New Roman" w:cs="Times New Roman"/>
      <w:b/>
      <w:caps/>
      <w:sz w:val="24"/>
    </w:rPr>
  </w:style>
  <w:style w:type="paragraph" w:customStyle="1" w:styleId="Nomdelinstitution">
    <w:name w:val="Nom de l'institution"/>
    <w:basedOn w:val="Normal"/>
    <w:next w:val="Emission"/>
    <w:pPr>
      <w:spacing w:after="0" w:line="240" w:lineRule="auto"/>
    </w:pPr>
    <w:rPr>
      <w:rFonts w:ascii="Arial" w:hAnsi="Arial" w:cs="Arial"/>
      <w:sz w:val="24"/>
    </w:rPr>
  </w:style>
  <w:style w:type="paragraph" w:customStyle="1" w:styleId="Emission">
    <w:name w:val="Emission"/>
    <w:basedOn w:val="Normal"/>
    <w:next w:val="Rfrenceinstitutionnelle"/>
    <w:pPr>
      <w:spacing w:after="0" w:line="240" w:lineRule="auto"/>
      <w:ind w:left="5103"/>
    </w:pPr>
    <w:rPr>
      <w:rFonts w:ascii="Times New Roman" w:hAnsi="Times New Roman" w:cs="Times New Roman"/>
      <w:sz w:val="24"/>
    </w:rPr>
  </w:style>
  <w:style w:type="paragraph" w:customStyle="1" w:styleId="Rfrenceinstitutionnelle">
    <w:name w:val="Référence institutionnelle"/>
    <w:basedOn w:val="Normal"/>
    <w:next w:val="Confidentialit"/>
    <w:pPr>
      <w:spacing w:after="240" w:line="240" w:lineRule="auto"/>
      <w:ind w:left="5103"/>
    </w:pPr>
    <w:rPr>
      <w:rFonts w:ascii="Times New Roman" w:hAnsi="Times New Roman" w:cs="Times New Roman"/>
      <w:sz w:val="24"/>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Annexetitreexpos">
    <w:name w:val="Annexe titre (exposé)"/>
    <w:basedOn w:val="Normal"/>
    <w:next w:val="Normal"/>
    <w:pPr>
      <w:spacing w:before="120" w:after="120" w:line="240" w:lineRule="auto"/>
      <w:jc w:val="center"/>
    </w:pPr>
    <w:rPr>
      <w:rFonts w:ascii="Times New Roman" w:hAnsi="Times New Roman" w:cs="Times New Roman"/>
      <w:b/>
      <w:sz w:val="24"/>
      <w:u w:val="single"/>
    </w:rPr>
  </w:style>
  <w:style w:type="paragraph" w:customStyle="1" w:styleId="Annexetitre">
    <w:name w:val="Annexe titre"/>
    <w:basedOn w:val="Normal"/>
    <w:next w:val="Normal"/>
    <w:pPr>
      <w:spacing w:before="120" w:after="120" w:line="240" w:lineRule="auto"/>
      <w:jc w:val="center"/>
    </w:pPr>
    <w:rPr>
      <w:rFonts w:ascii="Times New Roman" w:hAnsi="Times New Roman" w:cs="Times New Roman"/>
      <w:b/>
      <w:sz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hAnsi="Times New Roman" w:cs="Times New Roman"/>
      <w:b/>
      <w:sz w:val="24"/>
      <w:u w:val="single"/>
    </w:rPr>
  </w:style>
  <w:style w:type="paragraph" w:customStyle="1" w:styleId="Applicationdirecte">
    <w:name w:val="Application directe"/>
    <w:basedOn w:val="Normal"/>
    <w:next w:val="Fait"/>
    <w:pPr>
      <w:spacing w:before="480" w:after="120" w:line="240" w:lineRule="auto"/>
      <w:jc w:val="both"/>
    </w:pPr>
    <w:rPr>
      <w:rFonts w:ascii="Times New Roman" w:hAnsi="Times New Roman" w:cs="Times New Roman"/>
      <w:sz w:val="24"/>
    </w:rPr>
  </w:style>
  <w:style w:type="paragraph" w:customStyle="1" w:styleId="Avertissementtitre">
    <w:name w:val="Avertissement titre"/>
    <w:basedOn w:val="Normal"/>
    <w:next w:val="Normal"/>
    <w:pPr>
      <w:keepNext/>
      <w:spacing w:before="480" w:after="120" w:line="240" w:lineRule="auto"/>
      <w:jc w:val="both"/>
    </w:pPr>
    <w:rPr>
      <w:rFonts w:ascii="Times New Roman" w:hAnsi="Times New Roman" w:cs="Times New Roman"/>
      <w:sz w:val="24"/>
      <w:u w:val="single"/>
    </w:rPr>
  </w:style>
  <w:style w:type="paragraph" w:customStyle="1" w:styleId="Confidence">
    <w:name w:val="Confidence"/>
    <w:basedOn w:val="Normal"/>
    <w:next w:val="Normal"/>
    <w:pPr>
      <w:spacing w:before="360" w:after="120" w:line="240" w:lineRule="auto"/>
      <w:jc w:val="center"/>
    </w:pPr>
    <w:rPr>
      <w:rFonts w:ascii="Times New Roman" w:hAnsi="Times New Roman" w:cs="Times New Roman"/>
      <w:sz w:val="24"/>
    </w:rPr>
  </w:style>
  <w:style w:type="paragraph" w:customStyle="1" w:styleId="Confidentialit">
    <w:name w:val="Confidentialité"/>
    <w:basedOn w:val="Normal"/>
    <w:next w:val="TypedudocumentPagedecouverture"/>
    <w:pPr>
      <w:spacing w:before="240" w:after="240" w:line="240" w:lineRule="auto"/>
      <w:ind w:left="5103"/>
    </w:pPr>
    <w:rPr>
      <w:rFonts w:ascii="Times New Roman" w:hAnsi="Times New Roman" w:cs="Times New Roman"/>
      <w:i/>
      <w:sz w:val="32"/>
    </w:rPr>
  </w:style>
  <w:style w:type="paragraph" w:customStyle="1" w:styleId="Considrant">
    <w:name w:val="Considérant"/>
    <w:basedOn w:val="Normal"/>
    <w:pPr>
      <w:numPr>
        <w:numId w:val="14"/>
      </w:numPr>
      <w:spacing w:before="120" w:after="120" w:line="240" w:lineRule="auto"/>
      <w:jc w:val="both"/>
    </w:pPr>
    <w:rPr>
      <w:rFonts w:ascii="Times New Roman" w:hAnsi="Times New Roman" w:cs="Times New Roman"/>
      <w:sz w:val="24"/>
    </w:rPr>
  </w:style>
  <w:style w:type="paragraph" w:customStyle="1" w:styleId="Corrigendum">
    <w:name w:val="Corrigendum"/>
    <w:basedOn w:val="Normal"/>
    <w:next w:val="Normal"/>
    <w:pPr>
      <w:spacing w:after="240" w:line="240" w:lineRule="auto"/>
    </w:pPr>
    <w:rPr>
      <w:rFonts w:ascii="Times New Roman" w:hAnsi="Times New Roman" w:cs="Times New Roman"/>
      <w:sz w:val="24"/>
    </w:rPr>
  </w:style>
  <w:style w:type="paragraph" w:customStyle="1" w:styleId="Datedadoption">
    <w:name w:val="Date d'adoption"/>
    <w:basedOn w:val="Normal"/>
    <w:next w:val="IntrtEEE"/>
    <w:pPr>
      <w:spacing w:before="360" w:after="0" w:line="240" w:lineRule="auto"/>
      <w:jc w:val="center"/>
    </w:pPr>
    <w:rPr>
      <w:rFonts w:ascii="Times New Roman" w:hAnsi="Times New Roman" w:cs="Times New Roman"/>
      <w:b/>
      <w:sz w:val="24"/>
    </w:rPr>
  </w:style>
  <w:style w:type="paragraph" w:customStyle="1" w:styleId="Exposdesmotifstitre">
    <w:name w:val="Exposé des motifs titre"/>
    <w:basedOn w:val="Normal"/>
    <w:next w:val="Normal"/>
    <w:pPr>
      <w:spacing w:before="120" w:after="120" w:line="240" w:lineRule="auto"/>
      <w:jc w:val="center"/>
    </w:pPr>
    <w:rPr>
      <w:rFonts w:ascii="Times New Roman" w:hAnsi="Times New Roman" w:cs="Times New Roman"/>
      <w:b/>
      <w:sz w:val="24"/>
      <w:u w:val="single"/>
    </w:rPr>
  </w:style>
  <w:style w:type="paragraph" w:customStyle="1" w:styleId="Fait">
    <w:name w:val="Fait à"/>
    <w:basedOn w:val="Normal"/>
    <w:next w:val="Institutionquisigne"/>
    <w:pPr>
      <w:keepNext/>
      <w:spacing w:before="120" w:after="0" w:line="240" w:lineRule="auto"/>
      <w:jc w:val="both"/>
    </w:pPr>
    <w:rPr>
      <w:rFonts w:ascii="Times New Roman" w:hAnsi="Times New Roman" w:cs="Times New Roman"/>
      <w:sz w:val="24"/>
    </w:rPr>
  </w:style>
  <w:style w:type="paragraph" w:customStyle="1" w:styleId="Formuledadoption">
    <w:name w:val="Formule d'adoption"/>
    <w:basedOn w:val="Normal"/>
    <w:next w:val="Titrearticle"/>
    <w:pPr>
      <w:keepNext/>
      <w:spacing w:before="120" w:after="120" w:line="240" w:lineRule="auto"/>
      <w:jc w:val="both"/>
    </w:pPr>
    <w:rPr>
      <w:rFonts w:ascii="Times New Roman" w:hAnsi="Times New Roman" w:cs="Times New Roman"/>
      <w:sz w:val="24"/>
    </w:rPr>
  </w:style>
  <w:style w:type="paragraph" w:customStyle="1" w:styleId="Institutionquiagit">
    <w:name w:val="Institution qui agit"/>
    <w:basedOn w:val="Normal"/>
    <w:next w:val="Normal"/>
    <w:pPr>
      <w:keepNext/>
      <w:spacing w:before="600" w:after="120" w:line="240" w:lineRule="auto"/>
      <w:jc w:val="both"/>
    </w:pPr>
    <w:rPr>
      <w:rFonts w:ascii="Times New Roman" w:hAnsi="Times New Roman" w:cs="Times New Roman"/>
      <w:sz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hAnsi="Times New Roman" w:cs="Times New Roman"/>
      <w:i/>
      <w:sz w:val="24"/>
    </w:rPr>
  </w:style>
  <w:style w:type="paragraph" w:customStyle="1" w:styleId="ManualConsidrant">
    <w:name w:val="Manual Considérant"/>
    <w:basedOn w:val="Normal"/>
    <w:pPr>
      <w:spacing w:before="120" w:after="120" w:line="240" w:lineRule="auto"/>
      <w:ind w:left="709" w:hanging="709"/>
      <w:jc w:val="both"/>
    </w:pPr>
    <w:rPr>
      <w:rFonts w:ascii="Times New Roman" w:hAnsi="Times New Roman" w:cs="Times New Roman"/>
      <w:sz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hAnsi="Times New Roman" w:cs="Times New Roman"/>
      <w:i/>
      <w:sz w:val="24"/>
    </w:rPr>
  </w:style>
  <w:style w:type="paragraph" w:customStyle="1" w:styleId="Rfrenceinterinstitutionnelle">
    <w:name w:val="Référence interinstitutionnelle"/>
    <w:basedOn w:val="Normal"/>
    <w:next w:val="Statut"/>
    <w:pPr>
      <w:spacing w:after="0" w:line="240" w:lineRule="auto"/>
      <w:ind w:left="5103"/>
    </w:pPr>
    <w:rPr>
      <w:rFonts w:ascii="Times New Roman" w:hAnsi="Times New Roman" w:cs="Times New Roman"/>
      <w:sz w:val="24"/>
    </w:rPr>
  </w:style>
  <w:style w:type="paragraph" w:customStyle="1" w:styleId="Rfrenceinterne">
    <w:name w:val="Référence interne"/>
    <w:basedOn w:val="Normal"/>
    <w:next w:val="Rfrenceinterinstitutionnelle"/>
    <w:pPr>
      <w:spacing w:after="0" w:line="240" w:lineRule="auto"/>
      <w:ind w:left="5103"/>
    </w:pPr>
    <w:rPr>
      <w:rFonts w:ascii="Times New Roman" w:hAnsi="Times New Roman" w:cs="Times New Roman"/>
      <w:sz w:val="24"/>
    </w:rPr>
  </w:style>
  <w:style w:type="paragraph" w:customStyle="1" w:styleId="Statut">
    <w:name w:val="Statut"/>
    <w:basedOn w:val="Normal"/>
    <w:next w:val="Typedudocument"/>
    <w:pPr>
      <w:spacing w:after="240" w:line="240" w:lineRule="auto"/>
      <w:jc w:val="center"/>
    </w:pPr>
    <w:rPr>
      <w:rFonts w:ascii="Times New Roman" w:hAnsi="Times New Roman" w:cs="Times New Roman"/>
      <w:sz w:val="24"/>
    </w:rPr>
  </w:style>
  <w:style w:type="paragraph" w:customStyle="1" w:styleId="Titrearticle">
    <w:name w:val="Titre article"/>
    <w:basedOn w:val="Normal"/>
    <w:next w:val="Normal"/>
    <w:pPr>
      <w:keepNext/>
      <w:spacing w:before="360" w:after="120" w:line="240" w:lineRule="auto"/>
      <w:jc w:val="center"/>
    </w:pPr>
    <w:rPr>
      <w:rFonts w:ascii="Times New Roman" w:hAnsi="Times New Roman" w:cs="Times New Roman"/>
      <w:i/>
      <w:sz w:val="24"/>
    </w:rPr>
  </w:style>
  <w:style w:type="paragraph" w:customStyle="1" w:styleId="Typedudocument">
    <w:name w:val="Type du document"/>
    <w:basedOn w:val="Normal"/>
    <w:next w:val="Accompagnant"/>
    <w:pPr>
      <w:spacing w:before="360" w:after="180" w:line="240" w:lineRule="auto"/>
      <w:jc w:val="center"/>
    </w:pPr>
    <w:rPr>
      <w:rFonts w:ascii="Times New Roman" w:hAnsi="Times New Roman" w:cs="Times New Roman"/>
      <w:b/>
      <w:sz w:val="24"/>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hAnsi="Times New Roman" w:cs="Times New Roman"/>
      <w:sz w:val="24"/>
    </w:rPr>
  </w:style>
  <w:style w:type="paragraph" w:customStyle="1" w:styleId="Objetexterne">
    <w:name w:val="Objet externe"/>
    <w:basedOn w:val="Normal"/>
    <w:next w:val="Normal"/>
    <w:pPr>
      <w:spacing w:before="120" w:after="120" w:line="240" w:lineRule="auto"/>
      <w:jc w:val="both"/>
    </w:pPr>
    <w:rPr>
      <w:rFonts w:ascii="Times New Roman" w:hAnsi="Times New Roman" w:cs="Times New Roman"/>
      <w:i/>
      <w:caps/>
      <w:sz w:val="24"/>
    </w:rPr>
  </w:style>
  <w:style w:type="paragraph" w:customStyle="1" w:styleId="Supertitre">
    <w:name w:val="Supertitre"/>
    <w:basedOn w:val="Normal"/>
    <w:next w:val="Normal"/>
    <w:pPr>
      <w:spacing w:after="600" w:line="240" w:lineRule="auto"/>
      <w:jc w:val="center"/>
    </w:pPr>
    <w:rPr>
      <w:rFonts w:ascii="Times New Roman" w:hAnsi="Times New Roman" w:cs="Times New Roman"/>
      <w:b/>
      <w:sz w:val="24"/>
    </w:rPr>
  </w:style>
  <w:style w:type="paragraph" w:customStyle="1" w:styleId="Languesfaisantfoi">
    <w:name w:val="Langues faisant foi"/>
    <w:basedOn w:val="Normal"/>
    <w:next w:val="Normal"/>
    <w:pPr>
      <w:spacing w:before="360" w:after="0" w:line="240" w:lineRule="auto"/>
      <w:jc w:val="center"/>
    </w:pPr>
    <w:rPr>
      <w:rFonts w:ascii="Times New Roman" w:hAnsi="Times New Roman" w:cs="Times New Roman"/>
      <w:sz w:val="24"/>
    </w:rPr>
  </w:style>
  <w:style w:type="paragraph" w:customStyle="1" w:styleId="Rfrencecroise">
    <w:name w:val="Référence croisée"/>
    <w:basedOn w:val="Normal"/>
    <w:pPr>
      <w:spacing w:after="0" w:line="240" w:lineRule="auto"/>
      <w:jc w:val="center"/>
    </w:pPr>
    <w:rPr>
      <w:rFonts w:ascii="Times New Roman" w:hAnsi="Times New Roman" w:cs="Times New Roman"/>
      <w:sz w:val="24"/>
    </w:rPr>
  </w:style>
  <w:style w:type="paragraph" w:customStyle="1" w:styleId="Fichefinanciretitre">
    <w:name w:val="Fiche financière titre"/>
    <w:basedOn w:val="Normal"/>
    <w:next w:val="Normal"/>
    <w:pPr>
      <w:spacing w:before="120" w:after="120" w:line="240" w:lineRule="auto"/>
      <w:jc w:val="center"/>
    </w:pPr>
    <w:rPr>
      <w:rFonts w:ascii="Times New Roman" w:hAnsi="Times New Roman" w:cs="Times New Roman"/>
      <w:b/>
      <w:sz w:val="24"/>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after="240" w:line="240" w:lineRule="auto"/>
      <w:ind w:left="5103"/>
    </w:pPr>
    <w:rPr>
      <w:rFonts w:ascii="Times New Roman" w:hAnsi="Times New Roman" w:cs="Times New Roman"/>
      <w:sz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line="240" w:lineRule="auto"/>
      <w:jc w:val="center"/>
    </w:pPr>
    <w:rPr>
      <w:rFonts w:ascii="Times New Roman" w:hAnsi="Times New Roman" w:cs="Times New Roman"/>
      <w:b/>
      <w:sz w:val="24"/>
    </w:rPr>
  </w:style>
  <w:style w:type="paragraph" w:customStyle="1" w:styleId="Typeacteprincipal">
    <w:name w:val="Type acte principal"/>
    <w:basedOn w:val="Normal"/>
    <w:next w:val="Objetacteprincipal"/>
    <w:pPr>
      <w:spacing w:after="240" w:line="240" w:lineRule="auto"/>
      <w:jc w:val="center"/>
    </w:pPr>
    <w:rPr>
      <w:rFonts w:ascii="Times New Roman" w:hAnsi="Times New Roman" w:cs="Times New Roman"/>
      <w:b/>
      <w:sz w:val="24"/>
    </w:rPr>
  </w:style>
  <w:style w:type="paragraph" w:customStyle="1" w:styleId="Objetacteprincipal">
    <w:name w:val="Objet acte principal"/>
    <w:basedOn w:val="Normal"/>
    <w:next w:val="Titrearticle"/>
    <w:pPr>
      <w:spacing w:after="360" w:line="240" w:lineRule="auto"/>
      <w:jc w:val="center"/>
    </w:pPr>
    <w:rPr>
      <w:rFonts w:ascii="Times New Roman" w:hAnsi="Times New Roman" w:cs="Times New Roman"/>
      <w:b/>
      <w:sz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hAnsi="Times New Roman" w:cs="Times New Roman"/>
      <w:sz w:val="24"/>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before="120" w:after="120" w:line="240" w:lineRule="auto"/>
      <w:jc w:val="both"/>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rPr>
  </w:style>
  <w:style w:type="paragraph" w:styleId="ListParagraph">
    <w:name w:val="List Paragraph"/>
    <w:aliases w:val="numbered list,2,OBC Bullet,Normal 1,Task Body,Viñetas (Inicio Parrafo),Paragrafo elenco,3 Txt tabla,Zerrenda-paragrafoa,Fiche List Paragraph,Dot pt,F5 List Paragraph,List Paragraph1,No Spacing1,List Paragraph Char Char Char,Indicator Text"/>
    <w:basedOn w:val="Normal"/>
    <w:link w:val="ListParagraphChar"/>
    <w:uiPriority w:val="34"/>
    <w:qFormat/>
    <w:pPr>
      <w:spacing w:after="160" w:line="259" w:lineRule="auto"/>
      <w:ind w:left="720"/>
      <w:contextualSpacing/>
    </w:pPr>
  </w:style>
  <w:style w:type="character" w:customStyle="1" w:styleId="ListParagraphChar">
    <w:name w:val="List Paragraph Char"/>
    <w:aliases w:val="numbered list Char,2 Char,OBC Bullet Char,Normal 1 Char,Task Body Char,Viñetas (Inicio Parrafo) Char,Paragrafo elenco Char,3 Txt tabla Char,Zerrenda-paragrafoa Char,Fiche List Paragraph Char,Dot pt Char,F5 List Paragraph Char"/>
    <w:basedOn w:val="DefaultParagraphFont"/>
    <w:link w:val="ListParagraph"/>
    <w:uiPriority w:val="34"/>
    <w:qFormat/>
    <w:locked/>
    <w:rPr>
      <w:lang w:val="bg-BG"/>
    </w:rPr>
  </w:style>
  <w:style w:type="character" w:styleId="IntenseEmphasis">
    <w:name w:val="Intense Emphasis"/>
    <w:basedOn w:val="DefaultParagraphFont"/>
    <w:uiPriority w:val="21"/>
    <w:qFormat/>
    <w:rPr>
      <w:i/>
      <w:iCs/>
      <w:color w:val="4F81BD" w:themeColor="accent1"/>
    </w:rPr>
  </w:style>
  <w:style w:type="paragraph" w:styleId="BalloonText">
    <w:name w:val="Balloon Text"/>
    <w:basedOn w:val="Normal"/>
    <w:link w:val="BalloonTextChar"/>
    <w:uiPriority w:val="99"/>
    <w:semiHidden/>
    <w:unhideWhenUsed/>
    <w:pPr>
      <w:spacing w:after="0" w:line="240" w:lineRule="auto"/>
      <w:jc w:val="both"/>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Bullet">
    <w:name w:val="List Bullet"/>
    <w:basedOn w:val="Normal"/>
    <w:uiPriority w:val="99"/>
    <w:semiHidden/>
    <w:unhideWhenUsed/>
    <w:pPr>
      <w:numPr>
        <w:numId w:val="15"/>
      </w:numPr>
      <w:spacing w:before="120" w:after="120" w:line="240" w:lineRule="auto"/>
      <w:contextualSpacing/>
      <w:jc w:val="both"/>
    </w:pPr>
    <w:rPr>
      <w:rFonts w:ascii="Times New Roman" w:hAnsi="Times New Roman" w:cs="Times New Roman"/>
      <w:sz w:val="24"/>
    </w:rPr>
  </w:style>
  <w:style w:type="paragraph" w:styleId="ListBullet2">
    <w:name w:val="List Bullet 2"/>
    <w:basedOn w:val="Normal"/>
    <w:uiPriority w:val="99"/>
    <w:semiHidden/>
    <w:unhideWhenUsed/>
    <w:pPr>
      <w:numPr>
        <w:numId w:val="16"/>
      </w:numPr>
      <w:spacing w:before="120" w:after="120" w:line="240" w:lineRule="auto"/>
      <w:contextualSpacing/>
      <w:jc w:val="both"/>
    </w:pPr>
    <w:rPr>
      <w:rFonts w:ascii="Times New Roman" w:hAnsi="Times New Roman" w:cs="Times New Roman"/>
      <w:sz w:val="24"/>
    </w:rPr>
  </w:style>
  <w:style w:type="paragraph" w:styleId="ListBullet3">
    <w:name w:val="List Bullet 3"/>
    <w:basedOn w:val="Normal"/>
    <w:uiPriority w:val="99"/>
    <w:semiHidden/>
    <w:unhideWhenUsed/>
    <w:pPr>
      <w:numPr>
        <w:numId w:val="17"/>
      </w:numPr>
      <w:spacing w:before="120" w:after="120" w:line="240" w:lineRule="auto"/>
      <w:contextualSpacing/>
      <w:jc w:val="both"/>
    </w:pPr>
    <w:rPr>
      <w:rFonts w:ascii="Times New Roman" w:hAnsi="Times New Roman" w:cs="Times New Roman"/>
      <w:sz w:val="24"/>
    </w:rPr>
  </w:style>
  <w:style w:type="paragraph" w:styleId="ListBullet4">
    <w:name w:val="List Bullet 4"/>
    <w:basedOn w:val="Normal"/>
    <w:uiPriority w:val="99"/>
    <w:semiHidden/>
    <w:unhideWhenUsed/>
    <w:pPr>
      <w:numPr>
        <w:numId w:val="18"/>
      </w:numPr>
      <w:spacing w:before="120" w:after="120" w:line="240" w:lineRule="auto"/>
      <w:contextualSpacing/>
      <w:jc w:val="both"/>
    </w:pPr>
    <w:rPr>
      <w:rFonts w:ascii="Times New Roman" w:hAnsi="Times New Roman" w:cs="Times New Roman"/>
      <w:sz w:val="24"/>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Bullet1Char">
    <w:name w:val="Bullet 1 Char"/>
    <w:basedOn w:val="DefaultParagraphFont"/>
    <w:link w:val="Bullet1"/>
    <w:rPr>
      <w:rFonts w:ascii="Times New Roman" w:hAnsi="Times New Roman" w:cs="Times New Roman"/>
      <w:sz w:val="24"/>
    </w:rPr>
  </w:style>
  <w:style w:type="paragraph" w:customStyle="1" w:styleId="bullet2">
    <w:name w:val="bullet 2"/>
    <w:basedOn w:val="Normal"/>
    <w:link w:val="bullet2Char"/>
    <w:qFormat/>
    <w:pPr>
      <w:numPr>
        <w:ilvl w:val="1"/>
        <w:numId w:val="22"/>
      </w:numPr>
      <w:spacing w:before="120" w:after="120" w:line="240" w:lineRule="auto"/>
    </w:pPr>
    <w:rPr>
      <w:rFonts w:eastAsia="Arial" w:cstheme="minorHAnsi"/>
      <w:color w:val="000000" w:themeColor="text1"/>
      <w:sz w:val="24"/>
      <w:szCs w:val="24"/>
    </w:rPr>
  </w:style>
  <w:style w:type="character" w:customStyle="1" w:styleId="bullet2Char">
    <w:name w:val="bullet 2 Char"/>
    <w:basedOn w:val="DefaultParagraphFont"/>
    <w:link w:val="bullet2"/>
    <w:rPr>
      <w:rFonts w:eastAsia="Arial" w:cstheme="minorHAnsi"/>
      <w:color w:val="000000" w:themeColor="text1"/>
      <w:sz w:val="24"/>
      <w:szCs w:val="24"/>
      <w:lang w:val="bg-BG"/>
    </w:rPr>
  </w:style>
  <w:style w:type="character" w:styleId="Hyperlink">
    <w:name w:val="Hyperlink"/>
    <w:basedOn w:val="DefaultParagraphFont"/>
    <w:uiPriority w:val="99"/>
    <w:unhideWhenUsed/>
    <w:rPr>
      <w:color w:val="0563C1"/>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eop">
    <w:name w:val="eop"/>
    <w:basedOn w:val="DefaultParagraphFont"/>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Titreobjet">
    <w:name w:val="Titre objet"/>
    <w:basedOn w:val="Normal"/>
    <w:next w:val="IntrtEEE"/>
    <w:pPr>
      <w:spacing w:before="360" w:after="360" w:line="240" w:lineRule="auto"/>
      <w:jc w:val="center"/>
    </w:pPr>
    <w:rPr>
      <w:rFonts w:ascii="Times New Roman" w:hAnsi="Times New Roman" w:cs="Times New Roman"/>
      <w:b/>
      <w:sz w:val="24"/>
    </w:rPr>
  </w:style>
  <w:style w:type="paragraph" w:customStyle="1" w:styleId="TitreobjetPagedecouverture">
    <w:name w:val="Titre objet (Page de couverture)"/>
    <w:basedOn w:val="Titreobjet"/>
    <w:next w:val="IntrtEEEPagedecouverture"/>
  </w:style>
  <w:style w:type="paragraph" w:customStyle="1" w:styleId="FooterCoverPage">
    <w:name w:val="Footer Cover Page"/>
    <w:basedOn w:val="Normal"/>
    <w:link w:val="FooterCoverPageChar"/>
    <w:pPr>
      <w:keepNext/>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keepNext/>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urier New" w:eastAsia="Times New Roman" w:hAnsi="Courier New" w:cs="Courier New"/>
      <w:sz w:val="20"/>
      <w:szCs w:val="20"/>
      <w:lang w:val="bg-BG"/>
    </w:rPr>
  </w:style>
  <w:style w:type="character" w:customStyle="1" w:styleId="y2iqfc">
    <w:name w:val="y2iqfc"/>
    <w:basedOn w:val="DefaultParagraphFont"/>
  </w:style>
  <w:style w:type="paragraph" w:styleId="ListNumber">
    <w:name w:val="List Number"/>
    <w:basedOn w:val="Normal"/>
    <w:uiPriority w:val="99"/>
    <w:semiHidden/>
    <w:unhideWhenUsed/>
    <w:pPr>
      <w:numPr>
        <w:numId w:val="148"/>
      </w:numPr>
      <w:spacing w:before="120" w:after="120" w:line="240" w:lineRule="auto"/>
      <w:contextualSpacing/>
      <w:jc w:val="both"/>
    </w:pPr>
    <w:rPr>
      <w:rFonts w:ascii="Times New Roman" w:hAnsi="Times New Roman" w:cs="Times New Roman"/>
      <w:sz w:val="24"/>
    </w:rPr>
  </w:style>
  <w:style w:type="character" w:customStyle="1" w:styleId="oj-super">
    <w:name w:val="oj-super"/>
    <w:basedOn w:val="DefaultParagraphFont"/>
  </w:style>
  <w:style w:type="paragraph" w:customStyle="1" w:styleId="xmsonormal">
    <w:name w:val="x_msonormal"/>
    <w:basedOn w:val="Normal"/>
    <w:pPr>
      <w:spacing w:after="0" w:line="240" w:lineRule="auto"/>
    </w:pPr>
    <w:rPr>
      <w:rFonts w:ascii="Calibri" w:hAnsi="Calibri" w:cs="Calibri"/>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67423">
      <w:bodyDiv w:val="1"/>
      <w:marLeft w:val="0"/>
      <w:marRight w:val="0"/>
      <w:marTop w:val="0"/>
      <w:marBottom w:val="0"/>
      <w:divBdr>
        <w:top w:val="none" w:sz="0" w:space="0" w:color="auto"/>
        <w:left w:val="none" w:sz="0" w:space="0" w:color="auto"/>
        <w:bottom w:val="none" w:sz="0" w:space="0" w:color="auto"/>
        <w:right w:val="none" w:sz="0" w:space="0" w:color="auto"/>
      </w:divBdr>
    </w:div>
    <w:div w:id="264113178">
      <w:bodyDiv w:val="1"/>
      <w:marLeft w:val="0"/>
      <w:marRight w:val="0"/>
      <w:marTop w:val="0"/>
      <w:marBottom w:val="0"/>
      <w:divBdr>
        <w:top w:val="none" w:sz="0" w:space="0" w:color="auto"/>
        <w:left w:val="none" w:sz="0" w:space="0" w:color="auto"/>
        <w:bottom w:val="none" w:sz="0" w:space="0" w:color="auto"/>
        <w:right w:val="none" w:sz="0" w:space="0" w:color="auto"/>
      </w:divBdr>
    </w:div>
    <w:div w:id="276840304">
      <w:bodyDiv w:val="1"/>
      <w:marLeft w:val="0"/>
      <w:marRight w:val="0"/>
      <w:marTop w:val="0"/>
      <w:marBottom w:val="0"/>
      <w:divBdr>
        <w:top w:val="none" w:sz="0" w:space="0" w:color="auto"/>
        <w:left w:val="none" w:sz="0" w:space="0" w:color="auto"/>
        <w:bottom w:val="none" w:sz="0" w:space="0" w:color="auto"/>
        <w:right w:val="none" w:sz="0" w:space="0" w:color="auto"/>
      </w:divBdr>
    </w:div>
    <w:div w:id="443230782">
      <w:bodyDiv w:val="1"/>
      <w:marLeft w:val="0"/>
      <w:marRight w:val="0"/>
      <w:marTop w:val="0"/>
      <w:marBottom w:val="0"/>
      <w:divBdr>
        <w:top w:val="none" w:sz="0" w:space="0" w:color="auto"/>
        <w:left w:val="none" w:sz="0" w:space="0" w:color="auto"/>
        <w:bottom w:val="none" w:sz="0" w:space="0" w:color="auto"/>
        <w:right w:val="none" w:sz="0" w:space="0" w:color="auto"/>
      </w:divBdr>
    </w:div>
    <w:div w:id="454952789">
      <w:bodyDiv w:val="1"/>
      <w:marLeft w:val="0"/>
      <w:marRight w:val="0"/>
      <w:marTop w:val="0"/>
      <w:marBottom w:val="0"/>
      <w:divBdr>
        <w:top w:val="none" w:sz="0" w:space="0" w:color="auto"/>
        <w:left w:val="none" w:sz="0" w:space="0" w:color="auto"/>
        <w:bottom w:val="none" w:sz="0" w:space="0" w:color="auto"/>
        <w:right w:val="none" w:sz="0" w:space="0" w:color="auto"/>
      </w:divBdr>
    </w:div>
    <w:div w:id="467209046">
      <w:bodyDiv w:val="1"/>
      <w:marLeft w:val="0"/>
      <w:marRight w:val="0"/>
      <w:marTop w:val="0"/>
      <w:marBottom w:val="0"/>
      <w:divBdr>
        <w:top w:val="none" w:sz="0" w:space="0" w:color="auto"/>
        <w:left w:val="none" w:sz="0" w:space="0" w:color="auto"/>
        <w:bottom w:val="none" w:sz="0" w:space="0" w:color="auto"/>
        <w:right w:val="none" w:sz="0" w:space="0" w:color="auto"/>
      </w:divBdr>
    </w:div>
    <w:div w:id="679158170">
      <w:bodyDiv w:val="1"/>
      <w:marLeft w:val="0"/>
      <w:marRight w:val="0"/>
      <w:marTop w:val="0"/>
      <w:marBottom w:val="0"/>
      <w:divBdr>
        <w:top w:val="none" w:sz="0" w:space="0" w:color="auto"/>
        <w:left w:val="none" w:sz="0" w:space="0" w:color="auto"/>
        <w:bottom w:val="none" w:sz="0" w:space="0" w:color="auto"/>
        <w:right w:val="none" w:sz="0" w:space="0" w:color="auto"/>
      </w:divBdr>
    </w:div>
    <w:div w:id="717585710">
      <w:bodyDiv w:val="1"/>
      <w:marLeft w:val="0"/>
      <w:marRight w:val="0"/>
      <w:marTop w:val="0"/>
      <w:marBottom w:val="0"/>
      <w:divBdr>
        <w:top w:val="none" w:sz="0" w:space="0" w:color="auto"/>
        <w:left w:val="none" w:sz="0" w:space="0" w:color="auto"/>
        <w:bottom w:val="none" w:sz="0" w:space="0" w:color="auto"/>
        <w:right w:val="none" w:sz="0" w:space="0" w:color="auto"/>
      </w:divBdr>
    </w:div>
    <w:div w:id="751897515">
      <w:bodyDiv w:val="1"/>
      <w:marLeft w:val="0"/>
      <w:marRight w:val="0"/>
      <w:marTop w:val="0"/>
      <w:marBottom w:val="0"/>
      <w:divBdr>
        <w:top w:val="none" w:sz="0" w:space="0" w:color="auto"/>
        <w:left w:val="none" w:sz="0" w:space="0" w:color="auto"/>
        <w:bottom w:val="none" w:sz="0" w:space="0" w:color="auto"/>
        <w:right w:val="none" w:sz="0" w:space="0" w:color="auto"/>
      </w:divBdr>
    </w:div>
    <w:div w:id="864750509">
      <w:bodyDiv w:val="1"/>
      <w:marLeft w:val="0"/>
      <w:marRight w:val="0"/>
      <w:marTop w:val="0"/>
      <w:marBottom w:val="0"/>
      <w:divBdr>
        <w:top w:val="none" w:sz="0" w:space="0" w:color="auto"/>
        <w:left w:val="none" w:sz="0" w:space="0" w:color="auto"/>
        <w:bottom w:val="none" w:sz="0" w:space="0" w:color="auto"/>
        <w:right w:val="none" w:sz="0" w:space="0" w:color="auto"/>
      </w:divBdr>
    </w:div>
    <w:div w:id="898634094">
      <w:bodyDiv w:val="1"/>
      <w:marLeft w:val="0"/>
      <w:marRight w:val="0"/>
      <w:marTop w:val="0"/>
      <w:marBottom w:val="0"/>
      <w:divBdr>
        <w:top w:val="none" w:sz="0" w:space="0" w:color="auto"/>
        <w:left w:val="none" w:sz="0" w:space="0" w:color="auto"/>
        <w:bottom w:val="none" w:sz="0" w:space="0" w:color="auto"/>
        <w:right w:val="none" w:sz="0" w:space="0" w:color="auto"/>
      </w:divBdr>
    </w:div>
    <w:div w:id="931088145">
      <w:bodyDiv w:val="1"/>
      <w:marLeft w:val="0"/>
      <w:marRight w:val="0"/>
      <w:marTop w:val="0"/>
      <w:marBottom w:val="0"/>
      <w:divBdr>
        <w:top w:val="none" w:sz="0" w:space="0" w:color="auto"/>
        <w:left w:val="none" w:sz="0" w:space="0" w:color="auto"/>
        <w:bottom w:val="none" w:sz="0" w:space="0" w:color="auto"/>
        <w:right w:val="none" w:sz="0" w:space="0" w:color="auto"/>
      </w:divBdr>
    </w:div>
    <w:div w:id="988555034">
      <w:bodyDiv w:val="1"/>
      <w:marLeft w:val="0"/>
      <w:marRight w:val="0"/>
      <w:marTop w:val="0"/>
      <w:marBottom w:val="0"/>
      <w:divBdr>
        <w:top w:val="none" w:sz="0" w:space="0" w:color="auto"/>
        <w:left w:val="none" w:sz="0" w:space="0" w:color="auto"/>
        <w:bottom w:val="none" w:sz="0" w:space="0" w:color="auto"/>
        <w:right w:val="none" w:sz="0" w:space="0" w:color="auto"/>
      </w:divBdr>
    </w:div>
    <w:div w:id="1069619329">
      <w:bodyDiv w:val="1"/>
      <w:marLeft w:val="0"/>
      <w:marRight w:val="0"/>
      <w:marTop w:val="0"/>
      <w:marBottom w:val="0"/>
      <w:divBdr>
        <w:top w:val="none" w:sz="0" w:space="0" w:color="auto"/>
        <w:left w:val="none" w:sz="0" w:space="0" w:color="auto"/>
        <w:bottom w:val="none" w:sz="0" w:space="0" w:color="auto"/>
        <w:right w:val="none" w:sz="0" w:space="0" w:color="auto"/>
      </w:divBdr>
    </w:div>
    <w:div w:id="1102842384">
      <w:bodyDiv w:val="1"/>
      <w:marLeft w:val="0"/>
      <w:marRight w:val="0"/>
      <w:marTop w:val="0"/>
      <w:marBottom w:val="0"/>
      <w:divBdr>
        <w:top w:val="none" w:sz="0" w:space="0" w:color="auto"/>
        <w:left w:val="none" w:sz="0" w:space="0" w:color="auto"/>
        <w:bottom w:val="none" w:sz="0" w:space="0" w:color="auto"/>
        <w:right w:val="none" w:sz="0" w:space="0" w:color="auto"/>
      </w:divBdr>
    </w:div>
    <w:div w:id="1164247691">
      <w:bodyDiv w:val="1"/>
      <w:marLeft w:val="0"/>
      <w:marRight w:val="0"/>
      <w:marTop w:val="0"/>
      <w:marBottom w:val="0"/>
      <w:divBdr>
        <w:top w:val="none" w:sz="0" w:space="0" w:color="auto"/>
        <w:left w:val="none" w:sz="0" w:space="0" w:color="auto"/>
        <w:bottom w:val="none" w:sz="0" w:space="0" w:color="auto"/>
        <w:right w:val="none" w:sz="0" w:space="0" w:color="auto"/>
      </w:divBdr>
    </w:div>
    <w:div w:id="1173255207">
      <w:bodyDiv w:val="1"/>
      <w:marLeft w:val="0"/>
      <w:marRight w:val="0"/>
      <w:marTop w:val="0"/>
      <w:marBottom w:val="0"/>
      <w:divBdr>
        <w:top w:val="none" w:sz="0" w:space="0" w:color="auto"/>
        <w:left w:val="none" w:sz="0" w:space="0" w:color="auto"/>
        <w:bottom w:val="none" w:sz="0" w:space="0" w:color="auto"/>
        <w:right w:val="none" w:sz="0" w:space="0" w:color="auto"/>
      </w:divBdr>
    </w:div>
    <w:div w:id="1329480903">
      <w:bodyDiv w:val="1"/>
      <w:marLeft w:val="0"/>
      <w:marRight w:val="0"/>
      <w:marTop w:val="0"/>
      <w:marBottom w:val="0"/>
      <w:divBdr>
        <w:top w:val="none" w:sz="0" w:space="0" w:color="auto"/>
        <w:left w:val="none" w:sz="0" w:space="0" w:color="auto"/>
        <w:bottom w:val="none" w:sz="0" w:space="0" w:color="auto"/>
        <w:right w:val="none" w:sz="0" w:space="0" w:color="auto"/>
      </w:divBdr>
    </w:div>
    <w:div w:id="1362559755">
      <w:bodyDiv w:val="1"/>
      <w:marLeft w:val="0"/>
      <w:marRight w:val="0"/>
      <w:marTop w:val="0"/>
      <w:marBottom w:val="0"/>
      <w:divBdr>
        <w:top w:val="none" w:sz="0" w:space="0" w:color="auto"/>
        <w:left w:val="none" w:sz="0" w:space="0" w:color="auto"/>
        <w:bottom w:val="none" w:sz="0" w:space="0" w:color="auto"/>
        <w:right w:val="none" w:sz="0" w:space="0" w:color="auto"/>
      </w:divBdr>
    </w:div>
    <w:div w:id="1377312750">
      <w:bodyDiv w:val="1"/>
      <w:marLeft w:val="0"/>
      <w:marRight w:val="0"/>
      <w:marTop w:val="0"/>
      <w:marBottom w:val="0"/>
      <w:divBdr>
        <w:top w:val="none" w:sz="0" w:space="0" w:color="auto"/>
        <w:left w:val="none" w:sz="0" w:space="0" w:color="auto"/>
        <w:bottom w:val="none" w:sz="0" w:space="0" w:color="auto"/>
        <w:right w:val="none" w:sz="0" w:space="0" w:color="auto"/>
      </w:divBdr>
    </w:div>
    <w:div w:id="1392579075">
      <w:bodyDiv w:val="1"/>
      <w:marLeft w:val="0"/>
      <w:marRight w:val="0"/>
      <w:marTop w:val="0"/>
      <w:marBottom w:val="0"/>
      <w:divBdr>
        <w:top w:val="none" w:sz="0" w:space="0" w:color="auto"/>
        <w:left w:val="none" w:sz="0" w:space="0" w:color="auto"/>
        <w:bottom w:val="none" w:sz="0" w:space="0" w:color="auto"/>
        <w:right w:val="none" w:sz="0" w:space="0" w:color="auto"/>
      </w:divBdr>
    </w:div>
    <w:div w:id="1406686731">
      <w:bodyDiv w:val="1"/>
      <w:marLeft w:val="0"/>
      <w:marRight w:val="0"/>
      <w:marTop w:val="0"/>
      <w:marBottom w:val="0"/>
      <w:divBdr>
        <w:top w:val="none" w:sz="0" w:space="0" w:color="auto"/>
        <w:left w:val="none" w:sz="0" w:space="0" w:color="auto"/>
        <w:bottom w:val="none" w:sz="0" w:space="0" w:color="auto"/>
        <w:right w:val="none" w:sz="0" w:space="0" w:color="auto"/>
      </w:divBdr>
    </w:div>
    <w:div w:id="1463035405">
      <w:bodyDiv w:val="1"/>
      <w:marLeft w:val="0"/>
      <w:marRight w:val="0"/>
      <w:marTop w:val="0"/>
      <w:marBottom w:val="0"/>
      <w:divBdr>
        <w:top w:val="none" w:sz="0" w:space="0" w:color="auto"/>
        <w:left w:val="none" w:sz="0" w:space="0" w:color="auto"/>
        <w:bottom w:val="none" w:sz="0" w:space="0" w:color="auto"/>
        <w:right w:val="none" w:sz="0" w:space="0" w:color="auto"/>
      </w:divBdr>
    </w:div>
    <w:div w:id="1648590147">
      <w:bodyDiv w:val="1"/>
      <w:marLeft w:val="0"/>
      <w:marRight w:val="0"/>
      <w:marTop w:val="0"/>
      <w:marBottom w:val="0"/>
      <w:divBdr>
        <w:top w:val="none" w:sz="0" w:space="0" w:color="auto"/>
        <w:left w:val="none" w:sz="0" w:space="0" w:color="auto"/>
        <w:bottom w:val="none" w:sz="0" w:space="0" w:color="auto"/>
        <w:right w:val="none" w:sz="0" w:space="0" w:color="auto"/>
      </w:divBdr>
    </w:div>
    <w:div w:id="1814708925">
      <w:bodyDiv w:val="1"/>
      <w:marLeft w:val="0"/>
      <w:marRight w:val="0"/>
      <w:marTop w:val="0"/>
      <w:marBottom w:val="0"/>
      <w:divBdr>
        <w:top w:val="none" w:sz="0" w:space="0" w:color="auto"/>
        <w:left w:val="none" w:sz="0" w:space="0" w:color="auto"/>
        <w:bottom w:val="none" w:sz="0" w:space="0" w:color="auto"/>
        <w:right w:val="none" w:sz="0" w:space="0" w:color="auto"/>
      </w:divBdr>
    </w:div>
    <w:div w:id="1853957364">
      <w:bodyDiv w:val="1"/>
      <w:marLeft w:val="0"/>
      <w:marRight w:val="0"/>
      <w:marTop w:val="0"/>
      <w:marBottom w:val="0"/>
      <w:divBdr>
        <w:top w:val="none" w:sz="0" w:space="0" w:color="auto"/>
        <w:left w:val="none" w:sz="0" w:space="0" w:color="auto"/>
        <w:bottom w:val="none" w:sz="0" w:space="0" w:color="auto"/>
        <w:right w:val="none" w:sz="0" w:space="0" w:color="auto"/>
      </w:divBdr>
    </w:div>
    <w:div w:id="1904634433">
      <w:bodyDiv w:val="1"/>
      <w:marLeft w:val="0"/>
      <w:marRight w:val="0"/>
      <w:marTop w:val="0"/>
      <w:marBottom w:val="0"/>
      <w:divBdr>
        <w:top w:val="none" w:sz="0" w:space="0" w:color="auto"/>
        <w:left w:val="none" w:sz="0" w:space="0" w:color="auto"/>
        <w:bottom w:val="none" w:sz="0" w:space="0" w:color="auto"/>
        <w:right w:val="none" w:sz="0" w:space="0" w:color="auto"/>
      </w:divBdr>
    </w:div>
    <w:div w:id="1925989349">
      <w:bodyDiv w:val="1"/>
      <w:marLeft w:val="0"/>
      <w:marRight w:val="0"/>
      <w:marTop w:val="0"/>
      <w:marBottom w:val="0"/>
      <w:divBdr>
        <w:top w:val="none" w:sz="0" w:space="0" w:color="auto"/>
        <w:left w:val="none" w:sz="0" w:space="0" w:color="auto"/>
        <w:bottom w:val="none" w:sz="0" w:space="0" w:color="auto"/>
        <w:right w:val="none" w:sz="0" w:space="0" w:color="auto"/>
      </w:divBdr>
    </w:div>
    <w:div w:id="1950358844">
      <w:bodyDiv w:val="1"/>
      <w:marLeft w:val="0"/>
      <w:marRight w:val="0"/>
      <w:marTop w:val="0"/>
      <w:marBottom w:val="0"/>
      <w:divBdr>
        <w:top w:val="none" w:sz="0" w:space="0" w:color="auto"/>
        <w:left w:val="none" w:sz="0" w:space="0" w:color="auto"/>
        <w:bottom w:val="none" w:sz="0" w:space="0" w:color="auto"/>
        <w:right w:val="none" w:sz="0" w:space="0" w:color="auto"/>
      </w:divBdr>
    </w:div>
    <w:div w:id="2049910264">
      <w:bodyDiv w:val="1"/>
      <w:marLeft w:val="0"/>
      <w:marRight w:val="0"/>
      <w:marTop w:val="0"/>
      <w:marBottom w:val="0"/>
      <w:divBdr>
        <w:top w:val="none" w:sz="0" w:space="0" w:color="auto"/>
        <w:left w:val="none" w:sz="0" w:space="0" w:color="auto"/>
        <w:bottom w:val="none" w:sz="0" w:space="0" w:color="auto"/>
        <w:right w:val="none" w:sz="0" w:space="0" w:color="auto"/>
      </w:divBdr>
    </w:div>
    <w:div w:id="2056658042">
      <w:bodyDiv w:val="1"/>
      <w:marLeft w:val="0"/>
      <w:marRight w:val="0"/>
      <w:marTop w:val="0"/>
      <w:marBottom w:val="0"/>
      <w:divBdr>
        <w:top w:val="none" w:sz="0" w:space="0" w:color="auto"/>
        <w:left w:val="none" w:sz="0" w:space="0" w:color="auto"/>
        <w:bottom w:val="none" w:sz="0" w:space="0" w:color="auto"/>
        <w:right w:val="none" w:sz="0" w:space="0" w:color="auto"/>
      </w:divBdr>
    </w:div>
    <w:div w:id="2113743474">
      <w:bodyDiv w:val="1"/>
      <w:marLeft w:val="0"/>
      <w:marRight w:val="0"/>
      <w:marTop w:val="0"/>
      <w:marBottom w:val="0"/>
      <w:divBdr>
        <w:top w:val="none" w:sz="0" w:space="0" w:color="auto"/>
        <w:left w:val="none" w:sz="0" w:space="0" w:color="auto"/>
        <w:bottom w:val="none" w:sz="0" w:space="0" w:color="auto"/>
        <w:right w:val="none" w:sz="0" w:space="0" w:color="auto"/>
      </w:divBdr>
      <w:divsChild>
        <w:div w:id="875703359">
          <w:marLeft w:val="0"/>
          <w:marRight w:val="0"/>
          <w:marTop w:val="0"/>
          <w:marBottom w:val="0"/>
          <w:divBdr>
            <w:top w:val="none" w:sz="0" w:space="0" w:color="auto"/>
            <w:left w:val="none" w:sz="0" w:space="0" w:color="auto"/>
            <w:bottom w:val="none" w:sz="0" w:space="0" w:color="auto"/>
            <w:right w:val="none" w:sz="0" w:space="0" w:color="auto"/>
          </w:divBdr>
          <w:divsChild>
            <w:div w:id="8842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057185">
      <w:bodyDiv w:val="1"/>
      <w:marLeft w:val="0"/>
      <w:marRight w:val="0"/>
      <w:marTop w:val="0"/>
      <w:marBottom w:val="0"/>
      <w:divBdr>
        <w:top w:val="none" w:sz="0" w:space="0" w:color="auto"/>
        <w:left w:val="none" w:sz="0" w:space="0" w:color="auto"/>
        <w:bottom w:val="none" w:sz="0" w:space="0" w:color="auto"/>
        <w:right w:val="none" w:sz="0" w:space="0" w:color="auto"/>
      </w:divBdr>
    </w:div>
    <w:div w:id="2137212541">
      <w:bodyDiv w:val="1"/>
      <w:marLeft w:val="0"/>
      <w:marRight w:val="0"/>
      <w:marTop w:val="0"/>
      <w:marBottom w:val="0"/>
      <w:divBdr>
        <w:top w:val="none" w:sz="0" w:space="0" w:color="auto"/>
        <w:left w:val="none" w:sz="0" w:space="0" w:color="auto"/>
        <w:bottom w:val="none" w:sz="0" w:space="0" w:color="auto"/>
        <w:right w:val="none" w:sz="0" w:space="0" w:color="auto"/>
      </w:divBdr>
    </w:div>
    <w:div w:id="213937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footer" Target="footer52.xml"/><Relationship Id="rId299" Type="http://schemas.openxmlformats.org/officeDocument/2006/relationships/header" Target="header144.xml"/><Relationship Id="rId21" Type="http://schemas.openxmlformats.org/officeDocument/2006/relationships/footer" Target="footer4.xml"/><Relationship Id="rId42" Type="http://schemas.openxmlformats.org/officeDocument/2006/relationships/footer" Target="footer15.xml"/><Relationship Id="rId63" Type="http://schemas.openxmlformats.org/officeDocument/2006/relationships/footer" Target="footer25.xml"/><Relationship Id="rId84" Type="http://schemas.openxmlformats.org/officeDocument/2006/relationships/footer" Target="footer36.xml"/><Relationship Id="rId138" Type="http://schemas.openxmlformats.org/officeDocument/2006/relationships/footer" Target="footer63.xml"/><Relationship Id="rId159" Type="http://schemas.openxmlformats.org/officeDocument/2006/relationships/footer" Target="footer73.xml"/><Relationship Id="rId324" Type="http://schemas.openxmlformats.org/officeDocument/2006/relationships/footer" Target="footer156.xml"/><Relationship Id="rId345" Type="http://schemas.openxmlformats.org/officeDocument/2006/relationships/footer" Target="footer166.xml"/><Relationship Id="rId366" Type="http://schemas.openxmlformats.org/officeDocument/2006/relationships/footer" Target="footer177.xml"/><Relationship Id="rId170" Type="http://schemas.openxmlformats.org/officeDocument/2006/relationships/header" Target="header80.xml"/><Relationship Id="rId191" Type="http://schemas.openxmlformats.org/officeDocument/2006/relationships/header" Target="header90.xml"/><Relationship Id="rId205" Type="http://schemas.openxmlformats.org/officeDocument/2006/relationships/header" Target="header97.xml"/><Relationship Id="rId226" Type="http://schemas.openxmlformats.org/officeDocument/2006/relationships/footer" Target="footer107.xml"/><Relationship Id="rId247" Type="http://schemas.openxmlformats.org/officeDocument/2006/relationships/header" Target="header118.xml"/><Relationship Id="rId107" Type="http://schemas.openxmlformats.org/officeDocument/2006/relationships/header" Target="header48.xml"/><Relationship Id="rId268" Type="http://schemas.openxmlformats.org/officeDocument/2006/relationships/footer" Target="footer128.xml"/><Relationship Id="rId289" Type="http://schemas.openxmlformats.org/officeDocument/2006/relationships/header" Target="header139.xml"/><Relationship Id="rId11" Type="http://schemas.openxmlformats.org/officeDocument/2006/relationships/endnotes" Target="endnotes.xml"/><Relationship Id="rId32" Type="http://schemas.openxmlformats.org/officeDocument/2006/relationships/header" Target="header11.xml"/><Relationship Id="rId53" Type="http://schemas.openxmlformats.org/officeDocument/2006/relationships/header" Target="header21.xml"/><Relationship Id="rId74" Type="http://schemas.openxmlformats.org/officeDocument/2006/relationships/header" Target="header32.xml"/><Relationship Id="rId128" Type="http://schemas.openxmlformats.org/officeDocument/2006/relationships/header" Target="header59.xml"/><Relationship Id="rId149" Type="http://schemas.openxmlformats.org/officeDocument/2006/relationships/header" Target="header69.xml"/><Relationship Id="rId314" Type="http://schemas.openxmlformats.org/officeDocument/2006/relationships/header" Target="header152.xml"/><Relationship Id="rId335" Type="http://schemas.openxmlformats.org/officeDocument/2006/relationships/header" Target="header162.xml"/><Relationship Id="rId356" Type="http://schemas.openxmlformats.org/officeDocument/2006/relationships/header" Target="header173.xml"/><Relationship Id="rId377" Type="http://schemas.openxmlformats.org/officeDocument/2006/relationships/header" Target="header183.xml"/><Relationship Id="rId5" Type="http://schemas.openxmlformats.org/officeDocument/2006/relationships/numbering" Target="numbering.xml"/><Relationship Id="rId95" Type="http://schemas.openxmlformats.org/officeDocument/2006/relationships/header" Target="header42.xml"/><Relationship Id="rId160" Type="http://schemas.openxmlformats.org/officeDocument/2006/relationships/footer" Target="footer74.xml"/><Relationship Id="rId181" Type="http://schemas.openxmlformats.org/officeDocument/2006/relationships/header" Target="header85.xml"/><Relationship Id="rId216" Type="http://schemas.openxmlformats.org/officeDocument/2006/relationships/footer" Target="footer102.xml"/><Relationship Id="rId237" Type="http://schemas.openxmlformats.org/officeDocument/2006/relationships/footer" Target="footer112.xml"/><Relationship Id="rId258" Type="http://schemas.openxmlformats.org/officeDocument/2006/relationships/footer" Target="footer123.xml"/><Relationship Id="rId279" Type="http://schemas.openxmlformats.org/officeDocument/2006/relationships/footer" Target="footer133.xml"/><Relationship Id="rId22" Type="http://schemas.openxmlformats.org/officeDocument/2006/relationships/footer" Target="footer5.xml"/><Relationship Id="rId43" Type="http://schemas.openxmlformats.org/officeDocument/2006/relationships/header" Target="header16.xml"/><Relationship Id="rId64" Type="http://schemas.openxmlformats.org/officeDocument/2006/relationships/footer" Target="footer26.xml"/><Relationship Id="rId118" Type="http://schemas.openxmlformats.org/officeDocument/2006/relationships/footer" Target="footer53.xml"/><Relationship Id="rId139" Type="http://schemas.openxmlformats.org/officeDocument/2006/relationships/header" Target="header64.xml"/><Relationship Id="rId290" Type="http://schemas.openxmlformats.org/officeDocument/2006/relationships/header" Target="header140.xml"/><Relationship Id="rId304" Type="http://schemas.openxmlformats.org/officeDocument/2006/relationships/footer" Target="footer146.xml"/><Relationship Id="rId325" Type="http://schemas.openxmlformats.org/officeDocument/2006/relationships/header" Target="header157.xml"/><Relationship Id="rId346" Type="http://schemas.openxmlformats.org/officeDocument/2006/relationships/footer" Target="footer167.xml"/><Relationship Id="rId367" Type="http://schemas.openxmlformats.org/officeDocument/2006/relationships/header" Target="header178.xml"/><Relationship Id="rId85" Type="http://schemas.openxmlformats.org/officeDocument/2006/relationships/header" Target="header37.xml"/><Relationship Id="rId150" Type="http://schemas.openxmlformats.org/officeDocument/2006/relationships/footer" Target="footer69.xml"/><Relationship Id="rId171" Type="http://schemas.openxmlformats.org/officeDocument/2006/relationships/footer" Target="footer79.xml"/><Relationship Id="rId192" Type="http://schemas.openxmlformats.org/officeDocument/2006/relationships/footer" Target="footer90.xml"/><Relationship Id="rId206" Type="http://schemas.openxmlformats.org/officeDocument/2006/relationships/header" Target="header98.xml"/><Relationship Id="rId227" Type="http://schemas.openxmlformats.org/officeDocument/2006/relationships/header" Target="header108.xml"/><Relationship Id="rId248" Type="http://schemas.openxmlformats.org/officeDocument/2006/relationships/header" Target="header119.xml"/><Relationship Id="rId269" Type="http://schemas.openxmlformats.org/officeDocument/2006/relationships/header" Target="header129.xml"/><Relationship Id="rId12" Type="http://schemas.openxmlformats.org/officeDocument/2006/relationships/image" Target="media/image1.emf"/><Relationship Id="rId33" Type="http://schemas.openxmlformats.org/officeDocument/2006/relationships/footer" Target="footer10.xml"/><Relationship Id="rId108" Type="http://schemas.openxmlformats.org/officeDocument/2006/relationships/footer" Target="footer48.xml"/><Relationship Id="rId129" Type="http://schemas.openxmlformats.org/officeDocument/2006/relationships/footer" Target="footer58.xml"/><Relationship Id="rId280" Type="http://schemas.openxmlformats.org/officeDocument/2006/relationships/footer" Target="footer134.xml"/><Relationship Id="rId315" Type="http://schemas.openxmlformats.org/officeDocument/2006/relationships/footer" Target="footer151.xml"/><Relationship Id="rId336" Type="http://schemas.openxmlformats.org/officeDocument/2006/relationships/footer" Target="footer162.xml"/><Relationship Id="rId357" Type="http://schemas.openxmlformats.org/officeDocument/2006/relationships/footer" Target="footer172.xml"/><Relationship Id="rId54" Type="http://schemas.openxmlformats.org/officeDocument/2006/relationships/footer" Target="footer21.xml"/><Relationship Id="rId75" Type="http://schemas.openxmlformats.org/officeDocument/2006/relationships/footer" Target="footer31.xml"/><Relationship Id="rId96" Type="http://schemas.openxmlformats.org/officeDocument/2006/relationships/footer" Target="footer42.xml"/><Relationship Id="rId140" Type="http://schemas.openxmlformats.org/officeDocument/2006/relationships/header" Target="header65.xml"/><Relationship Id="rId161" Type="http://schemas.openxmlformats.org/officeDocument/2006/relationships/header" Target="header75.xml"/><Relationship Id="rId182" Type="http://schemas.openxmlformats.org/officeDocument/2006/relationships/header" Target="header86.xml"/><Relationship Id="rId217" Type="http://schemas.openxmlformats.org/officeDocument/2006/relationships/header" Target="header103.xml"/><Relationship Id="rId378" Type="http://schemas.openxmlformats.org/officeDocument/2006/relationships/footer" Target="footer183.xml"/><Relationship Id="rId6" Type="http://schemas.openxmlformats.org/officeDocument/2006/relationships/styles" Target="styles.xml"/><Relationship Id="rId238" Type="http://schemas.openxmlformats.org/officeDocument/2006/relationships/footer" Target="footer113.xml"/><Relationship Id="rId259" Type="http://schemas.openxmlformats.org/officeDocument/2006/relationships/header" Target="header124.xml"/><Relationship Id="rId23" Type="http://schemas.openxmlformats.org/officeDocument/2006/relationships/header" Target="header6.xml"/><Relationship Id="rId119" Type="http://schemas.openxmlformats.org/officeDocument/2006/relationships/header" Target="header54.xml"/><Relationship Id="rId270" Type="http://schemas.openxmlformats.org/officeDocument/2006/relationships/footer" Target="footer129.xml"/><Relationship Id="rId291" Type="http://schemas.openxmlformats.org/officeDocument/2006/relationships/footer" Target="footer139.xml"/><Relationship Id="rId305" Type="http://schemas.openxmlformats.org/officeDocument/2006/relationships/header" Target="header147.xml"/><Relationship Id="rId326" Type="http://schemas.openxmlformats.org/officeDocument/2006/relationships/header" Target="header158.xml"/><Relationship Id="rId347" Type="http://schemas.openxmlformats.org/officeDocument/2006/relationships/header" Target="header168.xml"/><Relationship Id="rId44" Type="http://schemas.openxmlformats.org/officeDocument/2006/relationships/header" Target="header17.xml"/><Relationship Id="rId65" Type="http://schemas.openxmlformats.org/officeDocument/2006/relationships/header" Target="header27.xml"/><Relationship Id="rId86" Type="http://schemas.openxmlformats.org/officeDocument/2006/relationships/header" Target="header38.xml"/><Relationship Id="rId130" Type="http://schemas.openxmlformats.org/officeDocument/2006/relationships/footer" Target="footer59.xml"/><Relationship Id="rId151" Type="http://schemas.openxmlformats.org/officeDocument/2006/relationships/header" Target="header70.xml"/><Relationship Id="rId368" Type="http://schemas.openxmlformats.org/officeDocument/2006/relationships/header" Target="header179.xml"/><Relationship Id="rId172" Type="http://schemas.openxmlformats.org/officeDocument/2006/relationships/footer" Target="footer80.xml"/><Relationship Id="rId193" Type="http://schemas.openxmlformats.org/officeDocument/2006/relationships/header" Target="header91.xml"/><Relationship Id="rId207" Type="http://schemas.openxmlformats.org/officeDocument/2006/relationships/footer" Target="footer97.xml"/><Relationship Id="rId228" Type="http://schemas.openxmlformats.org/officeDocument/2006/relationships/footer" Target="footer108.xml"/><Relationship Id="rId249" Type="http://schemas.openxmlformats.org/officeDocument/2006/relationships/footer" Target="footer118.xml"/><Relationship Id="rId13" Type="http://schemas.openxmlformats.org/officeDocument/2006/relationships/header" Target="header1.xml"/><Relationship Id="rId109" Type="http://schemas.openxmlformats.org/officeDocument/2006/relationships/header" Target="header49.xml"/><Relationship Id="rId260" Type="http://schemas.openxmlformats.org/officeDocument/2006/relationships/header" Target="header125.xml"/><Relationship Id="rId281" Type="http://schemas.openxmlformats.org/officeDocument/2006/relationships/header" Target="header135.xml"/><Relationship Id="rId316" Type="http://schemas.openxmlformats.org/officeDocument/2006/relationships/footer" Target="footer152.xml"/><Relationship Id="rId337" Type="http://schemas.openxmlformats.org/officeDocument/2006/relationships/header" Target="header163.xml"/><Relationship Id="rId34" Type="http://schemas.openxmlformats.org/officeDocument/2006/relationships/footer" Target="footer11.xml"/><Relationship Id="rId55" Type="http://schemas.openxmlformats.org/officeDocument/2006/relationships/header" Target="header22.xml"/><Relationship Id="rId76" Type="http://schemas.openxmlformats.org/officeDocument/2006/relationships/footer" Target="footer32.xml"/><Relationship Id="rId97" Type="http://schemas.openxmlformats.org/officeDocument/2006/relationships/header" Target="header43.xml"/><Relationship Id="rId120" Type="http://schemas.openxmlformats.org/officeDocument/2006/relationships/footer" Target="footer54.xml"/><Relationship Id="rId141" Type="http://schemas.openxmlformats.org/officeDocument/2006/relationships/footer" Target="footer64.xml"/><Relationship Id="rId358" Type="http://schemas.openxmlformats.org/officeDocument/2006/relationships/footer" Target="footer173.xml"/><Relationship Id="rId379" Type="http://schemas.openxmlformats.org/officeDocument/2006/relationships/header" Target="header184.xml"/><Relationship Id="rId7" Type="http://schemas.microsoft.com/office/2007/relationships/stylesWithEffects" Target="stylesWithEffects.xml"/><Relationship Id="rId162" Type="http://schemas.openxmlformats.org/officeDocument/2006/relationships/footer" Target="footer75.xml"/><Relationship Id="rId183" Type="http://schemas.openxmlformats.org/officeDocument/2006/relationships/footer" Target="footer85.xml"/><Relationship Id="rId218" Type="http://schemas.openxmlformats.org/officeDocument/2006/relationships/header" Target="header104.xml"/><Relationship Id="rId239" Type="http://schemas.openxmlformats.org/officeDocument/2006/relationships/header" Target="header114.xml"/><Relationship Id="rId250" Type="http://schemas.openxmlformats.org/officeDocument/2006/relationships/footer" Target="footer119.xml"/><Relationship Id="rId271" Type="http://schemas.openxmlformats.org/officeDocument/2006/relationships/header" Target="header130.xml"/><Relationship Id="rId292" Type="http://schemas.openxmlformats.org/officeDocument/2006/relationships/footer" Target="footer140.xml"/><Relationship Id="rId306" Type="http://schemas.openxmlformats.org/officeDocument/2006/relationships/footer" Target="footer147.xml"/><Relationship Id="rId24" Type="http://schemas.openxmlformats.org/officeDocument/2006/relationships/footer" Target="footer6.xml"/><Relationship Id="rId45" Type="http://schemas.openxmlformats.org/officeDocument/2006/relationships/footer" Target="footer16.xml"/><Relationship Id="rId66" Type="http://schemas.openxmlformats.org/officeDocument/2006/relationships/footer" Target="footer27.xml"/><Relationship Id="rId87" Type="http://schemas.openxmlformats.org/officeDocument/2006/relationships/footer" Target="footer37.xml"/><Relationship Id="rId110" Type="http://schemas.openxmlformats.org/officeDocument/2006/relationships/header" Target="header50.xml"/><Relationship Id="rId131" Type="http://schemas.openxmlformats.org/officeDocument/2006/relationships/header" Target="header60.xml"/><Relationship Id="rId327" Type="http://schemas.openxmlformats.org/officeDocument/2006/relationships/footer" Target="footer157.xml"/><Relationship Id="rId348" Type="http://schemas.openxmlformats.org/officeDocument/2006/relationships/footer" Target="footer168.xml"/><Relationship Id="rId369" Type="http://schemas.openxmlformats.org/officeDocument/2006/relationships/footer" Target="footer178.xml"/><Relationship Id="rId152" Type="http://schemas.openxmlformats.org/officeDocument/2006/relationships/header" Target="header71.xml"/><Relationship Id="rId173" Type="http://schemas.openxmlformats.org/officeDocument/2006/relationships/header" Target="header81.xml"/><Relationship Id="rId194" Type="http://schemas.openxmlformats.org/officeDocument/2006/relationships/header" Target="header92.xml"/><Relationship Id="rId208" Type="http://schemas.openxmlformats.org/officeDocument/2006/relationships/footer" Target="footer98.xml"/><Relationship Id="rId229" Type="http://schemas.openxmlformats.org/officeDocument/2006/relationships/header" Target="header109.xml"/><Relationship Id="rId380" Type="http://schemas.openxmlformats.org/officeDocument/2006/relationships/header" Target="header185.xml"/><Relationship Id="rId240" Type="http://schemas.openxmlformats.org/officeDocument/2006/relationships/footer" Target="footer114.xml"/><Relationship Id="rId261" Type="http://schemas.openxmlformats.org/officeDocument/2006/relationships/footer" Target="footer124.xml"/><Relationship Id="rId14" Type="http://schemas.openxmlformats.org/officeDocument/2006/relationships/header" Target="header2.xml"/><Relationship Id="rId35" Type="http://schemas.openxmlformats.org/officeDocument/2006/relationships/header" Target="header12.xml"/><Relationship Id="rId56" Type="http://schemas.openxmlformats.org/officeDocument/2006/relationships/header" Target="header23.xml"/><Relationship Id="rId77" Type="http://schemas.openxmlformats.org/officeDocument/2006/relationships/header" Target="header33.xml"/><Relationship Id="rId100" Type="http://schemas.openxmlformats.org/officeDocument/2006/relationships/footer" Target="footer44.xml"/><Relationship Id="rId282" Type="http://schemas.openxmlformats.org/officeDocument/2006/relationships/footer" Target="footer135.xml"/><Relationship Id="rId317" Type="http://schemas.openxmlformats.org/officeDocument/2006/relationships/header" Target="header153.xml"/><Relationship Id="rId338" Type="http://schemas.openxmlformats.org/officeDocument/2006/relationships/header" Target="header164.xml"/><Relationship Id="rId359" Type="http://schemas.openxmlformats.org/officeDocument/2006/relationships/header" Target="header174.xml"/><Relationship Id="rId8" Type="http://schemas.openxmlformats.org/officeDocument/2006/relationships/settings" Target="settings.xml"/><Relationship Id="rId98" Type="http://schemas.openxmlformats.org/officeDocument/2006/relationships/header" Target="header44.xml"/><Relationship Id="rId121" Type="http://schemas.openxmlformats.org/officeDocument/2006/relationships/header" Target="header55.xml"/><Relationship Id="rId142" Type="http://schemas.openxmlformats.org/officeDocument/2006/relationships/footer" Target="footer65.xml"/><Relationship Id="rId163" Type="http://schemas.openxmlformats.org/officeDocument/2006/relationships/header" Target="header76.xml"/><Relationship Id="rId184" Type="http://schemas.openxmlformats.org/officeDocument/2006/relationships/footer" Target="footer86.xml"/><Relationship Id="rId219" Type="http://schemas.openxmlformats.org/officeDocument/2006/relationships/footer" Target="footer103.xml"/><Relationship Id="rId370" Type="http://schemas.openxmlformats.org/officeDocument/2006/relationships/footer" Target="footer179.xml"/><Relationship Id="rId230" Type="http://schemas.openxmlformats.org/officeDocument/2006/relationships/header" Target="header110.xml"/><Relationship Id="rId251" Type="http://schemas.openxmlformats.org/officeDocument/2006/relationships/header" Target="header120.xml"/><Relationship Id="rId25" Type="http://schemas.openxmlformats.org/officeDocument/2006/relationships/header" Target="header7.xml"/><Relationship Id="rId46" Type="http://schemas.openxmlformats.org/officeDocument/2006/relationships/footer" Target="footer17.xml"/><Relationship Id="rId67" Type="http://schemas.openxmlformats.org/officeDocument/2006/relationships/header" Target="header28.xml"/><Relationship Id="rId272" Type="http://schemas.openxmlformats.org/officeDocument/2006/relationships/header" Target="header131.xml"/><Relationship Id="rId293" Type="http://schemas.openxmlformats.org/officeDocument/2006/relationships/header" Target="header141.xml"/><Relationship Id="rId307" Type="http://schemas.openxmlformats.org/officeDocument/2006/relationships/header" Target="header148.xml"/><Relationship Id="rId328" Type="http://schemas.openxmlformats.org/officeDocument/2006/relationships/footer" Target="footer158.xml"/><Relationship Id="rId349" Type="http://schemas.openxmlformats.org/officeDocument/2006/relationships/header" Target="header169.xml"/><Relationship Id="rId88" Type="http://schemas.openxmlformats.org/officeDocument/2006/relationships/footer" Target="footer38.xml"/><Relationship Id="rId111" Type="http://schemas.openxmlformats.org/officeDocument/2006/relationships/footer" Target="footer49.xml"/><Relationship Id="rId132" Type="http://schemas.openxmlformats.org/officeDocument/2006/relationships/footer" Target="footer60.xml"/><Relationship Id="rId153" Type="http://schemas.openxmlformats.org/officeDocument/2006/relationships/footer" Target="footer70.xml"/><Relationship Id="rId174" Type="http://schemas.openxmlformats.org/officeDocument/2006/relationships/footer" Target="footer81.xml"/><Relationship Id="rId195" Type="http://schemas.openxmlformats.org/officeDocument/2006/relationships/footer" Target="footer91.xml"/><Relationship Id="rId209" Type="http://schemas.openxmlformats.org/officeDocument/2006/relationships/header" Target="header99.xml"/><Relationship Id="rId360" Type="http://schemas.openxmlformats.org/officeDocument/2006/relationships/footer" Target="footer174.xml"/><Relationship Id="rId381" Type="http://schemas.openxmlformats.org/officeDocument/2006/relationships/footer" Target="footer184.xml"/><Relationship Id="rId220" Type="http://schemas.openxmlformats.org/officeDocument/2006/relationships/footer" Target="footer104.xml"/><Relationship Id="rId241" Type="http://schemas.openxmlformats.org/officeDocument/2006/relationships/header" Target="header115.xml"/><Relationship Id="rId15" Type="http://schemas.openxmlformats.org/officeDocument/2006/relationships/footer" Target="footer1.xml"/><Relationship Id="rId36" Type="http://schemas.openxmlformats.org/officeDocument/2006/relationships/footer" Target="footer12.xml"/><Relationship Id="rId57" Type="http://schemas.openxmlformats.org/officeDocument/2006/relationships/footer" Target="footer22.xml"/><Relationship Id="rId262" Type="http://schemas.openxmlformats.org/officeDocument/2006/relationships/footer" Target="footer125.xml"/><Relationship Id="rId283" Type="http://schemas.openxmlformats.org/officeDocument/2006/relationships/header" Target="header136.xml"/><Relationship Id="rId318" Type="http://schemas.openxmlformats.org/officeDocument/2006/relationships/footer" Target="footer153.xml"/><Relationship Id="rId339" Type="http://schemas.openxmlformats.org/officeDocument/2006/relationships/footer" Target="footer163.xml"/><Relationship Id="rId78" Type="http://schemas.openxmlformats.org/officeDocument/2006/relationships/footer" Target="footer33.xml"/><Relationship Id="rId99" Type="http://schemas.openxmlformats.org/officeDocument/2006/relationships/footer" Target="footer43.xml"/><Relationship Id="rId101" Type="http://schemas.openxmlformats.org/officeDocument/2006/relationships/header" Target="header45.xml"/><Relationship Id="rId122" Type="http://schemas.openxmlformats.org/officeDocument/2006/relationships/header" Target="header56.xml"/><Relationship Id="rId143" Type="http://schemas.openxmlformats.org/officeDocument/2006/relationships/header" Target="header66.xml"/><Relationship Id="rId164" Type="http://schemas.openxmlformats.org/officeDocument/2006/relationships/header" Target="header77.xml"/><Relationship Id="rId185" Type="http://schemas.openxmlformats.org/officeDocument/2006/relationships/header" Target="header87.xml"/><Relationship Id="rId350" Type="http://schemas.openxmlformats.org/officeDocument/2006/relationships/header" Target="header170.xml"/><Relationship Id="rId371" Type="http://schemas.openxmlformats.org/officeDocument/2006/relationships/header" Target="header180.xml"/><Relationship Id="rId9" Type="http://schemas.openxmlformats.org/officeDocument/2006/relationships/webSettings" Target="webSettings.xml"/><Relationship Id="rId210" Type="http://schemas.openxmlformats.org/officeDocument/2006/relationships/footer" Target="footer99.xml"/><Relationship Id="rId26" Type="http://schemas.openxmlformats.org/officeDocument/2006/relationships/header" Target="header8.xml"/><Relationship Id="rId231" Type="http://schemas.openxmlformats.org/officeDocument/2006/relationships/footer" Target="footer109.xml"/><Relationship Id="rId252" Type="http://schemas.openxmlformats.org/officeDocument/2006/relationships/footer" Target="footer120.xml"/><Relationship Id="rId273" Type="http://schemas.openxmlformats.org/officeDocument/2006/relationships/footer" Target="footer130.xml"/><Relationship Id="rId294" Type="http://schemas.openxmlformats.org/officeDocument/2006/relationships/footer" Target="footer141.xml"/><Relationship Id="rId308" Type="http://schemas.openxmlformats.org/officeDocument/2006/relationships/header" Target="header149.xml"/><Relationship Id="rId329" Type="http://schemas.openxmlformats.org/officeDocument/2006/relationships/header" Target="header159.xml"/><Relationship Id="rId47" Type="http://schemas.openxmlformats.org/officeDocument/2006/relationships/header" Target="header18.xml"/><Relationship Id="rId68" Type="http://schemas.openxmlformats.org/officeDocument/2006/relationships/header" Target="header29.xml"/><Relationship Id="rId89" Type="http://schemas.openxmlformats.org/officeDocument/2006/relationships/header" Target="header39.xml"/><Relationship Id="rId112" Type="http://schemas.openxmlformats.org/officeDocument/2006/relationships/footer" Target="footer50.xml"/><Relationship Id="rId133" Type="http://schemas.openxmlformats.org/officeDocument/2006/relationships/header" Target="header61.xml"/><Relationship Id="rId154" Type="http://schemas.openxmlformats.org/officeDocument/2006/relationships/footer" Target="footer71.xml"/><Relationship Id="rId175" Type="http://schemas.openxmlformats.org/officeDocument/2006/relationships/header" Target="header82.xml"/><Relationship Id="rId340" Type="http://schemas.openxmlformats.org/officeDocument/2006/relationships/footer" Target="footer164.xml"/><Relationship Id="rId361" Type="http://schemas.openxmlformats.org/officeDocument/2006/relationships/header" Target="header175.xml"/><Relationship Id="rId196" Type="http://schemas.openxmlformats.org/officeDocument/2006/relationships/footer" Target="footer92.xml"/><Relationship Id="rId200" Type="http://schemas.openxmlformats.org/officeDocument/2006/relationships/header" Target="header95.xml"/><Relationship Id="rId382" Type="http://schemas.openxmlformats.org/officeDocument/2006/relationships/footer" Target="footer185.xml"/><Relationship Id="rId16" Type="http://schemas.openxmlformats.org/officeDocument/2006/relationships/footer" Target="footer2.xml"/><Relationship Id="rId221" Type="http://schemas.openxmlformats.org/officeDocument/2006/relationships/header" Target="header105.xml"/><Relationship Id="rId242" Type="http://schemas.openxmlformats.org/officeDocument/2006/relationships/header" Target="header116.xml"/><Relationship Id="rId263" Type="http://schemas.openxmlformats.org/officeDocument/2006/relationships/header" Target="header126.xml"/><Relationship Id="rId284" Type="http://schemas.openxmlformats.org/officeDocument/2006/relationships/header" Target="header137.xml"/><Relationship Id="rId319" Type="http://schemas.openxmlformats.org/officeDocument/2006/relationships/header" Target="header154.xml"/><Relationship Id="rId37" Type="http://schemas.openxmlformats.org/officeDocument/2006/relationships/header" Target="header13.xml"/><Relationship Id="rId58" Type="http://schemas.openxmlformats.org/officeDocument/2006/relationships/footer" Target="footer23.xml"/><Relationship Id="rId79" Type="http://schemas.openxmlformats.org/officeDocument/2006/relationships/header" Target="header34.xml"/><Relationship Id="rId102" Type="http://schemas.openxmlformats.org/officeDocument/2006/relationships/footer" Target="footer45.xml"/><Relationship Id="rId123" Type="http://schemas.openxmlformats.org/officeDocument/2006/relationships/footer" Target="footer55.xml"/><Relationship Id="rId144" Type="http://schemas.openxmlformats.org/officeDocument/2006/relationships/footer" Target="footer66.xml"/><Relationship Id="rId330" Type="http://schemas.openxmlformats.org/officeDocument/2006/relationships/footer" Target="footer159.xml"/><Relationship Id="rId90" Type="http://schemas.openxmlformats.org/officeDocument/2006/relationships/footer" Target="footer39.xml"/><Relationship Id="rId165" Type="http://schemas.openxmlformats.org/officeDocument/2006/relationships/footer" Target="footer76.xml"/><Relationship Id="rId186" Type="http://schemas.openxmlformats.org/officeDocument/2006/relationships/footer" Target="footer87.xml"/><Relationship Id="rId351" Type="http://schemas.openxmlformats.org/officeDocument/2006/relationships/footer" Target="footer169.xml"/><Relationship Id="rId372" Type="http://schemas.openxmlformats.org/officeDocument/2006/relationships/footer" Target="footer180.xml"/><Relationship Id="rId211" Type="http://schemas.openxmlformats.org/officeDocument/2006/relationships/header" Target="header100.xml"/><Relationship Id="rId232" Type="http://schemas.openxmlformats.org/officeDocument/2006/relationships/footer" Target="footer110.xml"/><Relationship Id="rId253" Type="http://schemas.openxmlformats.org/officeDocument/2006/relationships/header" Target="header121.xml"/><Relationship Id="rId274" Type="http://schemas.openxmlformats.org/officeDocument/2006/relationships/footer" Target="footer131.xml"/><Relationship Id="rId295" Type="http://schemas.openxmlformats.org/officeDocument/2006/relationships/header" Target="header142.xml"/><Relationship Id="rId309" Type="http://schemas.openxmlformats.org/officeDocument/2006/relationships/footer" Target="footer148.xml"/><Relationship Id="rId27" Type="http://schemas.openxmlformats.org/officeDocument/2006/relationships/footer" Target="footer7.xml"/><Relationship Id="rId48" Type="http://schemas.openxmlformats.org/officeDocument/2006/relationships/footer" Target="footer18.xml"/><Relationship Id="rId69" Type="http://schemas.openxmlformats.org/officeDocument/2006/relationships/footer" Target="footer28.xml"/><Relationship Id="rId113" Type="http://schemas.openxmlformats.org/officeDocument/2006/relationships/header" Target="header51.xml"/><Relationship Id="rId134" Type="http://schemas.openxmlformats.org/officeDocument/2006/relationships/header" Target="header62.xml"/><Relationship Id="rId320" Type="http://schemas.openxmlformats.org/officeDocument/2006/relationships/header" Target="header155.xml"/><Relationship Id="rId80" Type="http://schemas.openxmlformats.org/officeDocument/2006/relationships/header" Target="header35.xml"/><Relationship Id="rId155" Type="http://schemas.openxmlformats.org/officeDocument/2006/relationships/header" Target="header72.xml"/><Relationship Id="rId176" Type="http://schemas.openxmlformats.org/officeDocument/2006/relationships/header" Target="header83.xml"/><Relationship Id="rId197" Type="http://schemas.openxmlformats.org/officeDocument/2006/relationships/header" Target="header93.xml"/><Relationship Id="rId341" Type="http://schemas.openxmlformats.org/officeDocument/2006/relationships/header" Target="header165.xml"/><Relationship Id="rId362" Type="http://schemas.openxmlformats.org/officeDocument/2006/relationships/header" Target="header176.xml"/><Relationship Id="rId383" Type="http://schemas.openxmlformats.org/officeDocument/2006/relationships/header" Target="header186.xml"/><Relationship Id="rId201" Type="http://schemas.openxmlformats.org/officeDocument/2006/relationships/footer" Target="footer94.xml"/><Relationship Id="rId222" Type="http://schemas.openxmlformats.org/officeDocument/2006/relationships/footer" Target="footer105.xml"/><Relationship Id="rId243" Type="http://schemas.openxmlformats.org/officeDocument/2006/relationships/footer" Target="footer115.xml"/><Relationship Id="rId264" Type="http://schemas.openxmlformats.org/officeDocument/2006/relationships/footer" Target="footer126.xml"/><Relationship Id="rId285" Type="http://schemas.openxmlformats.org/officeDocument/2006/relationships/footer" Target="footer136.xml"/><Relationship Id="rId17" Type="http://schemas.openxmlformats.org/officeDocument/2006/relationships/header" Target="header3.xml"/><Relationship Id="rId38" Type="http://schemas.openxmlformats.org/officeDocument/2006/relationships/header" Target="header14.xml"/><Relationship Id="rId59" Type="http://schemas.openxmlformats.org/officeDocument/2006/relationships/header" Target="header24.xml"/><Relationship Id="rId103" Type="http://schemas.openxmlformats.org/officeDocument/2006/relationships/header" Target="header46.xml"/><Relationship Id="rId124" Type="http://schemas.openxmlformats.org/officeDocument/2006/relationships/footer" Target="footer56.xml"/><Relationship Id="rId310" Type="http://schemas.openxmlformats.org/officeDocument/2006/relationships/footer" Target="footer149.xml"/><Relationship Id="rId70" Type="http://schemas.openxmlformats.org/officeDocument/2006/relationships/footer" Target="footer29.xml"/><Relationship Id="rId91" Type="http://schemas.openxmlformats.org/officeDocument/2006/relationships/header" Target="header40.xml"/><Relationship Id="rId145" Type="http://schemas.openxmlformats.org/officeDocument/2006/relationships/header" Target="header67.xml"/><Relationship Id="rId166" Type="http://schemas.openxmlformats.org/officeDocument/2006/relationships/footer" Target="footer77.xml"/><Relationship Id="rId187" Type="http://schemas.openxmlformats.org/officeDocument/2006/relationships/header" Target="header88.xml"/><Relationship Id="rId331" Type="http://schemas.openxmlformats.org/officeDocument/2006/relationships/header" Target="header160.xml"/><Relationship Id="rId352" Type="http://schemas.openxmlformats.org/officeDocument/2006/relationships/footer" Target="footer170.xml"/><Relationship Id="rId373" Type="http://schemas.openxmlformats.org/officeDocument/2006/relationships/header" Target="header181.xml"/><Relationship Id="rId1" Type="http://schemas.openxmlformats.org/officeDocument/2006/relationships/customXml" Target="../customXml/item1.xml"/><Relationship Id="rId212" Type="http://schemas.openxmlformats.org/officeDocument/2006/relationships/header" Target="header101.xml"/><Relationship Id="rId233" Type="http://schemas.openxmlformats.org/officeDocument/2006/relationships/header" Target="header111.xml"/><Relationship Id="rId254" Type="http://schemas.openxmlformats.org/officeDocument/2006/relationships/header" Target="header122.xml"/><Relationship Id="rId28" Type="http://schemas.openxmlformats.org/officeDocument/2006/relationships/footer" Target="footer8.xml"/><Relationship Id="rId49" Type="http://schemas.openxmlformats.org/officeDocument/2006/relationships/header" Target="header19.xml"/><Relationship Id="rId114" Type="http://schemas.openxmlformats.org/officeDocument/2006/relationships/footer" Target="footer51.xml"/><Relationship Id="rId275" Type="http://schemas.openxmlformats.org/officeDocument/2006/relationships/header" Target="header132.xml"/><Relationship Id="rId296" Type="http://schemas.openxmlformats.org/officeDocument/2006/relationships/header" Target="header143.xml"/><Relationship Id="rId300" Type="http://schemas.openxmlformats.org/officeDocument/2006/relationships/footer" Target="footer144.xml"/><Relationship Id="rId60" Type="http://schemas.openxmlformats.org/officeDocument/2006/relationships/footer" Target="footer24.xml"/><Relationship Id="rId81" Type="http://schemas.openxmlformats.org/officeDocument/2006/relationships/footer" Target="footer34.xml"/><Relationship Id="rId135" Type="http://schemas.openxmlformats.org/officeDocument/2006/relationships/footer" Target="footer61.xml"/><Relationship Id="rId156" Type="http://schemas.openxmlformats.org/officeDocument/2006/relationships/footer" Target="footer72.xml"/><Relationship Id="rId177" Type="http://schemas.openxmlformats.org/officeDocument/2006/relationships/footer" Target="footer82.xml"/><Relationship Id="rId198" Type="http://schemas.openxmlformats.org/officeDocument/2006/relationships/footer" Target="footer93.xml"/><Relationship Id="rId321" Type="http://schemas.openxmlformats.org/officeDocument/2006/relationships/footer" Target="footer154.xml"/><Relationship Id="rId342" Type="http://schemas.openxmlformats.org/officeDocument/2006/relationships/footer" Target="footer165.xml"/><Relationship Id="rId363" Type="http://schemas.openxmlformats.org/officeDocument/2006/relationships/footer" Target="footer175.xml"/><Relationship Id="rId384" Type="http://schemas.openxmlformats.org/officeDocument/2006/relationships/footer" Target="footer186.xml"/><Relationship Id="rId202" Type="http://schemas.openxmlformats.org/officeDocument/2006/relationships/footer" Target="footer95.xml"/><Relationship Id="rId223" Type="http://schemas.openxmlformats.org/officeDocument/2006/relationships/header" Target="header106.xml"/><Relationship Id="rId244" Type="http://schemas.openxmlformats.org/officeDocument/2006/relationships/footer" Target="footer116.xml"/><Relationship Id="rId18" Type="http://schemas.openxmlformats.org/officeDocument/2006/relationships/footer" Target="footer3.xml"/><Relationship Id="rId39" Type="http://schemas.openxmlformats.org/officeDocument/2006/relationships/footer" Target="footer13.xml"/><Relationship Id="rId265" Type="http://schemas.openxmlformats.org/officeDocument/2006/relationships/header" Target="header127.xml"/><Relationship Id="rId286" Type="http://schemas.openxmlformats.org/officeDocument/2006/relationships/footer" Target="footer137.xml"/><Relationship Id="rId50" Type="http://schemas.openxmlformats.org/officeDocument/2006/relationships/header" Target="header20.xml"/><Relationship Id="rId104" Type="http://schemas.openxmlformats.org/officeDocument/2006/relationships/header" Target="header47.xml"/><Relationship Id="rId125" Type="http://schemas.openxmlformats.org/officeDocument/2006/relationships/header" Target="header57.xml"/><Relationship Id="rId146" Type="http://schemas.openxmlformats.org/officeDocument/2006/relationships/header" Target="header68.xml"/><Relationship Id="rId167" Type="http://schemas.openxmlformats.org/officeDocument/2006/relationships/header" Target="header78.xml"/><Relationship Id="rId188" Type="http://schemas.openxmlformats.org/officeDocument/2006/relationships/header" Target="header89.xml"/><Relationship Id="rId311" Type="http://schemas.openxmlformats.org/officeDocument/2006/relationships/header" Target="header150.xml"/><Relationship Id="rId332" Type="http://schemas.openxmlformats.org/officeDocument/2006/relationships/header" Target="header161.xml"/><Relationship Id="rId353" Type="http://schemas.openxmlformats.org/officeDocument/2006/relationships/header" Target="header171.xml"/><Relationship Id="rId374" Type="http://schemas.openxmlformats.org/officeDocument/2006/relationships/header" Target="header182.xml"/><Relationship Id="rId71" Type="http://schemas.openxmlformats.org/officeDocument/2006/relationships/header" Target="header30.xml"/><Relationship Id="rId92" Type="http://schemas.openxmlformats.org/officeDocument/2006/relationships/header" Target="header41.xml"/><Relationship Id="rId213" Type="http://schemas.openxmlformats.org/officeDocument/2006/relationships/footer" Target="footer100.xml"/><Relationship Id="rId234" Type="http://schemas.openxmlformats.org/officeDocument/2006/relationships/footer" Target="footer111.xml"/><Relationship Id="rId2" Type="http://schemas.openxmlformats.org/officeDocument/2006/relationships/customXml" Target="../customXml/item2.xml"/><Relationship Id="rId29" Type="http://schemas.openxmlformats.org/officeDocument/2006/relationships/header" Target="header9.xml"/><Relationship Id="rId255" Type="http://schemas.openxmlformats.org/officeDocument/2006/relationships/footer" Target="footer121.xml"/><Relationship Id="rId276" Type="http://schemas.openxmlformats.org/officeDocument/2006/relationships/footer" Target="footer132.xml"/><Relationship Id="rId297" Type="http://schemas.openxmlformats.org/officeDocument/2006/relationships/footer" Target="footer142.xml"/><Relationship Id="rId40" Type="http://schemas.openxmlformats.org/officeDocument/2006/relationships/footer" Target="footer14.xml"/><Relationship Id="rId115" Type="http://schemas.openxmlformats.org/officeDocument/2006/relationships/header" Target="header52.xml"/><Relationship Id="rId136" Type="http://schemas.openxmlformats.org/officeDocument/2006/relationships/footer" Target="footer62.xml"/><Relationship Id="rId157" Type="http://schemas.openxmlformats.org/officeDocument/2006/relationships/header" Target="header73.xml"/><Relationship Id="rId178" Type="http://schemas.openxmlformats.org/officeDocument/2006/relationships/footer" Target="footer83.xml"/><Relationship Id="rId301" Type="http://schemas.openxmlformats.org/officeDocument/2006/relationships/header" Target="header145.xml"/><Relationship Id="rId322" Type="http://schemas.openxmlformats.org/officeDocument/2006/relationships/footer" Target="footer155.xml"/><Relationship Id="rId343" Type="http://schemas.openxmlformats.org/officeDocument/2006/relationships/header" Target="header166.xml"/><Relationship Id="rId364" Type="http://schemas.openxmlformats.org/officeDocument/2006/relationships/footer" Target="footer176.xml"/><Relationship Id="rId61" Type="http://schemas.openxmlformats.org/officeDocument/2006/relationships/header" Target="header25.xml"/><Relationship Id="rId82" Type="http://schemas.openxmlformats.org/officeDocument/2006/relationships/footer" Target="footer35.xml"/><Relationship Id="rId199" Type="http://schemas.openxmlformats.org/officeDocument/2006/relationships/header" Target="header94.xml"/><Relationship Id="rId203" Type="http://schemas.openxmlformats.org/officeDocument/2006/relationships/header" Target="header96.xml"/><Relationship Id="rId385" Type="http://schemas.openxmlformats.org/officeDocument/2006/relationships/fontTable" Target="fontTable.xml"/><Relationship Id="rId19" Type="http://schemas.openxmlformats.org/officeDocument/2006/relationships/header" Target="header4.xml"/><Relationship Id="rId224" Type="http://schemas.openxmlformats.org/officeDocument/2006/relationships/header" Target="header107.xml"/><Relationship Id="rId245" Type="http://schemas.openxmlformats.org/officeDocument/2006/relationships/header" Target="header117.xml"/><Relationship Id="rId266" Type="http://schemas.openxmlformats.org/officeDocument/2006/relationships/header" Target="header128.xml"/><Relationship Id="rId287" Type="http://schemas.openxmlformats.org/officeDocument/2006/relationships/header" Target="header138.xml"/><Relationship Id="rId30" Type="http://schemas.openxmlformats.org/officeDocument/2006/relationships/footer" Target="footer9.xml"/><Relationship Id="rId105" Type="http://schemas.openxmlformats.org/officeDocument/2006/relationships/footer" Target="footer46.xml"/><Relationship Id="rId126" Type="http://schemas.openxmlformats.org/officeDocument/2006/relationships/footer" Target="footer57.xml"/><Relationship Id="rId147" Type="http://schemas.openxmlformats.org/officeDocument/2006/relationships/footer" Target="footer67.xml"/><Relationship Id="rId168" Type="http://schemas.openxmlformats.org/officeDocument/2006/relationships/footer" Target="footer78.xml"/><Relationship Id="rId312" Type="http://schemas.openxmlformats.org/officeDocument/2006/relationships/footer" Target="footer150.xml"/><Relationship Id="rId333" Type="http://schemas.openxmlformats.org/officeDocument/2006/relationships/footer" Target="footer160.xml"/><Relationship Id="rId354" Type="http://schemas.openxmlformats.org/officeDocument/2006/relationships/footer" Target="footer171.xml"/><Relationship Id="rId51" Type="http://schemas.openxmlformats.org/officeDocument/2006/relationships/footer" Target="footer19.xml"/><Relationship Id="rId72" Type="http://schemas.openxmlformats.org/officeDocument/2006/relationships/footer" Target="footer30.xml"/><Relationship Id="rId93" Type="http://schemas.openxmlformats.org/officeDocument/2006/relationships/footer" Target="footer40.xml"/><Relationship Id="rId189" Type="http://schemas.openxmlformats.org/officeDocument/2006/relationships/footer" Target="footer88.xml"/><Relationship Id="rId375" Type="http://schemas.openxmlformats.org/officeDocument/2006/relationships/footer" Target="footer181.xml"/><Relationship Id="rId3" Type="http://schemas.openxmlformats.org/officeDocument/2006/relationships/customXml" Target="../customXml/item3.xml"/><Relationship Id="rId214" Type="http://schemas.openxmlformats.org/officeDocument/2006/relationships/footer" Target="footer101.xml"/><Relationship Id="rId235" Type="http://schemas.openxmlformats.org/officeDocument/2006/relationships/header" Target="header112.xml"/><Relationship Id="rId256" Type="http://schemas.openxmlformats.org/officeDocument/2006/relationships/footer" Target="footer122.xml"/><Relationship Id="rId277" Type="http://schemas.openxmlformats.org/officeDocument/2006/relationships/header" Target="header133.xml"/><Relationship Id="rId298" Type="http://schemas.openxmlformats.org/officeDocument/2006/relationships/footer" Target="footer143.xml"/><Relationship Id="rId116" Type="http://schemas.openxmlformats.org/officeDocument/2006/relationships/header" Target="header53.xml"/><Relationship Id="rId137" Type="http://schemas.openxmlformats.org/officeDocument/2006/relationships/header" Target="header63.xml"/><Relationship Id="rId158" Type="http://schemas.openxmlformats.org/officeDocument/2006/relationships/header" Target="header74.xml"/><Relationship Id="rId302" Type="http://schemas.openxmlformats.org/officeDocument/2006/relationships/header" Target="header146.xml"/><Relationship Id="rId323" Type="http://schemas.openxmlformats.org/officeDocument/2006/relationships/header" Target="header156.xml"/><Relationship Id="rId344" Type="http://schemas.openxmlformats.org/officeDocument/2006/relationships/header" Target="header167.xml"/><Relationship Id="rId20" Type="http://schemas.openxmlformats.org/officeDocument/2006/relationships/header" Target="header5.xml"/><Relationship Id="rId41" Type="http://schemas.openxmlformats.org/officeDocument/2006/relationships/header" Target="header15.xml"/><Relationship Id="rId62" Type="http://schemas.openxmlformats.org/officeDocument/2006/relationships/header" Target="header26.xml"/><Relationship Id="rId83" Type="http://schemas.openxmlformats.org/officeDocument/2006/relationships/header" Target="header36.xml"/><Relationship Id="rId179" Type="http://schemas.openxmlformats.org/officeDocument/2006/relationships/header" Target="header84.xml"/><Relationship Id="rId365" Type="http://schemas.openxmlformats.org/officeDocument/2006/relationships/header" Target="header177.xml"/><Relationship Id="rId386" Type="http://schemas.openxmlformats.org/officeDocument/2006/relationships/theme" Target="theme/theme1.xml"/><Relationship Id="rId190" Type="http://schemas.openxmlformats.org/officeDocument/2006/relationships/footer" Target="footer89.xml"/><Relationship Id="rId204" Type="http://schemas.openxmlformats.org/officeDocument/2006/relationships/footer" Target="footer96.xml"/><Relationship Id="rId225" Type="http://schemas.openxmlformats.org/officeDocument/2006/relationships/footer" Target="footer106.xml"/><Relationship Id="rId246" Type="http://schemas.openxmlformats.org/officeDocument/2006/relationships/footer" Target="footer117.xml"/><Relationship Id="rId267" Type="http://schemas.openxmlformats.org/officeDocument/2006/relationships/footer" Target="footer127.xml"/><Relationship Id="rId288" Type="http://schemas.openxmlformats.org/officeDocument/2006/relationships/footer" Target="footer138.xml"/><Relationship Id="rId106" Type="http://schemas.openxmlformats.org/officeDocument/2006/relationships/footer" Target="footer47.xml"/><Relationship Id="rId127" Type="http://schemas.openxmlformats.org/officeDocument/2006/relationships/header" Target="header58.xml"/><Relationship Id="rId313" Type="http://schemas.openxmlformats.org/officeDocument/2006/relationships/header" Target="header151.xml"/><Relationship Id="rId10" Type="http://schemas.openxmlformats.org/officeDocument/2006/relationships/footnotes" Target="footnotes.xml"/><Relationship Id="rId31" Type="http://schemas.openxmlformats.org/officeDocument/2006/relationships/header" Target="header10.xml"/><Relationship Id="rId52" Type="http://schemas.openxmlformats.org/officeDocument/2006/relationships/footer" Target="footer20.xml"/><Relationship Id="rId73" Type="http://schemas.openxmlformats.org/officeDocument/2006/relationships/header" Target="header31.xml"/><Relationship Id="rId94" Type="http://schemas.openxmlformats.org/officeDocument/2006/relationships/footer" Target="footer41.xml"/><Relationship Id="rId148" Type="http://schemas.openxmlformats.org/officeDocument/2006/relationships/footer" Target="footer68.xml"/><Relationship Id="rId169" Type="http://schemas.openxmlformats.org/officeDocument/2006/relationships/header" Target="header79.xml"/><Relationship Id="rId334" Type="http://schemas.openxmlformats.org/officeDocument/2006/relationships/footer" Target="footer161.xml"/><Relationship Id="rId355" Type="http://schemas.openxmlformats.org/officeDocument/2006/relationships/header" Target="header172.xml"/><Relationship Id="rId376" Type="http://schemas.openxmlformats.org/officeDocument/2006/relationships/footer" Target="footer182.xml"/><Relationship Id="rId4" Type="http://schemas.openxmlformats.org/officeDocument/2006/relationships/customXml" Target="../customXml/item4.xml"/><Relationship Id="rId180" Type="http://schemas.openxmlformats.org/officeDocument/2006/relationships/footer" Target="footer84.xml"/><Relationship Id="rId215" Type="http://schemas.openxmlformats.org/officeDocument/2006/relationships/header" Target="header102.xml"/><Relationship Id="rId236" Type="http://schemas.openxmlformats.org/officeDocument/2006/relationships/header" Target="header113.xml"/><Relationship Id="rId257" Type="http://schemas.openxmlformats.org/officeDocument/2006/relationships/header" Target="header123.xml"/><Relationship Id="rId278" Type="http://schemas.openxmlformats.org/officeDocument/2006/relationships/header" Target="header134.xml"/><Relationship Id="rId303" Type="http://schemas.openxmlformats.org/officeDocument/2006/relationships/footer" Target="footer145.xml"/></Relationships>
</file>

<file path=word/_rels/footnotes.xml.rels><?xml version="1.0" encoding="UTF-8" standalone="yes"?>
<Relationships xmlns="http://schemas.openxmlformats.org/package/2006/relationships"><Relationship Id="rId1" Type="http://schemas.openxmlformats.org/officeDocument/2006/relationships/hyperlink" Target="https://www.congreso.es/public_oficiales/L14/CONG/BOCG/D/BOCG-14-D-17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3A96FF36B9FA2B41AA2F50B89189C74B" ma:contentTypeVersion="0" ma:contentTypeDescription="Create a new document in this library." ma:contentTypeScope="" ma:versionID="c6b6a606a38a5c44f8045c336b924c34">
  <xsd:schema xmlns:xsd="http://www.w3.org/2001/XMLSchema" xmlns:xs="http://www.w3.org/2001/XMLSchema" xmlns:p="http://schemas.microsoft.com/office/2006/metadata/properties" xmlns:ns2="http://schemas.microsoft.com/sharepoint/v3/fields" xmlns:ns3="5488CD5B-2965-4A0D-A275-D2BEA814A65F" targetNamespace="http://schemas.microsoft.com/office/2006/metadata/properties" ma:root="true" ma:fieldsID="ed81ab3d4118e02137b32136d077e0c3" ns2:_="" ns3:_="">
    <xsd:import namespace="http://schemas.microsoft.com/sharepoint/v3/fields"/>
    <xsd:import namespace="5488CD5B-2965-4A0D-A275-D2BEA814A65F"/>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3:EC_ARES_NUMBER" minOccurs="0"/>
                <xsd:element ref="ns3:EC_ARES_DATE_TRANSFERRED" minOccurs="0"/>
                <xsd:element ref="ns3:EC_ARES_TRANSFERRED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5488CD5B-2965-4A0D-A275-D2BEA814A65F"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format="Dropdow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format="Dropdown"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EC_ARES_NUMBER" ma:index="16"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7" nillable="true" ma:displayName="Transferred to Ares" ma:format="DateTime" ma:hidden="true" ma:internalName="EC_ARES_DATE_TRANSFERRED">
      <xsd:simpleType>
        <xsd:restriction base="dms:DateTime"/>
      </xsd:simpleType>
    </xsd:element>
    <xsd:element name="EC_ARES_TRANSFERRED_BY" ma:index="18" nillable="true" ma:displayName="Transferred By" ma:hidden="true" ma:internalName="EC_ARES_TRANSFERRED_B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Collab_Reference xmlns="5488CD5B-2965-4A0D-A275-D2BEA814A65F" xsi:nil="true"/>
    <EC_Collab_DocumentLanguage xmlns="5488CD5B-2965-4A0D-A275-D2BEA814A65F">EN</EC_Collab_DocumentLanguage>
    <EC_Collab_Status xmlns="5488CD5B-2965-4A0D-A275-D2BEA814A65F">Not Started</EC_Collab_Status>
    <_Status xmlns="http://schemas.microsoft.com/sharepoint/v3/fields">Not Started</_Status>
    <EC_ARES_TRANSFERRED_BY xmlns="5488CD5B-2965-4A0D-A275-D2BEA814A65F" xsi:nil="true"/>
    <EC_ARES_NUMBER xmlns="5488CD5B-2965-4A0D-A275-D2BEA814A65F">
      <Url xsi:nil="true"/>
      <Description xsi:nil="true"/>
    </EC_ARES_NUMBER>
    <EC_ARES_DATE_TRANSFERRED xmlns="5488CD5B-2965-4A0D-A275-D2BEA814A65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CF920-8DED-44EE-B536-2E6F9F2BC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5488CD5B-2965-4A0D-A275-D2BEA814A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61947C-E72A-4854-BFE2-635764EB9AED}">
  <ds:schemaRefs>
    <ds:schemaRef ds:uri="http://schemas.microsoft.com/sharepoint/v3/contenttype/forms"/>
  </ds:schemaRefs>
</ds:datastoreItem>
</file>

<file path=customXml/itemProps3.xml><?xml version="1.0" encoding="utf-8"?>
<ds:datastoreItem xmlns:ds="http://schemas.openxmlformats.org/officeDocument/2006/customXml" ds:itemID="{CD8C315D-7536-49D2-B370-DBB8B05589E0}">
  <ds:schemaRefs>
    <ds:schemaRef ds:uri="http://purl.org/dc/elements/1.1/"/>
    <ds:schemaRef ds:uri="http://schemas.openxmlformats.org/package/2006/metadata/core-properties"/>
    <ds:schemaRef ds:uri="http://schemas.microsoft.com/office/infopath/2007/PartnerControls"/>
    <ds:schemaRef ds:uri="5488CD5B-2965-4A0D-A275-D2BEA814A65F"/>
    <ds:schemaRef ds:uri="http://purl.org/dc/terms/"/>
    <ds:schemaRef ds:uri="http://schemas.microsoft.com/office/2006/metadata/properties"/>
    <ds:schemaRef ds:uri="http://schemas.microsoft.com/office/2006/documentManagement/types"/>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2A2D8619-E38A-407A-A944-918D3DFD5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120717</Words>
  <Characters>688087</Characters>
  <Application>Microsoft Office Word</Application>
  <DocSecurity>0</DocSecurity>
  <Lines>5734</Lines>
  <Paragraphs>1614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807190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DUBUSSE Christine (TAXUD)</dc:creator>
  <cp:keywords/>
  <dc:description/>
  <cp:lastModifiedBy>WES PDFC Administrator</cp:lastModifiedBy>
  <cp:revision>21</cp:revision>
  <dcterms:created xsi:type="dcterms:W3CDTF">2021-06-16T13:40:00Z</dcterms:created>
  <dcterms:modified xsi:type="dcterms:W3CDTF">2021-06-16T14:16:00Z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1</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PTemplateID">
    <vt:lpwstr>CP-036</vt:lpwstr>
  </property>
  <property fmtid="{D5CDD505-2E9C-101B-9397-08002B2CF9AE}" pid="10" name="Created using">
    <vt:lpwstr>LW 7.0.1, Build 20190916</vt:lpwstr>
  </property>
  <property fmtid="{D5CDD505-2E9C-101B-9397-08002B2CF9AE}" pid="11" name="Last edited using">
    <vt:lpwstr>LW 7.0.1, Build 20200226</vt:lpwstr>
  </property>
  <property fmtid="{D5CDD505-2E9C-101B-9397-08002B2CF9AE}" pid="12" name="_LW_INVALIDATED__LW_INVALIDATED__LW_INVALIDATED__LW_INVALIDATED__LW_INVALIDATED__LW_INVALIDATED__LW_INVALIDATED__LW_INVALIDATED_ContentTypeId">
    <vt:lpwstr>0x010100258AA79CEB83498886A3A08681123250003A96FF36B9FA2B41AA2F50B89189C74B</vt:lpwstr>
  </property>
  <property fmtid="{D5CDD505-2E9C-101B-9397-08002B2CF9AE}" pid="13" name="_LW_INVALIDATED__LW_INVALIDATED__LW_INVALIDATED__LW_INVALIDATED__LW_INVALIDATED__LW_INVALIDATED_ContentTypeId">
    <vt:lpwstr>0x010100258AA79CEB83498886A3A08681123250003A96FF36B9FA2B41AA2F50B89189C74B</vt:lpwstr>
  </property>
</Properties>
</file>